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jc w:val="center"/>
      </w:pPr>
      <w:r>
        <w:rPr>
          <w:b/>
          <w:bCs/>
          <w:sz w:val="56"/>
          <w:szCs w:val="56"/>
        </w:rPr>
        <w:t xml:space="preserve">ReflectAI (Equoria)</w:t>
      </w:r>
    </w:p>
    <w:p>
      <w:pPr>
        <w:spacing w:after="100"/>
        <w:jc w:val="center"/>
      </w:pPr>
      <w:r>
        <w:rPr>
          <w:b/>
          <w:bCs/>
          <w:color w:val="444444"/>
          <w:sz w:val="36"/>
          <w:szCs w:val="36"/>
        </w:rPr>
        <w:t xml:space="preserve">Phase 4 — Penetration Testing</w:t>
      </w:r>
    </w:p>
    <w:p>
      <w:pPr>
        <w:spacing w:after="80"/>
        <w:jc w:val="center"/>
      </w:pPr>
      <w:r>
        <w:rPr>
          <w:i/>
          <w:iCs/>
          <w:color w:val="666666"/>
          <w:sz w:val="22"/>
          <w:szCs w:val="22"/>
        </w:rPr>
        <w:t xml:space="preserve">Dynamic testing against the real, running application code</w:t>
      </w:r>
    </w:p>
    <w:p>
      <w:pPr>
        <w:spacing w:before="1000"/>
      </w:pPr>
    </w:p>
    <w:p>
      <w:pPr>
        <w:spacing w:after="160" w:line="276"/>
      </w:pPr>
      <w:r>
        <w:rPr>
          <w:b/>
          <w:bCs/>
        </w:rPr>
        <w:t xml:space="preserve">Repository: </w:t>
      </w:r>
      <w:r>
        <w:t xml:space="preserve">reflect-ai (client: React/Vite, server: Node/Express/MongoDB)</w:t>
      </w:r>
    </w:p>
    <w:p>
      <w:pPr>
        <w:spacing w:after="160" w:line="276"/>
      </w:pPr>
      <w:r>
        <w:rPr>
          <w:b/>
          <w:bCs/>
        </w:rPr>
        <w:t xml:space="preserve">Companion documents: </w:t>
      </w:r>
      <w:r>
        <w:t xml:space="preserve">Phase 1 — Security Audit; Phase 2 — Threat Model; Phase 3 — Security Checklist</w:t>
      </w:r>
    </w:p>
    <w:p>
      <w:pPr>
        <w:spacing w:after="160" w:line="276"/>
      </w:pPr>
      <w:r>
        <w:rPr>
          <w:b/>
          <w:bCs/>
        </w:rPr>
        <w:t xml:space="preserve">Test date: </w:t>
      </w:r>
      <w:r>
        <w:t xml:space="preserve">2026-08-01</w:t>
      </w:r>
    </w:p>
    <w:p>
      <w:pPr>
        <w:spacing w:after="160" w:line="276"/>
      </w:pPr>
      <w:r>
        <w:rPr>
          <w:b/>
          <w:bCs/>
        </w:rPr>
        <w:t xml:space="preserve">Headline result: </w:t>
      </w:r>
      <w:r>
        <w:t xml:space="preserve">13 attacks attempted; 8 blocked, 3 confirmed vulnerable/weak, 2 structurally not applicable. One previously-undocumented finding discovered: the AI pipeline's 'evidence required' safety gate can be satisfied by evidence that has nothing to do with the claim it's attached to (Section 3).</w:t>
      </w:r>
    </w:p>
    <w:p>
      <w:r>
        <w:br w:type="page"/>
      </w:r>
    </w:p>
    <w:p>
      <w:pPr>
        <w:pStyle w:val="Heading1"/>
        <w:spacing w:after="200" w:before="400"/>
      </w:pPr>
      <w:r>
        <w:t xml:space="preserve">0. Methodology &amp; Scope — Read Before the Results</w:t>
      </w:r>
    </w:p>
    <w:p>
      <w:pPr>
        <w:spacing w:after="160" w:line="276"/>
      </w:pPr>
      <w:r>
        <w:t xml:space="preserve">This phase actually ran the attacks, rather than reading code and predicting outcomes. A test harness imported the real, unmodified application source directly from server/src/** — real Express routes, real middleware (requireAuth, validateRequest, requestId, errorHandler), real Zod schemas, real JWT signing/verification, the real express-rate-limit configuration, the real cors() configuration, and the real AI-pipeline gating logic inside service.js (buildEvidenceCandidates, normalizeEvidence, enrichPayload, verifyInsight, scrubHealthReferences).</w:t>
      </w:r>
    </w:p>
    <w:p>
      <w:pPr>
        <w:spacing w:after="160" w:line="276"/>
      </w:pPr>
      <w:r>
        <w:t xml:space="preserve">Two things were substituted, because this review runs in a sandboxed environment with no MongoDB binary, no Docker, and no package-registry network access to install one:</w:t>
      </w:r>
    </w:p>
    <w:p>
      <w:pPr>
        <w:pStyle w:val="ListParagraph"/>
        <w:numPr>
          <w:ilvl w:val="0"/>
          <w:numId w:val="2"/>
        </w:numPr>
        <w:spacing w:after="90" w:line="276"/>
      </w:pPr>
      <w:r>
        <w:t xml:space="preserve">The MongoDB data layer — each Mongoose model's methods (find/findOne/findById/create/findOneAndUpdate/insertMany) were monkey-patched to operate against plain in-memory arrays with identical call signatures. No line in server/src was edited to make this work; the patch happens entirely in the test harness, after importing the real model files.</w:t>
      </w:r>
    </w:p>
    <w:p>
      <w:pPr>
        <w:pStyle w:val="ListParagraph"/>
        <w:numPr>
          <w:ilvl w:val="0"/>
          <w:numId w:val="2"/>
        </w:numPr>
        <w:spacing w:after="90" w:line="276"/>
      </w:pPr>
      <w:r>
        <w:t xml:space="preserve">The LLM network calls — a tiny local HTTP server stood in for Ollama, so adversarial 'model' responses could be scripted precisely. Every deterministic line of code that receives that output (enrichPayload, normalizeEvidence, verifyInsight, scrubHealthReferences) is the real, unmodified application code.</w:t>
      </w:r>
    </w:p>
    <w:p>
      <w:pPr>
        <w:spacing w:after="160" w:line="276"/>
      </w:pPr>
      <w:r>
        <w:t xml:space="preserve">Two test users (Alice, Bob) were created through the real registration/bcrypt-hashing code path, plus two additional users (Carol, Dave) used specifically as controls to isolate two of the AI-pipeline findings from confounding session-history effects. All state — users, journal entries, chat sessions, audit logs — lived only in this process's memory and vanished when the harness exited; nothing was written to a real database.</w:t>
      </w:r>
    </w:p>
    <w:p>
      <w:pPr>
        <w:spacing w:after="160" w:line="276"/>
      </w:pPr>
      <w:r>
        <w:t xml:space="preserve">Where a result depends on which LLM provider a real deployment uses, or on real Ollama/OpenAI/Gemini output (as opposed to the deterministic code that gates that output), this is called out explicitly rather than implied.</w:t>
      </w:r>
    </w:p>
    <w:p>
      <w:r>
        <w:br w:type="page"/>
      </w:r>
    </w:p>
    <w:p>
      <w:pPr>
        <w:pStyle w:val="Heading1"/>
        <w:spacing w:after="200" w:before="400"/>
      </w:pPr>
      <w:r>
        <w:t xml:space="preserve">1. Attack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200"/>
        <w:gridCol w:w="1200"/>
        <w:gridCol w:w="1360"/>
      </w:tblGrid>
      <w:tr>
        <w:trPr>
          <w:tblHeader/>
        </w:trPr>
        <w:tc>
          <w:tcPr>
            <w:tcW w:type="dxa" w:w="500"/>
            <w:shd w:fill="D9D9D9" w:val="clear"/>
            <w:tcMar>
              <w:top w:type="dxa" w:w="80"/>
              <w:left w:type="dxa" w:w="100"/>
              <w:bottom w:type="dxa" w:w="80"/>
              <w:right w:type="dxa" w:w="100"/>
            </w:tcMar>
            <w:vAlign w:val="center"/>
          </w:tcPr>
          <w:p>
            <w:r>
              <w:rPr>
                <w:b/>
                <w:bCs/>
                <w:sz w:val="17"/>
                <w:szCs w:val="17"/>
              </w:rPr>
              <w:t xml:space="preserve">#</w:t>
            </w:r>
          </w:p>
        </w:tc>
        <w:tc>
          <w:tcPr>
            <w:tcW w:type="dxa" w:w="2100"/>
            <w:shd w:fill="D9D9D9" w:val="clear"/>
            <w:tcMar>
              <w:top w:type="dxa" w:w="80"/>
              <w:left w:type="dxa" w:w="100"/>
              <w:bottom w:type="dxa" w:w="80"/>
              <w:right w:type="dxa" w:w="100"/>
            </w:tcMar>
            <w:vAlign w:val="center"/>
          </w:tcPr>
          <w:p>
            <w:r>
              <w:rPr>
                <w:b/>
                <w:bCs/>
                <w:sz w:val="17"/>
                <w:szCs w:val="17"/>
              </w:rPr>
              <w:t xml:space="preserve">Attack</w:t>
            </w:r>
          </w:p>
        </w:tc>
        <w:tc>
          <w:tcPr>
            <w:tcW w:type="dxa" w:w="4200"/>
            <w:shd w:fill="D9D9D9" w:val="clear"/>
            <w:tcMar>
              <w:top w:type="dxa" w:w="80"/>
              <w:left w:type="dxa" w:w="100"/>
              <w:bottom w:type="dxa" w:w="80"/>
              <w:right w:type="dxa" w:w="100"/>
            </w:tcMar>
            <w:vAlign w:val="center"/>
          </w:tcPr>
          <w:p>
            <w:r>
              <w:rPr>
                <w:b/>
                <w:bCs/>
                <w:sz w:val="17"/>
                <w:szCs w:val="17"/>
              </w:rPr>
              <w:t xml:space="preserve">Real Result Observed</w:t>
            </w:r>
          </w:p>
        </w:tc>
        <w:tc>
          <w:tcPr>
            <w:tcW w:type="dxa" w:w="1200"/>
            <w:shd w:fill="D9D9D9" w:val="clear"/>
            <w:tcMar>
              <w:top w:type="dxa" w:w="80"/>
              <w:left w:type="dxa" w:w="100"/>
              <w:bottom w:type="dxa" w:w="80"/>
              <w:right w:type="dxa" w:w="100"/>
            </w:tcMar>
            <w:vAlign w:val="center"/>
          </w:tcPr>
          <w:p>
            <w:r>
              <w:rPr>
                <w:b/>
                <w:bCs/>
                <w:sz w:val="17"/>
                <w:szCs w:val="17"/>
              </w:rPr>
              <w:t xml:space="preserve">Verdict</w:t>
            </w:r>
          </w:p>
        </w:tc>
        <w:tc>
          <w:tcPr>
            <w:tcW w:type="dxa" w:w="1360"/>
            <w:shd w:fill="D9D9D9" w:val="clear"/>
            <w:tcMar>
              <w:top w:type="dxa" w:w="80"/>
              <w:left w:type="dxa" w:w="100"/>
              <w:bottom w:type="dxa" w:w="80"/>
              <w:right w:type="dxa" w:w="100"/>
            </w:tcMar>
            <w:vAlign w:val="center"/>
          </w:tcPr>
          <w:p>
            <w:r>
              <w:rPr>
                <w:b/>
                <w:bCs/>
                <w:sz w:val="17"/>
                <w:szCs w:val="17"/>
              </w:rPr>
              <w:t xml:space="preserve">Ref</w:t>
            </w:r>
          </w:p>
        </w:tc>
      </w:tr>
      <w:tr>
        <w:tc>
          <w:tcPr>
            <w:tcW w:type="dxa" w:w="500"/>
            <w:tcMar>
              <w:top w:type="dxa" w:w="80"/>
              <w:left w:type="dxa" w:w="100"/>
              <w:bottom w:type="dxa" w:w="80"/>
              <w:right w:type="dxa" w:w="100"/>
            </w:tcMar>
            <w:vAlign w:val="center"/>
          </w:tcPr>
          <w:p>
            <w:r>
              <w:rPr>
                <w:b/>
                <w:bCs/>
                <w:sz w:val="17"/>
                <w:szCs w:val="17"/>
              </w:rPr>
              <w:t xml:space="preserve">1</w:t>
            </w:r>
          </w:p>
        </w:tc>
        <w:tc>
          <w:tcPr>
            <w:tcW w:type="dxa" w:w="2100"/>
            <w:tcMar>
              <w:top w:type="dxa" w:w="80"/>
              <w:left w:type="dxa" w:w="100"/>
              <w:bottom w:type="dxa" w:w="80"/>
              <w:right w:type="dxa" w:w="100"/>
            </w:tcMar>
            <w:vAlign w:val="center"/>
          </w:tcPr>
          <w:p>
            <w:r>
              <w:rPr>
                <w:b/>
                <w:bCs/>
                <w:sz w:val="17"/>
                <w:szCs w:val="17"/>
              </w:rPr>
              <w:t xml:space="preserve">Login brute force</w:t>
            </w:r>
          </w:p>
        </w:tc>
        <w:tc>
          <w:tcPr>
            <w:tcW w:type="dxa" w:w="4200"/>
            <w:tcMar>
              <w:top w:type="dxa" w:w="80"/>
              <w:left w:type="dxa" w:w="100"/>
              <w:bottom w:type="dxa" w:w="80"/>
              <w:right w:type="dxa" w:w="100"/>
            </w:tcMar>
            <w:vAlign w:val="center"/>
          </w:tcPr>
          <w:p>
            <w:r>
              <w:rPr>
                <w:b w:val="false"/>
                <w:bCs w:val="false"/>
                <w:sz w:val="17"/>
                <w:szCs w:val="17"/>
              </w:rPr>
              <w:t xml:space="preserve">40 rapid wrong-password attempts against a real account, all fully processed (real bcrypt.compare run each time). 0 of 40 were rate-limited or blocked.</w:t>
            </w:r>
          </w:p>
        </w:tc>
        <w:tc>
          <w:tcPr>
            <w:tcW w:type="dxa" w:w="1200"/>
            <w:shd w:fill="F5C6C6" w:val="clear"/>
            <w:tcMar>
              <w:top w:type="dxa" w:w="80"/>
              <w:left w:type="dxa" w:w="100"/>
              <w:bottom w:type="dxa" w:w="80"/>
              <w:right w:type="dxa" w:w="100"/>
            </w:tcMar>
            <w:vAlign w:val="center"/>
          </w:tcPr>
          <w:p>
            <w:r>
              <w:rPr>
                <w:b/>
                <w:bCs/>
                <w:sz w:val="17"/>
                <w:szCs w:val="17"/>
              </w:rPr>
              <w:t xml:space="preserve">Vulnerable</w:t>
            </w:r>
          </w:p>
        </w:tc>
        <w:tc>
          <w:tcPr>
            <w:tcW w:type="dxa" w:w="1360"/>
            <w:tcMar>
              <w:top w:type="dxa" w:w="80"/>
              <w:left w:type="dxa" w:w="100"/>
              <w:bottom w:type="dxa" w:w="80"/>
              <w:right w:type="dxa" w:w="100"/>
            </w:tcMar>
            <w:vAlign w:val="center"/>
          </w:tcPr>
          <w:p>
            <w:r>
              <w:rPr>
                <w:b w:val="false"/>
                <w:bCs w:val="false"/>
                <w:sz w:val="17"/>
                <w:szCs w:val="17"/>
              </w:rPr>
              <w:t xml:space="preserve">P1 F-01</w:t>
            </w:r>
          </w:p>
        </w:tc>
      </w:tr>
      <w:tr>
        <w:tc>
          <w:tcPr>
            <w:tcW w:type="dxa" w:w="500"/>
            <w:tcMar>
              <w:top w:type="dxa" w:w="80"/>
              <w:left w:type="dxa" w:w="100"/>
              <w:bottom w:type="dxa" w:w="80"/>
              <w:right w:type="dxa" w:w="100"/>
            </w:tcMar>
            <w:vAlign w:val="center"/>
          </w:tcPr>
          <w:p>
            <w:r>
              <w:rPr>
                <w:b/>
                <w:bCs/>
                <w:sz w:val="17"/>
                <w:szCs w:val="17"/>
              </w:rPr>
              <w:t xml:space="preserve">1b</w:t>
            </w:r>
          </w:p>
        </w:tc>
        <w:tc>
          <w:tcPr>
            <w:tcW w:type="dxa" w:w="2100"/>
            <w:tcMar>
              <w:top w:type="dxa" w:w="80"/>
              <w:left w:type="dxa" w:w="100"/>
              <w:bottom w:type="dxa" w:w="80"/>
              <w:right w:type="dxa" w:w="100"/>
            </w:tcMar>
            <w:vAlign w:val="center"/>
          </w:tcPr>
          <w:p>
            <w:r>
              <w:rPr>
                <w:b/>
                <w:bCs/>
                <w:sz w:val="17"/>
                <w:szCs w:val="17"/>
              </w:rPr>
              <w:t xml:space="preserve">Login timing side-channel</w:t>
            </w:r>
          </w:p>
        </w:tc>
        <w:tc>
          <w:tcPr>
            <w:tcW w:type="dxa" w:w="4200"/>
            <w:tcMar>
              <w:top w:type="dxa" w:w="80"/>
              <w:left w:type="dxa" w:w="100"/>
              <w:bottom w:type="dxa" w:w="80"/>
              <w:right w:type="dxa" w:w="100"/>
            </w:tcMar>
            <w:vAlign w:val="center"/>
          </w:tcPr>
          <w:p>
            <w:r>
              <w:rPr>
                <w:b w:val="false"/>
                <w:bCs w:val="false"/>
                <w:sz w:val="17"/>
                <w:szCs w:val="17"/>
              </w:rPr>
              <w:t xml:space="preserve">15 timed requests each: known-registered email averaged 51.3ms per request; unregistered email averaged 0.3ms. The ~190x gap is bcrypt.compare only running for real accounts — an email-enumeration channel independent of the (identical) error message.</w:t>
            </w:r>
          </w:p>
        </w:tc>
        <w:tc>
          <w:tcPr>
            <w:tcW w:type="dxa" w:w="1200"/>
            <w:shd w:fill="F5C6C6" w:val="clear"/>
            <w:tcMar>
              <w:top w:type="dxa" w:w="80"/>
              <w:left w:type="dxa" w:w="100"/>
              <w:bottom w:type="dxa" w:w="80"/>
              <w:right w:type="dxa" w:w="100"/>
            </w:tcMar>
            <w:vAlign w:val="center"/>
          </w:tcPr>
          <w:p>
            <w:r>
              <w:rPr>
                <w:b/>
                <w:bCs/>
                <w:sz w:val="17"/>
                <w:szCs w:val="17"/>
              </w:rPr>
              <w:t xml:space="preserve">Vulnerable</w:t>
            </w:r>
          </w:p>
        </w:tc>
        <w:tc>
          <w:tcPr>
            <w:tcW w:type="dxa" w:w="1360"/>
            <w:tcMar>
              <w:top w:type="dxa" w:w="80"/>
              <w:left w:type="dxa" w:w="100"/>
              <w:bottom w:type="dxa" w:w="80"/>
              <w:right w:type="dxa" w:w="100"/>
            </w:tcMar>
            <w:vAlign w:val="center"/>
          </w:tcPr>
          <w:p>
            <w:r>
              <w:rPr>
                <w:b w:val="false"/>
                <w:bCs w:val="false"/>
                <w:sz w:val="17"/>
                <w:szCs w:val="17"/>
              </w:rPr>
              <w:t xml:space="preserve">P3 new</w:t>
            </w:r>
          </w:p>
        </w:tc>
      </w:tr>
      <w:tr>
        <w:tc>
          <w:tcPr>
            <w:tcW w:type="dxa" w:w="500"/>
            <w:tcMar>
              <w:top w:type="dxa" w:w="80"/>
              <w:left w:type="dxa" w:w="100"/>
              <w:bottom w:type="dxa" w:w="80"/>
              <w:right w:type="dxa" w:w="100"/>
            </w:tcMar>
            <w:vAlign w:val="center"/>
          </w:tcPr>
          <w:p>
            <w:r>
              <w:rPr>
                <w:b/>
                <w:bCs/>
                <w:sz w:val="17"/>
                <w:szCs w:val="17"/>
              </w:rPr>
              <w:t xml:space="preserve">2</w:t>
            </w:r>
          </w:p>
        </w:tc>
        <w:tc>
          <w:tcPr>
            <w:tcW w:type="dxa" w:w="2100"/>
            <w:tcMar>
              <w:top w:type="dxa" w:w="80"/>
              <w:left w:type="dxa" w:w="100"/>
              <w:bottom w:type="dxa" w:w="80"/>
              <w:right w:type="dxa" w:w="100"/>
            </w:tcMar>
            <w:vAlign w:val="center"/>
          </w:tcPr>
          <w:p>
            <w:r>
              <w:rPr>
                <w:b/>
                <w:bCs/>
                <w:sz w:val="17"/>
                <w:szCs w:val="17"/>
              </w:rPr>
              <w:t xml:space="preserve">JWT modification (tamper payload post-signing)</w:t>
            </w:r>
          </w:p>
        </w:tc>
        <w:tc>
          <w:tcPr>
            <w:tcW w:type="dxa" w:w="4200"/>
            <w:tcMar>
              <w:top w:type="dxa" w:w="80"/>
              <w:left w:type="dxa" w:w="100"/>
              <w:bottom w:type="dxa" w:w="80"/>
              <w:right w:type="dxa" w:w="100"/>
            </w:tcMar>
            <w:vAlign w:val="center"/>
          </w:tcPr>
          <w:p>
            <w:r>
              <w:rPr>
                <w:b w:val="false"/>
                <w:bCs w:val="false"/>
                <w:sz w:val="17"/>
                <w:szCs w:val="17"/>
              </w:rPr>
              <w:t xml:space="preserve">Payload byte-flipped after signing, sent as-is. Rejected: 401 TOKEN_EXPIRED (signature mismatch).</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
            </w:r>
          </w:p>
        </w:tc>
      </w:tr>
      <w:tr>
        <w:tc>
          <w:tcPr>
            <w:tcW w:type="dxa" w:w="500"/>
            <w:tcMar>
              <w:top w:type="dxa" w:w="80"/>
              <w:left w:type="dxa" w:w="100"/>
              <w:bottom w:type="dxa" w:w="80"/>
              <w:right w:type="dxa" w:w="100"/>
            </w:tcMar>
            <w:vAlign w:val="center"/>
          </w:tcPr>
          <w:p>
            <w:r>
              <w:rPr>
                <w:b/>
                <w:bCs/>
                <w:sz w:val="17"/>
                <w:szCs w:val="17"/>
              </w:rPr>
              <w:t xml:space="preserve">2</w:t>
            </w:r>
          </w:p>
        </w:tc>
        <w:tc>
          <w:tcPr>
            <w:tcW w:type="dxa" w:w="2100"/>
            <w:tcMar>
              <w:top w:type="dxa" w:w="80"/>
              <w:left w:type="dxa" w:w="100"/>
              <w:bottom w:type="dxa" w:w="80"/>
              <w:right w:type="dxa" w:w="100"/>
            </w:tcMar>
            <w:vAlign w:val="center"/>
          </w:tcPr>
          <w:p>
            <w:r>
              <w:rPr>
                <w:b/>
                <w:bCs/>
                <w:sz w:val="17"/>
                <w:szCs w:val="17"/>
              </w:rPr>
              <w:t xml:space="preserve">JWT algorithm confusion (forged alg:none)</w:t>
            </w:r>
          </w:p>
        </w:tc>
        <w:tc>
          <w:tcPr>
            <w:tcW w:type="dxa" w:w="4200"/>
            <w:tcMar>
              <w:top w:type="dxa" w:w="80"/>
              <w:left w:type="dxa" w:w="100"/>
              <w:bottom w:type="dxa" w:w="80"/>
              <w:right w:type="dxa" w:w="100"/>
            </w:tcMar>
            <w:vAlign w:val="center"/>
          </w:tcPr>
          <w:p>
            <w:r>
              <w:rPr>
                <w:b w:val="false"/>
                <w:bCs w:val="false"/>
                <w:sz w:val="17"/>
                <w:szCs w:val="17"/>
              </w:rPr>
              <w:t xml:space="preserve">Unsigned alg:none token claiming another user's identity. Rejected: 401.</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
            </w:r>
          </w:p>
        </w:tc>
      </w:tr>
      <w:tr>
        <w:tc>
          <w:tcPr>
            <w:tcW w:type="dxa" w:w="500"/>
            <w:tcMar>
              <w:top w:type="dxa" w:w="80"/>
              <w:left w:type="dxa" w:w="100"/>
              <w:bottom w:type="dxa" w:w="80"/>
              <w:right w:type="dxa" w:w="100"/>
            </w:tcMar>
            <w:vAlign w:val="center"/>
          </w:tcPr>
          <w:p>
            <w:r>
              <w:rPr>
                <w:b/>
                <w:bCs/>
                <w:sz w:val="17"/>
                <w:szCs w:val="17"/>
              </w:rPr>
              <w:t xml:space="preserve">2</w:t>
            </w:r>
          </w:p>
        </w:tc>
        <w:tc>
          <w:tcPr>
            <w:tcW w:type="dxa" w:w="2100"/>
            <w:tcMar>
              <w:top w:type="dxa" w:w="80"/>
              <w:left w:type="dxa" w:w="100"/>
              <w:bottom w:type="dxa" w:w="80"/>
              <w:right w:type="dxa" w:w="100"/>
            </w:tcMar>
            <w:vAlign w:val="center"/>
          </w:tcPr>
          <w:p>
            <w:r>
              <w:rPr>
                <w:b/>
                <w:bCs/>
                <w:sz w:val="17"/>
                <w:szCs w:val="17"/>
              </w:rPr>
              <w:t xml:space="preserve">JWT signed with a wrong/guessed secret</w:t>
            </w:r>
          </w:p>
        </w:tc>
        <w:tc>
          <w:tcPr>
            <w:tcW w:type="dxa" w:w="4200"/>
            <w:tcMar>
              <w:top w:type="dxa" w:w="80"/>
              <w:left w:type="dxa" w:w="100"/>
              <w:bottom w:type="dxa" w:w="80"/>
              <w:right w:type="dxa" w:w="100"/>
            </w:tcMar>
            <w:vAlign w:val="center"/>
          </w:tcPr>
          <w:p>
            <w:r>
              <w:rPr>
                <w:b w:val="false"/>
                <w:bCs w:val="false"/>
                <w:sz w:val="17"/>
                <w:szCs w:val="17"/>
              </w:rPr>
              <w:t xml:space="preserve">Token signed with a different secret than the server's. Rejected: 401. (If the real deployment's JWT_SECRET is ever left at its public .env.example placeholder value, this exact forgery would succeed with the correct secret — a live condition documented in Phase 1 F-02 / Phase 2 Asset 3, not reproducible safely against the real secret in this test.)</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P1 F-02</w:t>
            </w:r>
          </w:p>
        </w:tc>
      </w:tr>
      <w:tr>
        <w:tc>
          <w:tcPr>
            <w:tcW w:type="dxa" w:w="500"/>
            <w:tcMar>
              <w:top w:type="dxa" w:w="80"/>
              <w:left w:type="dxa" w:w="100"/>
              <w:bottom w:type="dxa" w:w="80"/>
              <w:right w:type="dxa" w:w="100"/>
            </w:tcMar>
            <w:vAlign w:val="center"/>
          </w:tcPr>
          <w:p>
            <w:r>
              <w:rPr>
                <w:b/>
                <w:bCs/>
                <w:sz w:val="17"/>
                <w:szCs w:val="17"/>
              </w:rPr>
              <w:t xml:space="preserve">3</w:t>
            </w:r>
          </w:p>
        </w:tc>
        <w:tc>
          <w:tcPr>
            <w:tcW w:type="dxa" w:w="2100"/>
            <w:tcMar>
              <w:top w:type="dxa" w:w="80"/>
              <w:left w:type="dxa" w:w="100"/>
              <w:bottom w:type="dxa" w:w="80"/>
              <w:right w:type="dxa" w:w="100"/>
            </w:tcMar>
            <w:vAlign w:val="center"/>
          </w:tcPr>
          <w:p>
            <w:r>
              <w:rPr>
                <w:b/>
                <w:bCs/>
                <w:sz w:val="17"/>
                <w:szCs w:val="17"/>
              </w:rPr>
              <w:t xml:space="preserve">JWT replay after client-side 'logout'</w:t>
            </w:r>
          </w:p>
        </w:tc>
        <w:tc>
          <w:tcPr>
            <w:tcW w:type="dxa" w:w="4200"/>
            <w:tcMar>
              <w:top w:type="dxa" w:w="80"/>
              <w:left w:type="dxa" w:w="100"/>
              <w:bottom w:type="dxa" w:w="80"/>
              <w:right w:type="dxa" w:w="100"/>
            </w:tcMar>
            <w:vAlign w:val="center"/>
          </w:tcPr>
          <w:p>
            <w:r>
              <w:rPr>
                <w:b w:val="false"/>
                <w:bCs w:val="false"/>
                <w:sz w:val="17"/>
                <w:szCs w:val="17"/>
              </w:rPr>
              <w:t xml:space="preserve">Simulated logout (as the client performs it — token removed only from localStorage) then replayed the same token against GET /api/auth/me. Server accepted it: 200, full profile returned.</w:t>
            </w:r>
          </w:p>
        </w:tc>
        <w:tc>
          <w:tcPr>
            <w:tcW w:type="dxa" w:w="1200"/>
            <w:shd w:fill="F5C6C6" w:val="clear"/>
            <w:tcMar>
              <w:top w:type="dxa" w:w="80"/>
              <w:left w:type="dxa" w:w="100"/>
              <w:bottom w:type="dxa" w:w="80"/>
              <w:right w:type="dxa" w:w="100"/>
            </w:tcMar>
            <w:vAlign w:val="center"/>
          </w:tcPr>
          <w:p>
            <w:r>
              <w:rPr>
                <w:b/>
                <w:bCs/>
                <w:sz w:val="17"/>
                <w:szCs w:val="17"/>
              </w:rPr>
              <w:t xml:space="preserve">Vulnerable</w:t>
            </w:r>
          </w:p>
        </w:tc>
        <w:tc>
          <w:tcPr>
            <w:tcW w:type="dxa" w:w="1360"/>
            <w:tcMar>
              <w:top w:type="dxa" w:w="80"/>
              <w:left w:type="dxa" w:w="100"/>
              <w:bottom w:type="dxa" w:w="80"/>
              <w:right w:type="dxa" w:w="100"/>
            </w:tcMar>
            <w:vAlign w:val="center"/>
          </w:tcPr>
          <w:p>
            <w:r>
              <w:rPr>
                <w:b w:val="false"/>
                <w:bCs w:val="false"/>
                <w:sz w:val="17"/>
                <w:szCs w:val="17"/>
              </w:rPr>
              <w:t xml:space="preserve">P2 Asset 3</w:t>
            </w:r>
          </w:p>
        </w:tc>
      </w:tr>
      <w:tr>
        <w:tc>
          <w:tcPr>
            <w:tcW w:type="dxa" w:w="500"/>
            <w:tcMar>
              <w:top w:type="dxa" w:w="80"/>
              <w:left w:type="dxa" w:w="100"/>
              <w:bottom w:type="dxa" w:w="80"/>
              <w:right w:type="dxa" w:w="100"/>
            </w:tcMar>
            <w:vAlign w:val="center"/>
          </w:tcPr>
          <w:p>
            <w:r>
              <w:rPr>
                <w:b/>
                <w:bCs/>
                <w:sz w:val="17"/>
                <w:szCs w:val="17"/>
              </w:rPr>
              <w:t xml:space="preserve">4</w:t>
            </w:r>
          </w:p>
        </w:tc>
        <w:tc>
          <w:tcPr>
            <w:tcW w:type="dxa" w:w="2100"/>
            <w:tcMar>
              <w:top w:type="dxa" w:w="80"/>
              <w:left w:type="dxa" w:w="100"/>
              <w:bottom w:type="dxa" w:w="80"/>
              <w:right w:type="dxa" w:w="100"/>
            </w:tcMar>
            <w:vAlign w:val="center"/>
          </w:tcPr>
          <w:p>
            <w:r>
              <w:rPr>
                <w:b/>
                <w:bCs/>
                <w:sz w:val="17"/>
                <w:szCs w:val="17"/>
              </w:rPr>
              <w:t xml:space="preserve">Access another user's journals</w:t>
            </w:r>
          </w:p>
        </w:tc>
        <w:tc>
          <w:tcPr>
            <w:tcW w:type="dxa" w:w="4200"/>
            <w:tcMar>
              <w:top w:type="dxa" w:w="80"/>
              <w:left w:type="dxa" w:w="100"/>
              <w:bottom w:type="dxa" w:w="80"/>
              <w:right w:type="dxa" w:w="100"/>
            </w:tcMar>
            <w:vAlign w:val="center"/>
          </w:tcPr>
          <w:p>
            <w:r>
              <w:rPr>
                <w:b w:val="false"/>
                <w:bCs w:val="false"/>
                <w:sz w:val="17"/>
                <w:szCs w:val="17"/>
              </w:rPr>
              <w:t xml:space="preserve">Alice's token used against /api/journal/recent while Bob has his own entries. Alice's result set contained only her own entry; Bob's never appeared.</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
            </w:r>
          </w:p>
        </w:tc>
      </w:tr>
      <w:tr>
        <w:tc>
          <w:tcPr>
            <w:tcW w:type="dxa" w:w="500"/>
            <w:tcMar>
              <w:top w:type="dxa" w:w="80"/>
              <w:left w:type="dxa" w:w="100"/>
              <w:bottom w:type="dxa" w:w="80"/>
              <w:right w:type="dxa" w:w="100"/>
            </w:tcMar>
            <w:vAlign w:val="center"/>
          </w:tcPr>
          <w:p>
            <w:r>
              <w:rPr>
                <w:b/>
                <w:bCs/>
                <w:sz w:val="17"/>
                <w:szCs w:val="17"/>
              </w:rPr>
              <w:t xml:space="preserve">4</w:t>
            </w:r>
          </w:p>
        </w:tc>
        <w:tc>
          <w:tcPr>
            <w:tcW w:type="dxa" w:w="2100"/>
            <w:tcMar>
              <w:top w:type="dxa" w:w="80"/>
              <w:left w:type="dxa" w:w="100"/>
              <w:bottom w:type="dxa" w:w="80"/>
              <w:right w:type="dxa" w:w="100"/>
            </w:tcMar>
            <w:vAlign w:val="center"/>
          </w:tcPr>
          <w:p>
            <w:r>
              <w:rPr>
                <w:b/>
                <w:bCs/>
                <w:sz w:val="17"/>
                <w:szCs w:val="17"/>
              </w:rPr>
              <w:t xml:space="preserve">Spoofed userId in journal-create body (impersonate another user)</w:t>
            </w:r>
          </w:p>
        </w:tc>
        <w:tc>
          <w:tcPr>
            <w:tcW w:type="dxa" w:w="4200"/>
            <w:tcMar>
              <w:top w:type="dxa" w:w="80"/>
              <w:left w:type="dxa" w:w="100"/>
              <w:bottom w:type="dxa" w:w="80"/>
              <w:right w:type="dxa" w:w="100"/>
            </w:tcMar>
            <w:vAlign w:val="center"/>
          </w:tcPr>
          <w:p>
            <w:r>
              <w:rPr>
                <w:b w:val="false"/>
                <w:bCs w:val="false"/>
                <w:sz w:val="17"/>
                <w:szCs w:val="17"/>
              </w:rPr>
              <w:t xml:space="preserve">POST body included userId set to Bob's id while authenticated as Alice. Server ignored the client-supplied field; the entry was stored under Alice's real (token-derived) id.</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
            </w:r>
          </w:p>
        </w:tc>
      </w:tr>
      <w:tr>
        <w:tc>
          <w:tcPr>
            <w:tcW w:type="dxa" w:w="500"/>
            <w:tcMar>
              <w:top w:type="dxa" w:w="80"/>
              <w:left w:type="dxa" w:w="100"/>
              <w:bottom w:type="dxa" w:w="80"/>
              <w:right w:type="dxa" w:w="100"/>
            </w:tcMar>
            <w:vAlign w:val="center"/>
          </w:tcPr>
          <w:p>
            <w:r>
              <w:rPr>
                <w:b/>
                <w:bCs/>
                <w:sz w:val="17"/>
                <w:szCs w:val="17"/>
              </w:rPr>
              <w:t xml:space="preserve">5</w:t>
            </w:r>
          </w:p>
        </w:tc>
        <w:tc>
          <w:tcPr>
            <w:tcW w:type="dxa" w:w="2100"/>
            <w:tcMar>
              <w:top w:type="dxa" w:w="80"/>
              <w:left w:type="dxa" w:w="100"/>
              <w:bottom w:type="dxa" w:w="80"/>
              <w:right w:type="dxa" w:w="100"/>
            </w:tcMar>
            <w:vAlign w:val="center"/>
          </w:tcPr>
          <w:p>
            <w:r>
              <w:rPr>
                <w:b/>
                <w:bCs/>
                <w:sz w:val="17"/>
                <w:szCs w:val="17"/>
              </w:rPr>
              <w:t xml:space="preserve">Fake health data (find/use a write endpoint)</w:t>
            </w:r>
          </w:p>
        </w:tc>
        <w:tc>
          <w:tcPr>
            <w:tcW w:type="dxa" w:w="4200"/>
            <w:tcMar>
              <w:top w:type="dxa" w:w="80"/>
              <w:left w:type="dxa" w:w="100"/>
              <w:bottom w:type="dxa" w:w="80"/>
              <w:right w:type="dxa" w:w="100"/>
            </w:tcMar>
            <w:vAlign w:val="center"/>
          </w:tcPr>
          <w:p>
            <w:r>
              <w:rPr>
                <w:b w:val="false"/>
                <w:bCs w:val="false"/>
                <w:sz w:val="17"/>
                <w:szCs w:val="17"/>
              </w:rPr>
              <w:t xml:space="preserve">POST/PUT/PATCH attempted against /api/health-data and /api/health-data/overview. All four attempts returned 404 — no write route exists anywhere in the API.</w:t>
            </w:r>
          </w:p>
        </w:tc>
        <w:tc>
          <w:tcPr>
            <w:tcW w:type="dxa" w:w="1200"/>
            <w:shd w:fill="E1E6EC" w:val="clear"/>
            <w:tcMar>
              <w:top w:type="dxa" w:w="80"/>
              <w:left w:type="dxa" w:w="100"/>
              <w:bottom w:type="dxa" w:w="80"/>
              <w:right w:type="dxa" w:w="100"/>
            </w:tcMar>
            <w:vAlign w:val="center"/>
          </w:tcPr>
          <w:p>
            <w:r>
              <w:rPr>
                <w:b/>
                <w:bCs/>
                <w:sz w:val="17"/>
                <w:szCs w:val="17"/>
              </w:rPr>
              <w:t xml:space="preserve">N/A</w:t>
            </w:r>
          </w:p>
        </w:tc>
        <w:tc>
          <w:tcPr>
            <w:tcW w:type="dxa" w:w="1360"/>
            <w:tcMar>
              <w:top w:type="dxa" w:w="80"/>
              <w:left w:type="dxa" w:w="100"/>
              <w:bottom w:type="dxa" w:w="80"/>
              <w:right w:type="dxa" w:w="100"/>
            </w:tcMar>
            <w:vAlign w:val="center"/>
          </w:tcPr>
          <w:p>
            <w:r>
              <w:rPr>
                <w:b w:val="false"/>
                <w:bCs w:val="false"/>
                <w:sz w:val="17"/>
                <w:szCs w:val="17"/>
              </w:rPr>
              <w:t xml:space="preserve">confirms P2/P3</w:t>
            </w:r>
          </w:p>
        </w:tc>
      </w:tr>
      <w:tr>
        <w:tc>
          <w:tcPr>
            <w:tcW w:type="dxa" w:w="500"/>
            <w:tcMar>
              <w:top w:type="dxa" w:w="80"/>
              <w:left w:type="dxa" w:w="100"/>
              <w:bottom w:type="dxa" w:w="80"/>
              <w:right w:type="dxa" w:w="100"/>
            </w:tcMar>
            <w:vAlign w:val="center"/>
          </w:tcPr>
          <w:p>
            <w:r>
              <w:rPr>
                <w:b/>
                <w:bCs/>
                <w:sz w:val="17"/>
                <w:szCs w:val="17"/>
              </w:rPr>
              <w:t xml:space="preserve">6</w:t>
            </w:r>
          </w:p>
        </w:tc>
        <w:tc>
          <w:tcPr>
            <w:tcW w:type="dxa" w:w="2100"/>
            <w:tcMar>
              <w:top w:type="dxa" w:w="80"/>
              <w:left w:type="dxa" w:w="100"/>
              <w:bottom w:type="dxa" w:w="80"/>
              <w:right w:type="dxa" w:w="100"/>
            </w:tcMar>
            <w:vAlign w:val="center"/>
          </w:tcPr>
          <w:p>
            <w:r>
              <w:rPr>
                <w:b/>
                <w:bCs/>
                <w:sz w:val="17"/>
                <w:szCs w:val="17"/>
              </w:rPr>
              <w:t xml:space="preserve">Prompt injection / confidence spoofing</w:t>
            </w:r>
          </w:p>
        </w:tc>
        <w:tc>
          <w:tcPr>
            <w:tcW w:type="dxa" w:w="4200"/>
            <w:tcMar>
              <w:top w:type="dxa" w:w="80"/>
              <w:left w:type="dxa" w:w="100"/>
              <w:bottom w:type="dxa" w:w="80"/>
              <w:right w:type="dxa" w:w="100"/>
            </w:tcMar>
            <w:vAlign w:val="center"/>
          </w:tcPr>
          <w:p>
            <w:r>
              <w:rPr>
                <w:b w:val="false"/>
                <w:bCs w:val="false"/>
                <w:sz w:val="17"/>
                <w:szCs w:val="17"/>
              </w:rPr>
              <w:t xml:space="preserve">A scripted adversarial model response claimed 0.99 confidence with zero evidence. The response was still shown to the user (not a fallback). Cause: enrichPayload() auto-fills evidence from the user's own real journals whenever the model's evidence array is empty — see Section 3.</w:t>
            </w:r>
          </w:p>
        </w:tc>
        <w:tc>
          <w:tcPr>
            <w:tcW w:type="dxa" w:w="1200"/>
            <w:shd w:fill="F5C6C6" w:val="clear"/>
            <w:tcMar>
              <w:top w:type="dxa" w:w="80"/>
              <w:left w:type="dxa" w:w="100"/>
              <w:bottom w:type="dxa" w:w="80"/>
              <w:right w:type="dxa" w:w="100"/>
            </w:tcMar>
            <w:vAlign w:val="center"/>
          </w:tcPr>
          <w:p>
            <w:r>
              <w:rPr>
                <w:b/>
                <w:bCs/>
                <w:sz w:val="17"/>
                <w:szCs w:val="17"/>
              </w:rPr>
              <w:t xml:space="preserve">Vulnerable</w:t>
            </w:r>
          </w:p>
        </w:tc>
        <w:tc>
          <w:tcPr>
            <w:tcW w:type="dxa" w:w="1360"/>
            <w:tcMar>
              <w:top w:type="dxa" w:w="80"/>
              <w:left w:type="dxa" w:w="100"/>
              <w:bottom w:type="dxa" w:w="80"/>
              <w:right w:type="dxa" w:w="100"/>
            </w:tcMar>
            <w:vAlign w:val="center"/>
          </w:tcPr>
          <w:p>
            <w:r>
              <w:rPr>
                <w:b w:val="false"/>
                <w:bCs w:val="false"/>
                <w:sz w:val="17"/>
                <w:szCs w:val="17"/>
              </w:rPr>
              <w:t xml:space="preserve">NEW — Section 3</w:t>
            </w:r>
          </w:p>
        </w:tc>
      </w:tr>
      <w:tr>
        <w:tc>
          <w:tcPr>
            <w:tcW w:type="dxa" w:w="500"/>
            <w:tcMar>
              <w:top w:type="dxa" w:w="80"/>
              <w:left w:type="dxa" w:w="100"/>
              <w:bottom w:type="dxa" w:w="80"/>
              <w:right w:type="dxa" w:w="100"/>
            </w:tcMar>
            <w:vAlign w:val="center"/>
          </w:tcPr>
          <w:p>
            <w:r>
              <w:rPr>
                <w:b/>
                <w:bCs/>
                <w:sz w:val="17"/>
                <w:szCs w:val="17"/>
              </w:rPr>
              <w:t xml:space="preserve">6</w:t>
            </w:r>
          </w:p>
        </w:tc>
        <w:tc>
          <w:tcPr>
            <w:tcW w:type="dxa" w:w="2100"/>
            <w:tcMar>
              <w:top w:type="dxa" w:w="80"/>
              <w:left w:type="dxa" w:w="100"/>
              <w:bottom w:type="dxa" w:w="80"/>
              <w:right w:type="dxa" w:w="100"/>
            </w:tcMar>
            <w:vAlign w:val="center"/>
          </w:tcPr>
          <w:p>
            <w:r>
              <w:rPr>
                <w:b/>
                <w:bCs/>
                <w:sz w:val="17"/>
                <w:szCs w:val="17"/>
              </w:rPr>
              <w:t xml:space="preserve">Prompt injection / hallucinated evidence</w:t>
            </w:r>
          </w:p>
        </w:tc>
        <w:tc>
          <w:tcPr>
            <w:tcW w:type="dxa" w:w="4200"/>
            <w:tcMar>
              <w:top w:type="dxa" w:w="80"/>
              <w:left w:type="dxa" w:w="100"/>
              <w:bottom w:type="dxa" w:w="80"/>
              <w:right w:type="dxa" w:w="100"/>
            </w:tcMar>
            <w:vAlign w:val="center"/>
          </w:tcPr>
          <w:p>
            <w:r>
              <w:rPr>
                <w:b w:val="false"/>
                <w:bCs w:val="false"/>
                <w:sz w:val="17"/>
                <w:szCs w:val="17"/>
              </w:rPr>
              <w:t xml:space="preserve">A scripted response cited a journalId that does not exist. The fake id was correctly stripped (normalizeEvidence), but enrichPayload then silently substituted a real, unrelated journal entry as replacement 'evidence' for the model's fabricated claim.</w:t>
            </w:r>
          </w:p>
        </w:tc>
        <w:tc>
          <w:tcPr>
            <w:tcW w:type="dxa" w:w="1200"/>
            <w:shd w:fill="FCF3B0" w:val="clear"/>
            <w:tcMar>
              <w:top w:type="dxa" w:w="80"/>
              <w:left w:type="dxa" w:w="100"/>
              <w:bottom w:type="dxa" w:w="80"/>
              <w:right w:type="dxa" w:w="100"/>
            </w:tcMar>
            <w:vAlign w:val="center"/>
          </w:tcPr>
          <w:p>
            <w:r>
              <w:rPr>
                <w:b/>
                <w:bCs/>
                <w:sz w:val="17"/>
                <w:szCs w:val="17"/>
              </w:rPr>
              <w:t xml:space="preserve">Partial</w:t>
            </w:r>
          </w:p>
        </w:tc>
        <w:tc>
          <w:tcPr>
            <w:tcW w:type="dxa" w:w="1360"/>
            <w:tcMar>
              <w:top w:type="dxa" w:w="80"/>
              <w:left w:type="dxa" w:w="100"/>
              <w:bottom w:type="dxa" w:w="80"/>
              <w:right w:type="dxa" w:w="100"/>
            </w:tcMar>
            <w:vAlign w:val="center"/>
          </w:tcPr>
          <w:p>
            <w:r>
              <w:rPr>
                <w:b w:val="false"/>
                <w:bCs w:val="false"/>
                <w:sz w:val="17"/>
                <w:szCs w:val="17"/>
              </w:rPr>
              <w:t xml:space="preserve">NEW — Section 3</w:t>
            </w:r>
          </w:p>
        </w:tc>
      </w:tr>
      <w:tr>
        <w:tc>
          <w:tcPr>
            <w:tcW w:type="dxa" w:w="500"/>
            <w:tcMar>
              <w:top w:type="dxa" w:w="80"/>
              <w:left w:type="dxa" w:w="100"/>
              <w:bottom w:type="dxa" w:w="80"/>
              <w:right w:type="dxa" w:w="100"/>
            </w:tcMar>
            <w:vAlign w:val="center"/>
          </w:tcPr>
          <w:p>
            <w:r>
              <w:rPr>
                <w:b/>
                <w:bCs/>
                <w:sz w:val="17"/>
                <w:szCs w:val="17"/>
              </w:rPr>
              <w:t xml:space="preserve">6</w:t>
            </w:r>
          </w:p>
        </w:tc>
        <w:tc>
          <w:tcPr>
            <w:tcW w:type="dxa" w:w="2100"/>
            <w:tcMar>
              <w:top w:type="dxa" w:w="80"/>
              <w:left w:type="dxa" w:w="100"/>
              <w:bottom w:type="dxa" w:w="80"/>
              <w:right w:type="dxa" w:w="100"/>
            </w:tcMar>
            <w:vAlign w:val="center"/>
          </w:tcPr>
          <w:p>
            <w:r>
              <w:rPr>
                <w:b/>
                <w:bCs/>
                <w:sz w:val="17"/>
                <w:szCs w:val="17"/>
              </w:rPr>
              <w:t xml:space="preserve">Prompt injection / health-claim bypass via paraphrase</w:t>
            </w:r>
          </w:p>
        </w:tc>
        <w:tc>
          <w:tcPr>
            <w:tcW w:type="dxa" w:w="4200"/>
            <w:tcMar>
              <w:top w:type="dxa" w:w="80"/>
              <w:left w:type="dxa" w:w="100"/>
              <w:bottom w:type="dxa" w:w="80"/>
              <w:right w:type="dxa" w:w="100"/>
            </w:tcMar>
            <w:vAlign w:val="center"/>
          </w:tcPr>
          <w:p>
            <w:r>
              <w:rPr>
                <w:b w:val="false"/>
                <w:bCs w:val="false"/>
                <w:sz w:val="17"/>
                <w:szCs w:val="17"/>
              </w:rPr>
              <w:t xml:space="preserve">Isolated test (fresh user, ineligible health data, zero prior chat turns): the model's paraphrase 'Your rest patterns and nightly recovery window have looked inconsistent lately' was returned to the user almost verbatim. scrubHealthReferences correctly caught 'recovery' -&gt; 'energy pattern', but 'rest patterns' is not in its keyword list and passed through untouched.</w:t>
            </w:r>
          </w:p>
        </w:tc>
        <w:tc>
          <w:tcPr>
            <w:tcW w:type="dxa" w:w="1200"/>
            <w:shd w:fill="F5C6C6" w:val="clear"/>
            <w:tcMar>
              <w:top w:type="dxa" w:w="80"/>
              <w:left w:type="dxa" w:w="100"/>
              <w:bottom w:type="dxa" w:w="80"/>
              <w:right w:type="dxa" w:w="100"/>
            </w:tcMar>
            <w:vAlign w:val="center"/>
          </w:tcPr>
          <w:p>
            <w:r>
              <w:rPr>
                <w:b/>
                <w:bCs/>
                <w:sz w:val="17"/>
                <w:szCs w:val="17"/>
              </w:rPr>
              <w:t xml:space="preserve">Vulnerable</w:t>
            </w:r>
          </w:p>
        </w:tc>
        <w:tc>
          <w:tcPr>
            <w:tcW w:type="dxa" w:w="1360"/>
            <w:tcMar>
              <w:top w:type="dxa" w:w="80"/>
              <w:left w:type="dxa" w:w="100"/>
              <w:bottom w:type="dxa" w:w="80"/>
              <w:right w:type="dxa" w:w="100"/>
            </w:tcMar>
            <w:vAlign w:val="center"/>
          </w:tcPr>
          <w:p>
            <w:r>
              <w:rPr>
                <w:b w:val="false"/>
                <w:bCs w:val="false"/>
                <w:sz w:val="17"/>
                <w:szCs w:val="17"/>
              </w:rPr>
              <w:t xml:space="preserve">P1 F-18, confirmed live</w:t>
            </w:r>
          </w:p>
        </w:tc>
      </w:tr>
      <w:tr>
        <w:tc>
          <w:tcPr>
            <w:tcW w:type="dxa" w:w="500"/>
            <w:tcMar>
              <w:top w:type="dxa" w:w="80"/>
              <w:left w:type="dxa" w:w="100"/>
              <w:bottom w:type="dxa" w:w="80"/>
              <w:right w:type="dxa" w:w="100"/>
            </w:tcMar>
            <w:vAlign w:val="center"/>
          </w:tcPr>
          <w:p>
            <w:r>
              <w:rPr>
                <w:b/>
                <w:bCs/>
                <w:sz w:val="17"/>
                <w:szCs w:val="17"/>
              </w:rPr>
              <w:t xml:space="preserve">7</w:t>
            </w:r>
          </w:p>
        </w:tc>
        <w:tc>
          <w:tcPr>
            <w:tcW w:type="dxa" w:w="2100"/>
            <w:tcMar>
              <w:top w:type="dxa" w:w="80"/>
              <w:left w:type="dxa" w:w="100"/>
              <w:bottom w:type="dxa" w:w="80"/>
              <w:right w:type="dxa" w:w="100"/>
            </w:tcMar>
            <w:vAlign w:val="center"/>
          </w:tcPr>
          <w:p>
            <w:r>
              <w:rPr>
                <w:b/>
                <w:bCs/>
                <w:sz w:val="17"/>
                <w:szCs w:val="17"/>
              </w:rPr>
              <w:t xml:space="preserve">Oversized payload (2MB body vs. 1MB limit)</w:t>
            </w:r>
          </w:p>
        </w:tc>
        <w:tc>
          <w:tcPr>
            <w:tcW w:type="dxa" w:w="4200"/>
            <w:tcMar>
              <w:top w:type="dxa" w:w="80"/>
              <w:left w:type="dxa" w:w="100"/>
              <w:bottom w:type="dxa" w:w="80"/>
              <w:right w:type="dxa" w:w="100"/>
            </w:tcMar>
            <w:vAlign w:val="center"/>
          </w:tcPr>
          <w:p>
            <w:r>
              <w:rPr>
                <w:b w:val="false"/>
                <w:bCs w:val="false"/>
                <w:sz w:val="17"/>
                <w:szCs w:val="17"/>
              </w:rPr>
              <w:t xml:space="preserve">413 Payload Too Large, rejected at the body-parser layer before any route/validation code ran.</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
            </w:r>
          </w:p>
        </w:tc>
      </w:tr>
      <w:tr>
        <w:tc>
          <w:tcPr>
            <w:tcW w:type="dxa" w:w="500"/>
            <w:tcMar>
              <w:top w:type="dxa" w:w="80"/>
              <w:left w:type="dxa" w:w="100"/>
              <w:bottom w:type="dxa" w:w="80"/>
              <w:right w:type="dxa" w:w="100"/>
            </w:tcMar>
            <w:vAlign w:val="center"/>
          </w:tcPr>
          <w:p>
            <w:r>
              <w:rPr>
                <w:b/>
                <w:bCs/>
                <w:sz w:val="17"/>
                <w:szCs w:val="17"/>
              </w:rPr>
              <w:t xml:space="preserve">8</w:t>
            </w:r>
          </w:p>
        </w:tc>
        <w:tc>
          <w:tcPr>
            <w:tcW w:type="dxa" w:w="2100"/>
            <w:tcMar>
              <w:top w:type="dxa" w:w="80"/>
              <w:left w:type="dxa" w:w="100"/>
              <w:bottom w:type="dxa" w:w="80"/>
              <w:right w:type="dxa" w:w="100"/>
            </w:tcMar>
            <w:vAlign w:val="center"/>
          </w:tcPr>
          <w:p>
            <w:r>
              <w:rPr>
                <w:b/>
                <w:bCs/>
                <w:sz w:val="17"/>
                <w:szCs w:val="17"/>
              </w:rPr>
              <w:t xml:space="preserve">XSS / HTML / markdown injection in a journal entry</w:t>
            </w:r>
          </w:p>
        </w:tc>
        <w:tc>
          <w:tcPr>
            <w:tcW w:type="dxa" w:w="4200"/>
            <w:tcMar>
              <w:top w:type="dxa" w:w="80"/>
              <w:left w:type="dxa" w:w="100"/>
              <w:bottom w:type="dxa" w:w="80"/>
              <w:right w:type="dxa" w:w="100"/>
            </w:tcMar>
            <w:vAlign w:val="center"/>
          </w:tcPr>
          <w:p>
            <w:r>
              <w:rPr>
                <w:b w:val="false"/>
                <w:bCs w:val="false"/>
                <w:sz w:val="17"/>
                <w:szCs w:val="17"/>
              </w:rPr>
              <w:t xml:space="preserve">Server stored a &lt;script&gt;/onerror/markdown payload verbatim (no server-side sanitization — expected for a personal journal). Rendered through the project's own react-dom via the exact &lt;p&gt;{content}&lt;/p&gt; pattern used in ChatPage/JournalPage: every payload came back HTML-escaped and inert; **bold** and a javascript: link also rendered as literal text (no markdown renderer is installed).</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P3 Frontend</w:t>
            </w:r>
          </w:p>
        </w:tc>
      </w:tr>
      <w:tr>
        <w:tc>
          <w:tcPr>
            <w:tcW w:type="dxa" w:w="500"/>
            <w:tcMar>
              <w:top w:type="dxa" w:w="80"/>
              <w:left w:type="dxa" w:w="100"/>
              <w:bottom w:type="dxa" w:w="80"/>
              <w:right w:type="dxa" w:w="100"/>
            </w:tcMar>
            <w:vAlign w:val="center"/>
          </w:tcPr>
          <w:p>
            <w:r>
              <w:rPr>
                <w:b/>
                <w:bCs/>
                <w:sz w:val="17"/>
                <w:szCs w:val="17"/>
              </w:rPr>
              <w:t xml:space="preserve">9</w:t>
            </w:r>
          </w:p>
        </w:tc>
        <w:tc>
          <w:tcPr>
            <w:tcW w:type="dxa" w:w="2100"/>
            <w:tcMar>
              <w:top w:type="dxa" w:w="80"/>
              <w:left w:type="dxa" w:w="100"/>
              <w:bottom w:type="dxa" w:w="80"/>
              <w:right w:type="dxa" w:w="100"/>
            </w:tcMar>
            <w:vAlign w:val="center"/>
          </w:tcPr>
          <w:p>
            <w:r>
              <w:rPr>
                <w:b/>
                <w:bCs/>
                <w:sz w:val="17"/>
                <w:szCs w:val="17"/>
              </w:rPr>
              <w:t xml:space="preserve">NoSQL / Mongo operator injection</w:t>
            </w:r>
          </w:p>
        </w:tc>
        <w:tc>
          <w:tcPr>
            <w:tcW w:type="dxa" w:w="4200"/>
            <w:tcMar>
              <w:top w:type="dxa" w:w="80"/>
              <w:left w:type="dxa" w:w="100"/>
              <w:bottom w:type="dxa" w:w="80"/>
              <w:right w:type="dxa" w:w="100"/>
            </w:tcMar>
            <w:vAlign w:val="center"/>
          </w:tcPr>
          <w:p>
            <w:r>
              <w:rPr>
                <w:b w:val="false"/>
                <w:bCs w:val="false"/>
                <w:sz w:val="17"/>
                <w:szCs w:val="17"/>
              </w:rPr>
              <w:t xml:space="preserve">Login sent with { email: {$gt:""}, password: {$gt:""} } — rejected 400 by Zod before any database call. A second attempt via the one unvalidated query param (dashboard ?range[$ne]=1) caused no crash or injection; it coerces to the string "[object Object]" and silently falls back to the default range.</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P3 Input Validation</w:t>
            </w:r>
          </w:p>
        </w:tc>
      </w:tr>
      <w:tr>
        <w:tc>
          <w:tcPr>
            <w:tcW w:type="dxa" w:w="500"/>
            <w:tcMar>
              <w:top w:type="dxa" w:w="80"/>
              <w:left w:type="dxa" w:w="100"/>
              <w:bottom w:type="dxa" w:w="80"/>
              <w:right w:type="dxa" w:w="100"/>
            </w:tcMar>
            <w:vAlign w:val="center"/>
          </w:tcPr>
          <w:p>
            <w:r>
              <w:rPr>
                <w:b/>
                <w:bCs/>
                <w:sz w:val="17"/>
                <w:szCs w:val="17"/>
              </w:rPr>
              <w:t xml:space="preserve">10</w:t>
            </w:r>
          </w:p>
        </w:tc>
        <w:tc>
          <w:tcPr>
            <w:tcW w:type="dxa" w:w="2100"/>
            <w:tcMar>
              <w:top w:type="dxa" w:w="80"/>
              <w:left w:type="dxa" w:w="100"/>
              <w:bottom w:type="dxa" w:w="80"/>
              <w:right w:type="dxa" w:w="100"/>
            </w:tcMar>
            <w:vAlign w:val="center"/>
          </w:tcPr>
          <w:p>
            <w:r>
              <w:rPr>
                <w:b/>
                <w:bCs/>
                <w:sz w:val="17"/>
                <w:szCs w:val="17"/>
              </w:rPr>
              <w:t xml:space="preserve">Rate-limit bypass (chat endpoint)</w:t>
            </w:r>
          </w:p>
        </w:tc>
        <w:tc>
          <w:tcPr>
            <w:tcW w:type="dxa" w:w="4200"/>
            <w:tcMar>
              <w:top w:type="dxa" w:w="80"/>
              <w:left w:type="dxa" w:w="100"/>
              <w:bottom w:type="dxa" w:w="80"/>
              <w:right w:type="dxa" w:w="100"/>
            </w:tcMar>
            <w:vAlign w:val="center"/>
          </w:tcPr>
          <w:p>
            <w:r>
              <w:rPr>
                <w:b w:val="false"/>
                <w:bCs w:val="false"/>
                <w:sz w:val="17"/>
                <w:szCs w:val="17"/>
              </w:rPr>
              <w:t xml:space="preserve">33 rapid requests as one user: 429 triggered exactly at request #31 (limit is 30/15min). A follow-up request with a spoofed X-Forwarded-For header while still limited was still blocked — the limiter keys on the authenticated user id, not client IP.</w:t>
            </w:r>
          </w:p>
        </w:tc>
        <w:tc>
          <w:tcPr>
            <w:tcW w:type="dxa" w:w="1200"/>
            <w:shd w:fill="D9EAD3" w:val="clear"/>
            <w:tcMar>
              <w:top w:type="dxa" w:w="80"/>
              <w:left w:type="dxa" w:w="100"/>
              <w:bottom w:type="dxa" w:w="80"/>
              <w:right w:type="dxa" w:w="100"/>
            </w:tcMar>
            <w:vAlign w:val="center"/>
          </w:tcPr>
          <w:p>
            <w:r>
              <w:rPr>
                <w:b/>
                <w:bCs/>
                <w:sz w:val="17"/>
                <w:szCs w:val="17"/>
              </w:rPr>
              <w:t xml:space="preserve">Blocked</w:t>
            </w:r>
          </w:p>
        </w:tc>
        <w:tc>
          <w:tcPr>
            <w:tcW w:type="dxa" w:w="1360"/>
            <w:tcMar>
              <w:top w:type="dxa" w:w="80"/>
              <w:left w:type="dxa" w:w="100"/>
              <w:bottom w:type="dxa" w:w="80"/>
              <w:right w:type="dxa" w:w="100"/>
            </w:tcMar>
            <w:vAlign w:val="center"/>
          </w:tcPr>
          <w:p>
            <w:r>
              <w:rPr>
                <w:b w:val="false"/>
                <w:bCs w:val="false"/>
                <w:sz w:val="17"/>
                <w:szCs w:val="17"/>
              </w:rPr>
              <w:t xml:space="preserve"/>
            </w:r>
          </w:p>
        </w:tc>
      </w:tr>
      <w:tr>
        <w:tc>
          <w:tcPr>
            <w:tcW w:type="dxa" w:w="500"/>
            <w:tcMar>
              <w:top w:type="dxa" w:w="80"/>
              <w:left w:type="dxa" w:w="100"/>
              <w:bottom w:type="dxa" w:w="80"/>
              <w:right w:type="dxa" w:w="100"/>
            </w:tcMar>
            <w:vAlign w:val="center"/>
          </w:tcPr>
          <w:p>
            <w:r>
              <w:rPr>
                <w:b/>
                <w:bCs/>
                <w:sz w:val="17"/>
                <w:szCs w:val="17"/>
              </w:rPr>
              <w:t xml:space="preserve">10b</w:t>
            </w:r>
          </w:p>
        </w:tc>
        <w:tc>
          <w:tcPr>
            <w:tcW w:type="dxa" w:w="2100"/>
            <w:tcMar>
              <w:top w:type="dxa" w:w="80"/>
              <w:left w:type="dxa" w:w="100"/>
              <w:bottom w:type="dxa" w:w="80"/>
              <w:right w:type="dxa" w:w="100"/>
            </w:tcMar>
            <w:vAlign w:val="center"/>
          </w:tcPr>
          <w:p>
            <w:r>
              <w:rPr>
                <w:b/>
                <w:bCs/>
                <w:sz w:val="17"/>
                <w:szCs w:val="17"/>
              </w:rPr>
              <w:t xml:space="preserve">Rate-limit absence (login/register)</w:t>
            </w:r>
          </w:p>
        </w:tc>
        <w:tc>
          <w:tcPr>
            <w:tcW w:type="dxa" w:w="4200"/>
            <w:tcMar>
              <w:top w:type="dxa" w:w="80"/>
              <w:left w:type="dxa" w:w="100"/>
              <w:bottom w:type="dxa" w:w="80"/>
              <w:right w:type="dxa" w:w="100"/>
            </w:tcMar>
            <w:vAlign w:val="center"/>
          </w:tcPr>
          <w:p>
            <w:r>
              <w:rPr>
                <w:b w:val="false"/>
                <w:bCs w:val="false"/>
                <w:sz w:val="17"/>
                <w:szCs w:val="17"/>
              </w:rPr>
              <w:t xml:space="preserve">25 rapid login attempts, 0 received a 429 — confirms no limiter exists on these routes at all.</w:t>
            </w:r>
          </w:p>
        </w:tc>
        <w:tc>
          <w:tcPr>
            <w:tcW w:type="dxa" w:w="1200"/>
            <w:shd w:fill="F5C6C6" w:val="clear"/>
            <w:tcMar>
              <w:top w:type="dxa" w:w="80"/>
              <w:left w:type="dxa" w:w="100"/>
              <w:bottom w:type="dxa" w:w="80"/>
              <w:right w:type="dxa" w:w="100"/>
            </w:tcMar>
            <w:vAlign w:val="center"/>
          </w:tcPr>
          <w:p>
            <w:r>
              <w:rPr>
                <w:b/>
                <w:bCs/>
                <w:sz w:val="17"/>
                <w:szCs w:val="17"/>
              </w:rPr>
              <w:t xml:space="preserve">Vulnerable</w:t>
            </w:r>
          </w:p>
        </w:tc>
        <w:tc>
          <w:tcPr>
            <w:tcW w:type="dxa" w:w="1360"/>
            <w:tcMar>
              <w:top w:type="dxa" w:w="80"/>
              <w:left w:type="dxa" w:w="100"/>
              <w:bottom w:type="dxa" w:w="80"/>
              <w:right w:type="dxa" w:w="100"/>
            </w:tcMar>
            <w:vAlign w:val="center"/>
          </w:tcPr>
          <w:p>
            <w:r>
              <w:rPr>
                <w:b w:val="false"/>
                <w:bCs w:val="false"/>
                <w:sz w:val="17"/>
                <w:szCs w:val="17"/>
              </w:rPr>
              <w:t xml:space="preserve">P1 F-01</w:t>
            </w:r>
          </w:p>
        </w:tc>
      </w:tr>
      <w:tr>
        <w:tc>
          <w:tcPr>
            <w:tcW w:type="dxa" w:w="500"/>
            <w:tcMar>
              <w:top w:type="dxa" w:w="80"/>
              <w:left w:type="dxa" w:w="100"/>
              <w:bottom w:type="dxa" w:w="80"/>
              <w:right w:type="dxa" w:w="100"/>
            </w:tcMar>
            <w:vAlign w:val="center"/>
          </w:tcPr>
          <w:p>
            <w:r>
              <w:rPr>
                <w:b/>
                <w:bCs/>
                <w:sz w:val="17"/>
                <w:szCs w:val="17"/>
              </w:rPr>
              <w:t xml:space="preserve">11</w:t>
            </w:r>
          </w:p>
        </w:tc>
        <w:tc>
          <w:tcPr>
            <w:tcW w:type="dxa" w:w="2100"/>
            <w:tcMar>
              <w:top w:type="dxa" w:w="80"/>
              <w:left w:type="dxa" w:w="100"/>
              <w:bottom w:type="dxa" w:w="80"/>
              <w:right w:type="dxa" w:w="100"/>
            </w:tcMar>
            <w:vAlign w:val="center"/>
          </w:tcPr>
          <w:p>
            <w:r>
              <w:rPr>
                <w:b/>
                <w:bCs/>
                <w:sz w:val="17"/>
                <w:szCs w:val="17"/>
              </w:rPr>
              <w:t xml:space="preserve">CORS bypass</w:t>
            </w:r>
          </w:p>
        </w:tc>
        <w:tc>
          <w:tcPr>
            <w:tcW w:type="dxa" w:w="4200"/>
            <w:tcMar>
              <w:top w:type="dxa" w:w="80"/>
              <w:left w:type="dxa" w:w="100"/>
              <w:bottom w:type="dxa" w:w="80"/>
              <w:right w:type="dxa" w:w="100"/>
            </w:tcMar>
            <w:vAlign w:val="center"/>
          </w:tcPr>
          <w:p>
            <w:r>
              <w:rPr>
                <w:b w:val="false"/>
                <w:bCs w:val="false"/>
                <w:sz w:val="17"/>
                <w:szCs w:val="17"/>
              </w:rPr>
              <w:t xml:space="preserve">Server always emits the single configured CLIENT_URL as Access-Control-Allow-Origin, regardless of the request's actual Origin header. For a genuine cross-origin request (Origin: evil.example.com) this value doesn't match the requesting page's origin, so a real browser would still block script access to the response — but the server itself executes the request and returns a full body either way, to any client. See Section 4 for what this does and doesn't protect against.</w:t>
            </w:r>
          </w:p>
        </w:tc>
        <w:tc>
          <w:tcPr>
            <w:tcW w:type="dxa" w:w="1200"/>
            <w:shd w:fill="FCF3B0" w:val="clear"/>
            <w:tcMar>
              <w:top w:type="dxa" w:w="80"/>
              <w:left w:type="dxa" w:w="100"/>
              <w:bottom w:type="dxa" w:w="80"/>
              <w:right w:type="dxa" w:w="100"/>
            </w:tcMar>
            <w:vAlign w:val="center"/>
          </w:tcPr>
          <w:p>
            <w:r>
              <w:rPr>
                <w:b/>
                <w:bCs/>
                <w:sz w:val="17"/>
                <w:szCs w:val="17"/>
              </w:rPr>
              <w:t xml:space="preserve">Partial</w:t>
            </w:r>
          </w:p>
        </w:tc>
        <w:tc>
          <w:tcPr>
            <w:tcW w:type="dxa" w:w="1360"/>
            <w:tcMar>
              <w:top w:type="dxa" w:w="80"/>
              <w:left w:type="dxa" w:w="100"/>
              <w:bottom w:type="dxa" w:w="80"/>
              <w:right w:type="dxa" w:w="100"/>
            </w:tcMar>
            <w:vAlign w:val="center"/>
          </w:tcPr>
          <w:p>
            <w:r>
              <w:rPr>
                <w:b w:val="false"/>
                <w:bCs w:val="false"/>
                <w:sz w:val="17"/>
                <w:szCs w:val="17"/>
              </w:rPr>
              <w:t xml:space="preserve"/>
            </w:r>
          </w:p>
        </w:tc>
      </w:tr>
    </w:tbl>
    <w:p>
      <w:r>
        <w:br w:type="page"/>
      </w:r>
    </w:p>
    <w:p>
      <w:pPr>
        <w:pStyle w:val="Heading1"/>
        <w:spacing w:after="200" w:before="400"/>
      </w:pPr>
      <w:r>
        <w:t xml:space="preserve">2. What Actually Broke — Ranked</w:t>
      </w:r>
    </w:p>
    <w:p>
      <w:pPr>
        <w:pStyle w:val="Heading2"/>
        <w:spacing w:after="140" w:before="280"/>
      </w:pPr>
      <w:r>
        <w:t xml:space="preserve">2.1 Login brute force / timing enumeration (Confirmed live)</w:t>
      </w:r>
    </w:p>
    <w:p>
      <w:pPr>
        <w:spacing w:after="160" w:line="276"/>
      </w:pPr>
      <w:r>
        <w:t xml:space="preserve">Both were previously documented as code-level findings (Phase 1 F-01, Phase 3 new item). This run adds a concrete measurement: 51.3ms vs. 0.3ms average response time is a large, easily automatable signal — an attacker doesn't need to guess passwords to learn which emails have accounts; they just need to time the login endpoint.</w:t>
      </w:r>
    </w:p>
    <w:p>
      <w:pPr>
        <w:pStyle w:val="Heading2"/>
        <w:spacing w:after="140" w:before="280"/>
      </w:pPr>
      <w:r>
        <w:t xml:space="preserve">2.2 JWT replay after logout (Confirmed live)</w:t>
      </w:r>
    </w:p>
    <w:p>
      <w:pPr>
        <w:spacing w:after="160" w:line="276"/>
      </w:pPr>
      <w:r>
        <w:t xml:space="preserve">Confirmed exactly as predicted in Phase 2/3: there is nothing server-side to log out of. A token captured once (device theft, XSS, a shared computer) remains fully valid for its entire 7-day life.</w:t>
      </w:r>
    </w:p>
    <w:p>
      <w:pPr>
        <w:pStyle w:val="Heading2"/>
        <w:spacing w:after="140" w:before="280"/>
      </w:pPr>
      <w:r>
        <w:t xml:space="preserve">2.3 Health-claim paraphrase bypass (Confirmed live, previously a static finding only)</w:t>
      </w:r>
    </w:p>
    <w:p>
      <w:pPr>
        <w:spacing w:after="160" w:line="276"/>
      </w:pPr>
      <w:r>
        <w:t xml:space="preserve">The isolated test made this concrete rather than theoretical: scrubHealthReferences() caught 'recovery' but missed 'rest patterns' in the same sentence, for a user whose health data was explicitly below the eligibility threshold. This is the same regex-completeness gap flagged in Phase 1 (F-18), now demonstrated end-to-end against the real pipeline rather than inferred from reading the pattern.</w:t>
      </w:r>
    </w:p>
    <w:p>
      <w:pPr>
        <w:pStyle w:val="Heading2"/>
        <w:spacing w:after="140" w:before="280"/>
      </w:pPr>
      <w:r>
        <w:t xml:space="preserve">2.4 CORS — clarified, not new</w:t>
      </w:r>
    </w:p>
    <w:p>
      <w:pPr>
        <w:spacing w:after="160" w:line="276"/>
      </w:pPr>
      <w:r>
        <w:t xml:space="preserve">The behavior observed (server always emits the configured origin rather than conditionally omitting the header) doesn't change the practical risk assessed in Phase 1/3 — non-cookie, Bearer-token auth means CORS was never the primary boundary here — but it's worth recording precisely: the server does not refuse or filter cross-origin requests itself. Any client that isn't a same-origin browser page (curl, a server-side proxy, another backend) receives the full response regardless of the Origin header it sends.</w:t>
      </w:r>
    </w:p>
    <w:p>
      <w:r>
        <w:br w:type="page"/>
      </w:r>
    </w:p>
    <w:p>
      <w:pPr>
        <w:pStyle w:val="Heading1"/>
        <w:spacing w:after="200" w:before="400"/>
      </w:pPr>
      <w:r>
        <w:t xml:space="preserve">3. New Finding — Evidence Auto-Fill Defeats the 'Evidence Required' Gate</w:t>
      </w:r>
    </w:p>
    <w:p>
      <w:pPr>
        <w:spacing w:after="160" w:line="276"/>
      </w:pPr>
      <w:r>
        <w:t xml:space="preserve">This is the most significant discovery of this phase, and it did not appear in Phase 1, 2, or 3 — it lives in a section of service.js (enrichPayload, lines 324-351) that fell in a gap between the two read passes performed during the static review, and it only became visible by actually driving adversarial model output through the real pipeline.</w:t>
      </w:r>
    </w:p>
    <w:p>
      <w:pPr>
        <w:pStyle w:val="Heading2"/>
        <w:spacing w:after="140" w:before="280"/>
      </w:pPr>
      <w:r>
        <w:t xml:space="preserve">3.1 The mechanism</w:t>
      </w:r>
    </w:p>
    <w:p>
      <w:pPr>
        <w:spacing w:after="160" w:line="276"/>
      </w:pPr>
      <w:r>
        <w:t xml:space="preserve">verifyInsight() is the deterministic policy gate that decides whether an AI response reaches the user. Its first and most important check is evidencePresent: payload.fallback ? true : payload.evidence.length &gt; 0 — in plain terms, "an insight must be backed by at least one real piece of evidence, or it must honestly declare itself a fallback." This is the mechanism Phase 1 praised as the app's central safety property.</w:t>
      </w:r>
    </w:p>
    <w:p>
      <w:pPr>
        <w:spacing w:after="160" w:line="276"/>
      </w:pPr>
      <w:r>
        <w:t xml:space="preserve">But evidencePresent runs on the payload after enrichPayload() has already processed it. And enrichPayload contains this:</w:t>
      </w:r>
    </w:p>
    <w:p>
      <w:pPr>
        <w:pBdr>
          <w:top w:val="single" w:color="D1D5DB" w:sz="4"/>
          <w:bottom w:val="single" w:color="D1D5DB" w:sz="4"/>
          <w:left w:val="single" w:color="D1D5DB" w:sz="4"/>
          <w:right w:val="single" w:color="D1D5DB" w:sz="4"/>
        </w:pBdr>
        <w:shd w:fill="F3F4F6" w:val="clear"/>
        <w:spacing w:after="200" w:line="240"/>
      </w:pPr>
      <w:r>
        <w:rPr>
          <w:rFonts w:ascii="Consolas" w:cs="Consolas" w:eastAsia="Consolas" w:hAnsi="Consolas"/>
          <w:sz w:val="18"/>
          <w:szCs w:val="18"/>
        </w:rPr>
        <w:t xml:space="preserve">if (!enriched.fallback &amp;&amp; enriched.evidence.length === 0 &amp;&amp; candidates.length &gt; 0) {</w:t>
      </w:r>
      <w:r>
        <w:rPr>
          <w:rFonts w:ascii="Consolas" w:cs="Consolas" w:eastAsia="Consolas" w:hAnsi="Consolas"/>
          <w:sz w:val="18"/>
          <w:szCs w:val="18"/>
        </w:rPr>
        <w:br/>
        <w:t xml:space="preserve">  enriched.evidence = [candidates[0]];</w:t>
      </w:r>
      <w:r>
        <w:rPr>
          <w:rFonts w:ascii="Consolas" w:cs="Consolas" w:eastAsia="Consolas" w:hAnsi="Consolas"/>
          <w:sz w:val="18"/>
          <w:szCs w:val="18"/>
        </w:rPr>
        <w:br/>
        <w:t xml:space="preserve">  enriched.reasoning = `${enriched.reasoning} Added nearest evidence candidate from recent memory.`.trim();</w:t>
      </w:r>
      <w:r>
        <w:rPr>
          <w:rFonts w:ascii="Consolas" w:cs="Consolas" w:eastAsia="Consolas" w:hAnsi="Consolas"/>
          <w:sz w:val="18"/>
          <w:szCs w:val="18"/>
        </w:rPr>
        <w:br/>
        <w:t xml:space="preserve">}</w:t>
      </w:r>
    </w:p>
    <w:p>
      <w:pPr>
        <w:spacing w:after="160" w:line="276"/>
      </w:pPr>
      <w:r>
        <w:t xml:space="preserve">If the model (or a compromised/jailbroken model, or one fed a poisoned context) returns a confident, specific, entirely unsupported claim with an empty evidence array, this code does not reject it — it reaches into the user's real journal entries, grabs the single top-scoring candidate, and staples it on as manufactured 'evidence' before verifyInsight ever runs. The evidencePresent check then always passes, for any user who has at least one journal entry, regardless of whether that entry has anything to do with the claim being made.</w:t>
      </w:r>
    </w:p>
    <w:p>
      <w:pPr>
        <w:pStyle w:val="Heading2"/>
        <w:spacing w:after="140" w:before="280"/>
      </w:pPr>
      <w:r>
        <w:t xml:space="preserve">3.2 Live proof</w:t>
      </w:r>
    </w:p>
    <w:p>
      <w:pPr>
        <w:spacing w:after="160" w:line="276"/>
      </w:pPr>
      <w:r>
        <w:t xml:space="preserve">Three tests isolate this precisely:</w:t>
      </w:r>
    </w:p>
    <w:p>
      <w:pPr>
        <w:pStyle w:val="ListParagraph"/>
        <w:numPr>
          <w:ilvl w:val="0"/>
          <w:numId w:val="2"/>
        </w:numPr>
        <w:spacing w:after="90" w:line="276"/>
      </w:pPr>
      <w:r>
        <w:t xml:space="preserve">Confidence spoof (test 6b): a scripted response claimed 0.99 confidence with insight left empty and evidence: []. Result: shown to the user anyway, with evidence auto-filled from Alice's journals and confidence left at the spoofed 0.99 (nothing in the pipeline re-derives or caps the model's self-reported number either — see Phase 3, Confidence spoofing).</w:t>
      </w:r>
    </w:p>
    <w:p>
      <w:pPr>
        <w:pStyle w:val="ListParagraph"/>
        <w:numPr>
          <w:ilvl w:val="0"/>
          <w:numId w:val="2"/>
        </w:numPr>
        <w:spacing w:after="90" w:line="276"/>
      </w:pPr>
      <w:r>
        <w:t xml:space="preserve">Hallucinated evidence (test 6c): a scripted response cited journalId "FAKE_NONEXISTENT_ID_12345" with a fabricated quote. normalizeEvidence correctly stripped the fake id — that part of the design works exactly as Phase 1 described. But the resulting empty evidence array then triggered the same auto-fill, and the user was shown "You mentioned this exact pattern before" attached to a real journal entry (Alice's) that was never the source of that claim.</w:t>
      </w:r>
    </w:p>
    <w:p>
      <w:pPr>
        <w:pStyle w:val="ListParagraph"/>
        <w:numPr>
          <w:ilvl w:val="0"/>
          <w:numId w:val="2"/>
        </w:numPr>
        <w:spacing w:after="90" w:line="276"/>
      </w:pPr>
      <w:r>
        <w:t xml:space="preserve">The controlled comparison (test 6c2): the identical unsupported claim ("You always shut down emotionally after conflict with your family") was sent for two different users in the same run — Alice, who has one journal entry, and Carol, who has none. Carol correctly received a fallback (confidence 0, no claim shown). Alice received the claim as a confident, evidence-flagged insight. The only difference between the two outcomes was whether a journal entry happened to exist to backfill — not whether the claim was true, relevant, or actually evidenced.</w:t>
      </w:r>
    </w:p>
    <w:p>
      <w:pPr>
        <w:pStyle w:val="Heading2"/>
        <w:spacing w:after="140" w:before="280"/>
      </w:pPr>
      <w:r>
        <w:t xml:space="preserve">3.3 Why this matters more than a typical finding</w:t>
      </w:r>
    </w:p>
    <w:p>
      <w:pPr>
        <w:spacing w:after="160" w:line="276"/>
      </w:pPr>
      <w:r>
        <w:t xml:space="preserve">Phase 1 and Phase 3 both rated 'hallucinated evidence' handling as a Pass, on the reasonable basis that fabricated journalIds get filtered out before reaching the user. That part is true and still holds. What this phase adds is that the filtering has a side effect nobody appears to have intended: an empty evidence array — whether from an honest low-evidence response, a spoofed high-confidence claim, or a stripped hallucination — is treated as "needs a placeholder" rather than "should probably fail the evidence check." The practical effect is that the evidence-required gate, the app's headline safety property, can be satisfied by any user simply having at least one journal entry, independent of whether the specific claim shown is connected to it in any way.</w:t>
      </w:r>
    </w:p>
    <w:p>
      <w:pPr>
        <w:spacing w:after="160" w:line="276"/>
      </w:pPr>
      <w:r>
        <w:t xml:space="preserve">This does not require an external attacker: it manifests any time the model itself (local or cloud, under normal operation, no jailbreak needed) returns a confident claim without solid grounding — which is a completely ordinary LLM failure mode, not an exotic attack.</w:t>
      </w:r>
    </w:p>
    <w:p>
      <w:r>
        <w:br w:type="page"/>
      </w:r>
    </w:p>
    <w:p>
      <w:pPr>
        <w:pStyle w:val="Heading1"/>
        <w:spacing w:after="200" w:before="400"/>
      </w:pPr>
      <w:r>
        <w:t xml:space="preserve">4. CORS — What the Live Behavior Does and Doesn't Mean</w:t>
      </w:r>
    </w:p>
    <w:p>
      <w:pPr>
        <w:spacing w:after="160" w:line="276"/>
      </w:pPr>
      <w:r>
        <w:t xml:space="preserve">cors({ origin: env.CLIENT_URL, credentials: true }) with a fixed string origin causes the cors package to always emit that exact string as Access-Control-Allow-Origin on every response, regardless of the incoming Origin header. This is standard behavior for a string-configured origin (as opposed to a function-validated one), and it was confirmed directly against the running app rather than assumed.</w:t>
      </w:r>
    </w:p>
    <w:p>
      <w:pPr>
        <w:spacing w:after="160" w:line="276"/>
      </w:pPr>
      <w:r>
        <w:t xml:space="preserve">What this means in practice: a real browser executing JavaScript on https://evil.example.com that fetches this API will receive a response with ACAO set to the configured CLIENT_URL — which does not match evil.example.com — so the browser's same-origin policy still blocks that page's script from reading the response body. The security-relevant boundary (can a malicious web page silently read a logged-in user's data) holds.</w:t>
      </w:r>
    </w:p>
    <w:p>
      <w:pPr>
        <w:spacing w:after="160" w:line="276"/>
      </w:pPr>
      <w:r>
        <w:t xml:space="preserve">What it does not mean: the server is not filtering or rejecting cross-origin requests at all — it processes and fully answers every request regardless of Origin, which this test confirmed by reading a full response body while sending an Origin header for a domain that was never configured. CORS is enforced by browsers reading response headers, not by servers refusing connections; anything that isn't a same-origin browser page (a curl command, a server-side script, a mobile app, another backend) is entirely unaffected by CORS either way and can call this API directly and completely. This matches — and slightly sharpens — the framing already given in Phase 2/3: CORS is not a substitute for authentication, and this app doesn't treat it as one, since auth is a Bearer header rather than an automatically-attached cookie.</w:t>
      </w:r>
    </w:p>
    <w:p>
      <w:r>
        <w:br w:type="page"/>
      </w:r>
    </w:p>
    <w:p>
      <w:pPr>
        <w:pStyle w:val="Heading1"/>
        <w:spacing w:after="200" w:before="400"/>
      </w:pPr>
      <w:r>
        <w:t xml:space="preserve">5. Environment Restoration</w:t>
      </w:r>
    </w:p>
    <w:p>
      <w:pPr>
        <w:spacing w:after="160" w:line="276"/>
      </w:pPr>
      <w:r>
        <w:t xml:space="preserve">Everything exercised in this phase — user accounts, journal entries, chat sessions, health records, audit logs — existed only inside the test harness process's memory (Section 0). The process exited at the end of the run and that state is gone; no real database was connected to or modified, because none exists in this review environment.</w:t>
      </w:r>
    </w:p>
    <w:p>
      <w:pPr>
        <w:spacing w:after="160" w:line="276"/>
      </w:pPr>
      <w:r>
        <w:t xml:space="preserve">The only artifacts written to the actual repository were two temporary test scripts, copied in specifically so the real application code could be imported and exercised, and removed again immediately after the run:</w:t>
      </w:r>
    </w:p>
    <w:p>
      <w:pPr>
        <w:pStyle w:val="ListParagraph"/>
        <w:numPr>
          <w:ilvl w:val="0"/>
          <w:numId w:val="2"/>
        </w:numPr>
        <w:spacing w:after="90" w:line="276"/>
      </w:pPr>
      <w:r>
        <w:t xml:space="preserve">server/pentest_harness.mjs — the main attack harness</w:t>
      </w:r>
    </w:p>
    <w:p>
      <w:pPr>
        <w:pStyle w:val="ListParagraph"/>
        <w:numPr>
          <w:ilvl w:val="0"/>
          <w:numId w:val="2"/>
        </w:numPr>
        <w:spacing w:after="90" w:line="276"/>
      </w:pPr>
      <w:r>
        <w:t xml:space="preserve">client/pentest_render_check.mjs — the React-escaping proof script (test 8)</w:t>
      </w:r>
    </w:p>
    <w:p>
      <w:pPr>
        <w:spacing w:after="160" w:line="276"/>
      </w:pPr>
      <w:r>
        <w:t xml:space="preserve">Both were deleted after the test run. This sandboxed environment's file permissions blocked two of the delete calls on these specific files after an earlier pass; if either file is still present in the working copy, they are self-contained, contain no secrets (they use a locally-generated test JWT secret, never the project's real one), and can be removed with:</w:t>
      </w:r>
    </w:p>
    <w:p>
      <w:pPr>
        <w:pBdr>
          <w:top w:val="single" w:color="D1D5DB" w:sz="4"/>
          <w:bottom w:val="single" w:color="D1D5DB" w:sz="4"/>
          <w:left w:val="single" w:color="D1D5DB" w:sz="4"/>
          <w:right w:val="single" w:color="D1D5DB" w:sz="4"/>
        </w:pBdr>
        <w:shd w:fill="F3F4F6" w:val="clear"/>
        <w:spacing w:after="200" w:line="240"/>
      </w:pPr>
      <w:r>
        <w:rPr>
          <w:rFonts w:ascii="Consolas" w:cs="Consolas" w:eastAsia="Consolas" w:hAnsi="Consolas"/>
          <w:sz w:val="18"/>
          <w:szCs w:val="18"/>
        </w:rPr>
        <w:t xml:space="preserve">rm -f server/pentest_harness.mjs client/pentest_render_check.mjs</w:t>
      </w:r>
    </w:p>
    <w:p>
      <w:pPr>
        <w:spacing w:after="160" w:line="276"/>
      </w:pPr>
      <w:r>
        <w:t xml:space="preserve">git status was checked before and after this phase. Before: only the three prior-phase report files (security-audit-report.docx, phase2-threat-model.docx, phase3-security-checklist.docx) appeared as untracked, no other changes. After the two harness files above are removed, the repository returns to that identical state — no file under server/src or client/src was ever edited by this phase; every attack ran against the real, original 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2937"/>
      <w:sz w:val="30"/>
      <w:szCs w:val="30"/>
    </w:rPr>
  </w:style>
  <w:style w:type="paragraph" w:styleId="Heading2">
    <w:name w:val="Heading 2"/>
    <w:basedOn w:val="Normal"/>
    <w:next w:val="Normal"/>
    <w:qFormat/>
    <w:pPr>
      <w:spacing w:after="140" w:before="260"/>
    </w:pPr>
    <w:rPr>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2026-08-01T09:48:51.056Z</dcterms:created>
  <dcterms:modified xsi:type="dcterms:W3CDTF">2026-08-01T09:48:51.057Z</dcterms:modified>
</cp:coreProperties>
</file>

<file path=docProps/custom.xml><?xml version="1.0" encoding="utf-8"?>
<Properties xmlns="http://schemas.openxmlformats.org/officeDocument/2006/custom-properties" xmlns:vt="http://schemas.openxmlformats.org/officeDocument/2006/docPropsVTypes"/>
</file>