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56"/>
          <w:szCs w:val="56"/>
        </w:rPr>
        <w:t xml:space="preserve">ReflectAI (Equoria)</w:t>
      </w:r>
    </w:p>
    <w:p>
      <w:pPr>
        <w:spacing w:after="600"/>
        <w:jc w:val="center"/>
      </w:pPr>
      <w:r>
        <w:rPr>
          <w:b/>
          <w:bCs/>
          <w:color w:val="444444"/>
          <w:sz w:val="36"/>
          <w:szCs w:val="36"/>
        </w:rPr>
        <w:t xml:space="preserve">Read-Only Security Audit Report</w:t>
      </w:r>
    </w:p>
    <w:p>
      <w:pPr>
        <w:spacing w:after="80"/>
        <w:jc w:val="center"/>
      </w:pPr>
      <w:r>
        <w:rPr>
          <w:i/>
          <w:iCs/>
          <w:color w:val="666666"/>
          <w:sz w:val="22"/>
          <w:szCs w:val="22"/>
        </w:rPr>
        <w:t xml:space="preserve">Static code and architecture review — no penetration testing or code changes performed</w:t>
      </w:r>
    </w:p>
    <w:p>
      <w:pPr>
        <w:spacing w:before="1200"/>
      </w:pPr>
    </w:p>
    <w:p>
      <w:pPr>
        <w:spacing w:after="160" w:line="276"/>
      </w:pPr>
      <w:r>
        <w:rPr>
          <w:b/>
          <w:bCs/>
        </w:rPr>
        <w:t xml:space="preserve">Repository: </w:t>
      </w:r>
      <w:r>
        <w:t xml:space="preserve">reflect-ai (client: React/Vite, server: Node/Express/MongoDB)</w:t>
      </w:r>
    </w:p>
    <w:p>
      <w:pPr>
        <w:spacing w:after="160" w:line="276"/>
      </w:pPr>
      <w:r>
        <w:rPr>
          <w:b/>
          <w:bCs/>
        </w:rPr>
        <w:t xml:space="preserve">Review date: </w:t>
      </w:r>
      <w:r>
        <w:t xml:space="preserve">2026-08-01</w:t>
      </w:r>
    </w:p>
    <w:p>
      <w:pPr>
        <w:spacing w:after="160" w:line="276"/>
      </w:pPr>
      <w:r>
        <w:rPr>
          <w:b/>
          <w:bCs/>
        </w:rPr>
        <w:t xml:space="preserve">Review type: </w:t>
      </w:r>
      <w:r>
        <w:t xml:space="preserve">Manual source-code and configuration review (whitebox, static)</w:t>
      </w:r>
    </w:p>
    <w:p>
      <w:pPr>
        <w:spacing w:after="160" w:line="276"/>
      </w:pPr>
      <w:r>
        <w:rPr>
          <w:b/>
          <w:bCs/>
        </w:rPr>
        <w:t xml:space="preserve">Out of scope: </w:t>
      </w:r>
      <w:r>
        <w:t xml:space="preserve">Live penetration testing, infrastructure/hosting review, dependency CVE scanning (network-restricted environment — see F-28)</w:t>
      </w:r>
    </w:p>
    <w:p>
      <w:r>
        <w:br w:type="page"/>
      </w:r>
    </w:p>
    <w:p>
      <w:pPr>
        <w:pStyle w:val="Heading1"/>
        <w:spacing w:after="200" w:before="400"/>
      </w:pPr>
      <w:r>
        <w:t xml:space="preserve">1. Executive Summary</w:t>
      </w:r>
    </w:p>
    <w:p>
      <w:pPr>
        <w:spacing w:after="160" w:line="276"/>
      </w:pPr>
      <w:r>
        <w:t xml:space="preserve">ReflectAI is a full-stack journaling and reflection app (React/Vite client, Express/MongoDB server) whose centerpiece is an AI chat coach that is deliberately constrained by deterministic policy checks: it only surfaces insights backed by quoted evidence from the user's own journal, only makes health-related claims when there is enough quality health data, and falls back to a plain supportive question whenever those checks fail. That safety architecture is a genuine strength and is called out throughout this report.</w:t>
      </w:r>
    </w:p>
    <w:p>
      <w:pPr>
        <w:spacing w:after="160" w:line="276"/>
      </w:pPr>
      <w:r>
        <w:t xml:space="preserve">The review found no critical, immediately-exploitable vulnerabilities (e.g. no SQL/NoSQL injection, no IDOR, no mass assignment, no XSS via dangerouslySetInnerHTML, and secrets/build artifacts are correctly excluded from git). The most material issues are process and configuration gaps rather than logic bugs: no rate limiting on login/register, sensitive journal and health data flowing to third-party LLM APIs by default when the local model is unavailable, no data export/deletion path for a privacy-sensitive product category, and missing security-header hardening (helmet/CSP/HSTS).</w:t>
      </w:r>
    </w:p>
    <w:p>
      <w:pPr>
        <w:spacing w:after="160" w:line="276"/>
      </w:pPr>
      <w:r>
        <w:rPr>
          <w:b/>
          <w:bCs/>
        </w:rPr>
        <w:t xml:space="preserve">Summary of findings: </w:t>
      </w:r>
      <w:r>
        <w:t xml:space="preserve">28 items reviewed — 4 High, 10 Medium, 4 Low, 5 Informational, 5 Positive/confirmed-safe controls. No Critical findings.</w:t>
      </w:r>
    </w:p>
    <w:p>
      <w:pPr>
        <w:spacing w:after="160" w:line="276"/>
      </w:pPr>
      <w:r>
        <w:t xml:space="preserve">Recommended immediate priorities (see Section 15 for the full roadmap): rate-limit auth endpoints (F-01), verify JWT_SECRET strength before any deployment (F-02), make cloud-LLM data sharing explicit and opt-in (F-16), and add helmet-based security headers (F-09).</w:t>
      </w:r>
    </w:p>
    <w:p>
      <w:pPr>
        <w:pStyle w:val="Heading1"/>
        <w:spacing w:after="200" w:before="400"/>
      </w:pPr>
      <w:r>
        <w:t xml:space="preserve">2. Scope &amp; Methodology</w:t>
      </w:r>
    </w:p>
    <w:p>
      <w:pPr>
        <w:spacing w:after="160" w:line="276"/>
      </w:pPr>
      <w:r>
        <w:t xml:space="preserve">This review covered the full application source tree as provided: the Express/MongoDB server (server/src/**), the React/Vite client (client/src/**), configuration and environment files (.env.example, package.json, vite/tailwind/postcss configs), and repository hygiene (.gitignore, git history).</w:t>
      </w:r>
    </w:p>
    <w:p>
      <w:pPr>
        <w:pStyle w:val="Heading3"/>
        <w:spacing w:after="100" w:before="200"/>
      </w:pPr>
      <w:r>
        <w:t xml:space="preserve">Method</w:t>
      </w:r>
    </w:p>
    <w:p>
      <w:pPr>
        <w:pStyle w:val="ListParagraph"/>
        <w:numPr>
          <w:ilvl w:val="0"/>
          <w:numId w:val="2"/>
        </w:numPr>
        <w:spacing w:after="90" w:line="276"/>
      </w:pPr>
      <w:r>
        <w:t xml:space="preserve">Manual line-by-line reading of every server route, middleware, model, and the AI chat service (server/src/modules/chat/service.js).</w:t>
      </w:r>
    </w:p>
    <w:p>
      <w:pPr>
        <w:pStyle w:val="ListParagraph"/>
        <w:numPr>
          <w:ilvl w:val="0"/>
          <w:numId w:val="2"/>
        </w:numPr>
        <w:spacing w:after="90" w:line="276"/>
      </w:pPr>
      <w:r>
        <w:t xml:space="preserve">Manual reading of every client page, the API client, auth context, and route guards.</w:t>
      </w:r>
    </w:p>
    <w:p>
      <w:pPr>
        <w:pStyle w:val="ListParagraph"/>
        <w:numPr>
          <w:ilvl w:val="0"/>
          <w:numId w:val="2"/>
        </w:numPr>
        <w:spacing w:after="90" w:line="276"/>
      </w:pPr>
      <w:r>
        <w:t xml:space="preserve">Verification of git history and tracked files for accidentally committed secrets or build output.</w:t>
      </w:r>
    </w:p>
    <w:p>
      <w:pPr>
        <w:pStyle w:val="ListParagraph"/>
        <w:numPr>
          <w:ilvl w:val="0"/>
          <w:numId w:val="2"/>
        </w:numPr>
        <w:spacing w:after="90" w:line="276"/>
      </w:pPr>
      <w:r>
        <w:t xml:space="preserve">Inspection of environment files to check whether placeholder secrets had been replaced with real values, without exposing actual secret content in this report.</w:t>
      </w:r>
    </w:p>
    <w:p>
      <w:pPr>
        <w:pStyle w:val="ListParagraph"/>
        <w:numPr>
          <w:ilvl w:val="0"/>
          <w:numId w:val="2"/>
        </w:numPr>
        <w:spacing w:after="90" w:line="276"/>
      </w:pPr>
      <w:r>
        <w:t xml:space="preserve">Dependency inventory extracted directly from both package-lock.json files (exact resolved versions).</w:t>
      </w:r>
    </w:p>
    <w:p>
      <w:pPr>
        <w:pStyle w:val="Heading3"/>
        <w:spacing w:after="100" w:before="200"/>
      </w:pPr>
      <w:r>
        <w:t xml:space="preserve">Explicitly out of scope</w:t>
      </w:r>
    </w:p>
    <w:p>
      <w:pPr>
        <w:pStyle w:val="ListParagraph"/>
        <w:numPr>
          <w:ilvl w:val="0"/>
          <w:numId w:val="2"/>
        </w:numPr>
        <w:spacing w:after="90" w:line="276"/>
      </w:pPr>
      <w:r>
        <w:t xml:space="preserve">Dynamic testing / penetration testing against a running instance.</w:t>
      </w:r>
    </w:p>
    <w:p>
      <w:pPr>
        <w:pStyle w:val="ListParagraph"/>
        <w:numPr>
          <w:ilvl w:val="0"/>
          <w:numId w:val="2"/>
        </w:numPr>
        <w:spacing w:after="90" w:line="276"/>
      </w:pPr>
      <w:r>
        <w:t xml:space="preserve">Infrastructure, hosting, CI/CD pipeline, and network configuration (not present in this repository).</w:t>
      </w:r>
    </w:p>
    <w:p>
      <w:pPr>
        <w:pStyle w:val="ListParagraph"/>
        <w:numPr>
          <w:ilvl w:val="0"/>
          <w:numId w:val="2"/>
        </w:numPr>
        <w:spacing w:after="90" w:line="276"/>
      </w:pPr>
      <w:r>
        <w:t xml:space="preserve">Live dependency CVE scanning — attempted via npm audit but blocked by the review environment's network allowlist (F-28); versions are listed in Appendix B for the user's own scan.</w:t>
      </w:r>
    </w:p>
    <w:p>
      <w:pPr>
        <w:pStyle w:val="ListParagraph"/>
        <w:numPr>
          <w:ilvl w:val="0"/>
          <w:numId w:val="2"/>
        </w:numPr>
        <w:spacing w:after="90" w:line="276"/>
      </w:pPr>
      <w:r>
        <w:t xml:space="preserve">Any code changes — this document is a report only, per the request.</w:t>
      </w:r>
    </w:p>
    <w:p>
      <w:pPr>
        <w:pStyle w:val="Heading1"/>
        <w:spacing w:after="200" w:before="400"/>
      </w:pPr>
      <w:r>
        <w:t xml:space="preserve">3. Architecture Security Review</w:t>
      </w:r>
    </w:p>
    <w:p>
      <w:pPr>
        <w:spacing w:after="160" w:line="276"/>
      </w:pPr>
      <w:r>
        <w:t xml:space="preserve">The system is a conventional three-tier design: a React SPA, a stateless Express REST API authenticated via JWT bearer tokens, and MongoDB via Mongoose. An AI layer sits inside the server (never called directly from the client) and itself calls out to either a local Ollama instance or a cloud LLM (OpenAI-compatible endpoint, including Gemini via a compatibility shim).</w:t>
      </w:r>
    </w:p>
    <w:p>
      <w:pPr>
        <w:spacing w:after="160" w:line="276"/>
      </w:pPr>
      <w:r>
        <w:t xml:space="preserve">The trust boundary is clean: the client never talks to Mongo or the LLM providers directly, and every server route re-derives the acting user from a verified JWT rather than trusting client-supplied IDs. The one boundary that deserves attention is the server-to-LLM-provider boundary, since it carries the most sensitive data in the system (journal text, mood, health metrics) outside of the server-database boundary — see Section 10.</w:t>
      </w:r>
    </w:p>
    <w:p>
      <w:pPr>
        <w:spacing w:after="160" w:line="276"/>
      </w:pPr>
      <w:r>
        <w:t xml:space="preserve">Layering within the server is consistent and mostly good practice: routes → requireAuth → validateRequest (Zod) → asyncHandler-wrapped controller → Mongoose model, with a single centralized errorHandler. The chat module additionally layers a domain-specific policy engine (buildChatContext → generateInsight → verifyInsight → AuditLog) on top of that generic pipeline, which is the most architecturally interesting — and best-defended — part of the system.</w:t>
      </w:r>
    </w:p>
    <w:p>
      <w:pPr>
        <w:pStyle w:val="Heading1"/>
        <w:spacing w:after="200" w:before="400"/>
      </w:pPr>
      <w:r>
        <w:t xml:space="preserve">4. Threat Model</w:t>
      </w:r>
    </w:p>
    <w:p>
      <w:pPr>
        <w:spacing w:after="160" w:line="276"/>
      </w:pPr>
      <w:r>
        <w:t xml:space="preserve">Threats below are organized by actor, using an informal STRIDE-flavored walkthrough rather than a specific claimed methodology.</w:t>
      </w:r>
    </w:p>
    <w:p>
      <w:pPr>
        <w:pStyle w:val="Heading2"/>
        <w:spacing w:after="140" w:before="280"/>
      </w:pPr>
      <w:r>
        <w:t xml:space="preserve">4.1 Actors</w:t>
      </w:r>
    </w:p>
    <w:p>
      <w:pPr>
        <w:pStyle w:val="ListParagraph"/>
        <w:numPr>
          <w:ilvl w:val="0"/>
          <w:numId w:val="2"/>
        </w:numPr>
        <w:spacing w:after="90" w:line="276"/>
      </w:pPr>
      <w:r>
        <w:t xml:space="preserve">Unauthenticated external attacker — internet-facing, no credentials.</w:t>
      </w:r>
    </w:p>
    <w:p>
      <w:pPr>
        <w:pStyle w:val="ListParagraph"/>
        <w:numPr>
          <w:ilvl w:val="0"/>
          <w:numId w:val="2"/>
        </w:numPr>
        <w:spacing w:after="90" w:line="276"/>
      </w:pPr>
      <w:r>
        <w:t xml:space="preserve">Authenticated malicious user — a registered user attempting to access other users' data or abuse the AI pipeline.</w:t>
      </w:r>
    </w:p>
    <w:p>
      <w:pPr>
        <w:pStyle w:val="ListParagraph"/>
        <w:numPr>
          <w:ilvl w:val="0"/>
          <w:numId w:val="2"/>
        </w:numPr>
        <w:spacing w:after="90" w:line="276"/>
      </w:pPr>
      <w:r>
        <w:t xml:space="preserve">Compromised/leaked credential holder — an attacker who has obtained a valid JWT or password via phishing, XSS, or credential stuffing.</w:t>
      </w:r>
    </w:p>
    <w:p>
      <w:pPr>
        <w:pStyle w:val="ListParagraph"/>
        <w:numPr>
          <w:ilvl w:val="0"/>
          <w:numId w:val="2"/>
        </w:numPr>
        <w:spacing w:after="90" w:line="276"/>
      </w:pPr>
      <w:r>
        <w:t xml:space="preserve">Third-party AI provider (OpenAI/Gemini) — a semi-trusted processor that receives user content as part of normal operation.</w:t>
      </w:r>
    </w:p>
    <w:p>
      <w:pPr>
        <w:pStyle w:val="ListParagraph"/>
        <w:numPr>
          <w:ilvl w:val="0"/>
          <w:numId w:val="2"/>
        </w:numPr>
        <w:spacing w:after="90" w:line="276"/>
      </w:pPr>
      <w:r>
        <w:t xml:space="preserve">Malicious/careless insider — someone with repository or deployment access.</w:t>
      </w:r>
    </w:p>
    <w:p>
      <w:pPr>
        <w:pStyle w:val="Heading2"/>
        <w:spacing w:after="140" w:before="280"/>
      </w:pPr>
      <w:r>
        <w:t xml:space="preserve">4.2 Key threats and current mitigation</w:t>
      </w:r>
    </w:p>
    <w:p>
      <w:pPr>
        <w:pStyle w:val="ListParagraph"/>
        <w:numPr>
          <w:ilvl w:val="0"/>
          <w:numId w:val="2"/>
        </w:numPr>
        <w:spacing w:after="90" w:line="276"/>
      </w:pPr>
      <w:r>
        <w:t xml:space="preserve">Credential stuffing / brute force against login — partially mitigated by bcrypt cost factor, not mitigated by rate limiting (F-01, gap).</w:t>
      </w:r>
    </w:p>
    <w:p>
      <w:pPr>
        <w:pStyle w:val="ListParagraph"/>
        <w:numPr>
          <w:ilvl w:val="0"/>
          <w:numId w:val="2"/>
        </w:numPr>
        <w:spacing w:after="90" w:line="276"/>
      </w:pPr>
      <w:r>
        <w:t xml:space="preserve">Session/token theft via XSS — partially mitigated by React's default escaping (no dangerouslySetInnerHTML found), not mitigated by cookie hardening since tokens live in localStorage (F-03, gap).</w:t>
      </w:r>
    </w:p>
    <w:p>
      <w:pPr>
        <w:pStyle w:val="ListParagraph"/>
        <w:numPr>
          <w:ilvl w:val="0"/>
          <w:numId w:val="2"/>
        </w:numPr>
        <w:spacing w:after="90" w:line="276"/>
      </w:pPr>
      <w:r>
        <w:t xml:space="preserve">Cross-user data access (IDOR) — well mitigated; every query is scoped to the authenticated user's _id (F-07, confirmed control).</w:t>
      </w:r>
    </w:p>
    <w:p>
      <w:pPr>
        <w:pStyle w:val="ListParagraph"/>
        <w:numPr>
          <w:ilvl w:val="0"/>
          <w:numId w:val="2"/>
        </w:numPr>
        <w:spacing w:after="90" w:line="276"/>
      </w:pPr>
      <w:r>
        <w:t xml:space="preserve">Data exfiltration via the AI pipeline — partially mitigated by evidence re-validation (F-20) and the scrub/verify gates (F-17, F-18, gaps in those gates' robustness).</w:t>
      </w:r>
    </w:p>
    <w:p>
      <w:pPr>
        <w:pStyle w:val="ListParagraph"/>
        <w:numPr>
          <w:ilvl w:val="0"/>
          <w:numId w:val="2"/>
        </w:numPr>
        <w:spacing w:after="90" w:line="276"/>
      </w:pPr>
      <w:r>
        <w:t xml:space="preserve">Sensitive data exposure to third parties — not mitigated; cloud LLM fallback is silent/default rather than opt-in (F-16, gap).</w:t>
      </w:r>
    </w:p>
    <w:p>
      <w:pPr>
        <w:pStyle w:val="ListParagraph"/>
        <w:numPr>
          <w:ilvl w:val="0"/>
          <w:numId w:val="2"/>
        </w:numPr>
        <w:spacing w:after="90" w:line="276"/>
      </w:pPr>
      <w:r>
        <w:t xml:space="preserve">Injection (NoSQL/operator injection, mass assignment) — well mitigated by Zod typing and explicit field lists on Mongoose creates (F-11, confirmed control).</w:t>
      </w:r>
    </w:p>
    <w:p>
      <w:pPr>
        <w:pStyle w:val="ListParagraph"/>
        <w:numPr>
          <w:ilvl w:val="0"/>
          <w:numId w:val="2"/>
        </w:numPr>
        <w:spacing w:after="90" w:line="276"/>
      </w:pPr>
      <w:r>
        <w:t xml:space="preserve">Secret leakage via source control — well mitigated; verified .env/node_modules/dist are gitignored and absent from history (F-27, confirmed control).</w:t>
      </w:r>
    </w:p>
    <w:p>
      <w:pPr>
        <w:pStyle w:val="Heading1"/>
        <w:spacing w:after="200" w:before="400"/>
      </w:pPr>
      <w:r>
        <w:t xml:space="preserve">5. Attack Surface</w:t>
      </w:r>
    </w:p>
    <w:p>
      <w:pPr>
        <w:pStyle w:val="Heading2"/>
        <w:spacing w:after="140" w:before="280"/>
      </w:pPr>
      <w:r>
        <w:t xml:space="preserve">5.1 Network-facing surface</w:t>
      </w:r>
    </w:p>
    <w:p>
      <w:pPr>
        <w:pStyle w:val="ListParagraph"/>
        <w:numPr>
          <w:ilvl w:val="0"/>
          <w:numId w:val="2"/>
        </w:numPr>
        <w:spacing w:after="90" w:line="276"/>
      </w:pPr>
      <w:r>
        <w:t xml:space="preserve">POST /api/auth/register, POST /api/auth/login — unauthenticated, public.</w:t>
      </w:r>
    </w:p>
    <w:p>
      <w:pPr>
        <w:pStyle w:val="ListParagraph"/>
        <w:numPr>
          <w:ilvl w:val="0"/>
          <w:numId w:val="2"/>
        </w:numPr>
        <w:spacing w:after="90" w:line="276"/>
      </w:pPr>
      <w:r>
        <w:t xml:space="preserve">GET /api/auth/me — authenticated.</w:t>
      </w:r>
    </w:p>
    <w:p>
      <w:pPr>
        <w:pStyle w:val="ListParagraph"/>
        <w:numPr>
          <w:ilvl w:val="0"/>
          <w:numId w:val="2"/>
        </w:numPr>
        <w:spacing w:after="90" w:line="276"/>
      </w:pPr>
      <w:r>
        <w:t xml:space="preserve">GET /api/dashboard/summary — authenticated.</w:t>
      </w:r>
    </w:p>
    <w:p>
      <w:pPr>
        <w:pStyle w:val="ListParagraph"/>
        <w:numPr>
          <w:ilvl w:val="0"/>
          <w:numId w:val="2"/>
        </w:numPr>
        <w:spacing w:after="90" w:line="276"/>
      </w:pPr>
      <w:r>
        <w:t xml:space="preserve">POST /api/journal/quick-entry, GET /api/journal/recent — authenticated.</w:t>
      </w:r>
    </w:p>
    <w:p>
      <w:pPr>
        <w:pStyle w:val="ListParagraph"/>
        <w:numPr>
          <w:ilvl w:val="0"/>
          <w:numId w:val="2"/>
        </w:numPr>
        <w:spacing w:after="90" w:line="276"/>
      </w:pPr>
      <w:r>
        <w:t xml:space="preserve">GET /api/retrospect/analysis — authenticated.</w:t>
      </w:r>
    </w:p>
    <w:p>
      <w:pPr>
        <w:pStyle w:val="ListParagraph"/>
        <w:numPr>
          <w:ilvl w:val="0"/>
          <w:numId w:val="2"/>
        </w:numPr>
        <w:spacing w:after="90" w:line="276"/>
      </w:pPr>
      <w:r>
        <w:t xml:space="preserve">POST /api/chat/message (rate-limited), GET /api/chat/session — authenticated.</w:t>
      </w:r>
    </w:p>
    <w:p>
      <w:pPr>
        <w:pStyle w:val="ListParagraph"/>
        <w:numPr>
          <w:ilvl w:val="0"/>
          <w:numId w:val="2"/>
        </w:numPr>
        <w:spacing w:after="90" w:line="276"/>
      </w:pPr>
      <w:r>
        <w:t xml:space="preserve">GET /api/health-data/overview — authenticated.</w:t>
      </w:r>
    </w:p>
    <w:p>
      <w:pPr>
        <w:pStyle w:val="ListParagraph"/>
        <w:numPr>
          <w:ilvl w:val="0"/>
          <w:numId w:val="2"/>
        </w:numPr>
        <w:spacing w:after="90" w:line="276"/>
      </w:pPr>
      <w:r>
        <w:t xml:space="preserve">GET /api/health — unauthenticated liveness endpoint (returns {ok:true} only; low risk).</w:t>
      </w:r>
    </w:p>
    <w:p>
      <w:pPr>
        <w:pStyle w:val="Heading2"/>
        <w:spacing w:after="140" w:before="280"/>
      </w:pPr>
      <w:r>
        <w:t xml:space="preserve">5.2 Indirect / dependency surface</w:t>
      </w:r>
    </w:p>
    <w:p>
      <w:pPr>
        <w:pStyle w:val="ListParagraph"/>
        <w:numPr>
          <w:ilvl w:val="0"/>
          <w:numId w:val="2"/>
        </w:numPr>
        <w:spacing w:after="90" w:line="276"/>
      </w:pPr>
      <w:r>
        <w:t xml:space="preserve">Local Ollama server (OLLAMA_BASE_URL) — trusted, operator-controlled; not attacker-reachable unless the operator exposes it.</w:t>
      </w:r>
    </w:p>
    <w:p>
      <w:pPr>
        <w:pStyle w:val="ListParagraph"/>
        <w:numPr>
          <w:ilvl w:val="0"/>
          <w:numId w:val="2"/>
        </w:numPr>
        <w:spacing w:after="90" w:line="276"/>
      </w:pPr>
      <w:r>
        <w:t xml:space="preserve">OpenAI / Gemini cloud APIs — outbound only, but a real data-exposure surface (see Section 10).</w:t>
      </w:r>
    </w:p>
    <w:p>
      <w:pPr>
        <w:pStyle w:val="ListParagraph"/>
        <w:numPr>
          <w:ilvl w:val="0"/>
          <w:numId w:val="2"/>
        </w:numPr>
        <w:spacing w:after="90" w:line="276"/>
      </w:pPr>
      <w:r>
        <w:t xml:space="preserve">MongoDB — not internet-facing in the reviewed configuration; production network posture is unverified (F-14).</w:t>
      </w:r>
    </w:p>
    <w:p>
      <w:pPr>
        <w:pStyle w:val="ListParagraph"/>
        <w:numPr>
          <w:ilvl w:val="0"/>
          <w:numId w:val="2"/>
        </w:numPr>
        <w:spacing w:after="90" w:line="276"/>
      </w:pPr>
      <w:r>
        <w:t xml:space="preserve">npm dependency tree (server and client) — supply-chain surface; see Appendix B; live audit blocked in this environment (F-28).</w:t>
      </w:r>
    </w:p>
    <w:p>
      <w:pPr>
        <w:pStyle w:val="Heading2"/>
        <w:spacing w:after="140" w:before="280"/>
      </w:pPr>
      <w:r>
        <w:t xml:space="preserve">5.3 Client-side surface</w:t>
      </w:r>
    </w:p>
    <w:p>
      <w:pPr>
        <w:pStyle w:val="ListParagraph"/>
        <w:numPr>
          <w:ilvl w:val="0"/>
          <w:numId w:val="2"/>
        </w:numPr>
        <w:spacing w:after="90" w:line="276"/>
      </w:pPr>
      <w:r>
        <w:t xml:space="preserve">localStorage (reflectai_token, equoria-settings) — readable by any script executing in the page context (XSS impact amplifier, F-03).</w:t>
      </w:r>
    </w:p>
    <w:p>
      <w:pPr>
        <w:pStyle w:val="ListParagraph"/>
        <w:numPr>
          <w:ilvl w:val="0"/>
          <w:numId w:val="2"/>
        </w:numPr>
        <w:spacing w:after="90" w:line="276"/>
      </w:pPr>
      <w:r>
        <w:t xml:space="preserve">No use of window.postMessage, no iframes, no third-party embedded scripts observed — reduces client attack surface relative to a typical SPA.</w:t>
      </w:r>
    </w:p>
    <w:p>
      <w:pPr>
        <w:pStyle w:val="Heading1"/>
        <w:spacing w:after="200" w:before="400"/>
      </w:pPr>
      <w:r>
        <w:t xml:space="preserve">6. Authentication Review</w:t>
      </w:r>
    </w:p>
    <w:p>
      <w:pPr>
        <w:spacing w:after="160" w:line="276"/>
      </w:pPr>
      <w:r>
        <w:t xml:space="preserve">Passwords are hashed with bcryptjs at cost factor 10 (server/src/modules/auth/routes.js), which is reasonable. Registration enforces an 8-character minimum with upper/lower/digit requirements via Zod (authSchemas.js). Login performs a generic bcrypt.compare and returns a uniform 401 AUTH_INVALID on any mismatch — this part correctly avoids leaking which field was wrong.</w:t>
      </w:r>
    </w:p>
    <w:p>
      <w:pPr>
        <w:spacing w:after="160" w:line="276"/>
      </w:pPr>
      <w:r>
        <w:t xml:space="preserve">Sessions are stateless JWTs signed with HS256 (jsonwebtoken default) using JWT_SECRET, expiring after 7 days, with no refresh-token rotation or server-side revocation list — logging out is purely a client-side token deletion, meaning a stolen token remains valid for up to 7 days even after the legitimate user 'logs out'.</w:t>
      </w:r>
    </w:p>
    <w:p>
      <w:pPr>
        <w:spacing w:after="160" w:line="276"/>
      </w:pPr>
      <w:r>
        <w:rPr>
          <w:b/>
          <w:bCs/>
        </w:rPr>
        <w:t xml:space="preserve">Findings in this area: </w:t>
      </w:r>
      <w:r>
        <w:t xml:space="preserve">F-01 (no rate limiting), F-02 (placeholder JWT secret risk), F-03 (localStorage token storage), F-04 (enumeration via register), F-05 (no email verification/recovery), F-06 (no password max length).</w:t>
      </w:r>
    </w:p>
    <w:p>
      <w:pPr>
        <w:spacing w:after="160" w:line="276"/>
      </w:pPr>
      <w:r>
        <w:t xml:space="preserve">No non-invasive remediation is proposed here per the request (report only); see Section 14 for consolidated recommendations.</w:t>
      </w:r>
    </w:p>
    <w:p>
      <w:pPr>
        <w:pStyle w:val="Heading1"/>
        <w:spacing w:after="200" w:before="400"/>
      </w:pPr>
      <w:r>
        <w:t xml:space="preserve">7. Authorization Review</w:t>
      </w:r>
    </w:p>
    <w:p>
      <w:pPr>
        <w:spacing w:after="160" w:line="276"/>
      </w:pPr>
      <w:r>
        <w:t xml:space="preserve">The application has a single authorization model: 'you may only read/write resources whose userId matches your own JWT-derived identity.' This was verified across dashboard, journal, health, retrospect, and chat routes — every Mongoose query includes a userId (or equivalent) filter derived from req.user._id, not from client-supplied input. No horizontal privilege escalation (IDOR) path was found in the routes reviewed.</w:t>
      </w:r>
    </w:p>
    <w:p>
      <w:pPr>
        <w:spacing w:after="160" w:line="276"/>
      </w:pPr>
      <w:r>
        <w:t xml:space="preserve">There is no vertical authorization model (no admin/staff role), which is appropriate for the app's current scope but should be designed deliberately, not bolted on, if support/admin tooling is added later.</w:t>
      </w:r>
    </w:p>
    <w:p>
      <w:pPr>
        <w:spacing w:after="160" w:line="276"/>
      </w:pPr>
      <w:r>
        <w:rPr>
          <w:b/>
          <w:bCs/>
        </w:rPr>
        <w:t xml:space="preserve">Findings in this area: </w:t>
      </w:r>
      <w:r>
        <w:t xml:space="preserve">F-07 (positive control, confirmed), F-08 (no RBAC yet, informational).</w:t>
      </w:r>
    </w:p>
    <w:p>
      <w:pPr>
        <w:pStyle w:val="Heading1"/>
        <w:spacing w:after="200" w:before="400"/>
      </w:pPr>
      <w:r>
        <w:t xml:space="preserve">8. API Security Review</w:t>
      </w:r>
    </w:p>
    <w:p>
      <w:pPr>
        <w:spacing w:after="160" w:line="276"/>
      </w:pPr>
      <w:r>
        <w:t xml:space="preserve">Every mutating endpoint runs through validateRequest with a Zod schema before reaching business logic, which is a strong, consistent control against malformed and injection-style input. Response bodies are shaped explicitly (e.g. { id, name, email }) rather than returning raw Mongoose documents in most places, limiting accidental over-exposure of fields such as passwordHash.</w:t>
      </w:r>
    </w:p>
    <w:p>
      <w:pPr>
        <w:spacing w:after="160" w:line="276"/>
      </w:pPr>
      <w:r>
        <w:t xml:space="preserve">Rate limiting exists only on POST /api/chat/message (30 requests / 15 minutes per user, express-rate-limit). No global rate limit, no helmet-style security headers, and error responses pass through err.message/err.details even for unexpected (500-class) errors, which risks leaking internal detail (e.g. a raw Mongoose error message) in edge cases not covered by an explicit AppError.</w:t>
      </w:r>
    </w:p>
    <w:p>
      <w:pPr>
        <w:spacing w:after="160" w:line="276"/>
      </w:pPr>
      <w:r>
        <w:rPr>
          <w:b/>
          <w:bCs/>
        </w:rPr>
        <w:t xml:space="preserve">Findings in this area: </w:t>
      </w:r>
      <w:r>
        <w:t xml:space="preserve">F-09 (no security headers), F-10 (verbose error passthrough), F-11 (positive: consistent validation/no mass assignment), F-12 (unused CORS credentials flag).</w:t>
      </w:r>
    </w:p>
    <w:p>
      <w:pPr>
        <w:pStyle w:val="Heading1"/>
        <w:spacing w:after="200" w:before="400"/>
      </w:pPr>
      <w:r>
        <w:t xml:space="preserve">9. Database Security Review</w:t>
      </w:r>
    </w:p>
    <w:p>
      <w:pPr>
        <w:spacing w:after="160" w:line="276"/>
      </w:pPr>
      <w:r>
        <w:t xml:space="preserve">Data access uses Mongoose models with typed schemas (User, JournalEntry, HealthData, ChatSession, RetrospectAnalysis, AuditLog), each with sensible indexes (e.g. { userId, createdAt } / { userId, date }) for the query patterns actually used. Unique constraints exist where they matter (User.email, ChatSession.userId).</w:t>
      </w:r>
    </w:p>
    <w:p>
      <w:pPr>
        <w:spacing w:after="160" w:line="276"/>
      </w:pPr>
      <w:r>
        <w:t xml:space="preserve">The main gaps are around data-at-rest protection and lifecycle rather than query-layer security: no field-level encryption for sensitive content, no documented production connection requirements (auth/TLS), and no retention/deletion policy for any collection.</w:t>
      </w:r>
    </w:p>
    <w:p>
      <w:pPr>
        <w:spacing w:after="160" w:line="276"/>
      </w:pPr>
      <w:r>
        <w:rPr>
          <w:b/>
          <w:bCs/>
        </w:rPr>
        <w:t xml:space="preserve">Findings in this area: </w:t>
      </w:r>
      <w:r>
        <w:t xml:space="preserve">F-13 (plaintext sensitive fields), F-14 (unauthenticated connection string in example config), F-15 (no retention policy).</w:t>
      </w:r>
    </w:p>
    <w:p>
      <w:pPr>
        <w:pStyle w:val="Heading1"/>
        <w:spacing w:after="200" w:before="400"/>
      </w:pPr>
      <w:r>
        <w:t xml:space="preserve">10. AI/LLM Security Review</w:t>
      </w:r>
    </w:p>
    <w:p>
      <w:pPr>
        <w:spacing w:after="160" w:line="276"/>
      </w:pPr>
      <w:r>
        <w:t xml:space="preserve">This is the most architecturally sophisticated part of the codebase and deserves the most detailed treatment. processChatTurn() (server/src/modules/chat/service.js) builds context from the user's own journals/health/session data, asks a model (Ollama first, then OpenAI/Gemini, in that order) to produce strict JSON, validates and repairs that JSON against a schema, conditionally scrubs health-related language, and then runs a deterministic policy gate (verifyInsight) before anything reaches the user — rejected output is replaced wholesale with a neutral fallback question rather than being shown.</w:t>
      </w:r>
    </w:p>
    <w:p>
      <w:pPr>
        <w:spacing w:after="160" w:line="276"/>
      </w:pPr>
      <w:r>
        <w:t xml:space="preserve">This is a genuinely good pattern: the safety-relevant decisions (should the user see this insight, can it reference health data, is there real evidence) are made in code, not left to the model's instructions alone. The prompt's 'Rules' section (never diagnose, never give medical advice, evidence-required) functions as a second, soft layer on top of that hard layer, which is the right order of precedence.</w:t>
      </w:r>
    </w:p>
    <w:p>
      <w:pPr>
        <w:pStyle w:val="Heading2"/>
        <w:spacing w:after="140" w:before="280"/>
      </w:pPr>
      <w:r>
        <w:t xml:space="preserve">10.1 Where the guardrails can be strengthened</w:t>
      </w:r>
    </w:p>
    <w:p>
      <w:pPr>
        <w:spacing w:after="160" w:line="276"/>
      </w:pPr>
      <w:r>
        <w:t xml:space="preserve">Three specific weaknesses were identified in the guardrail implementation itself, not in the overall approach:</w:t>
      </w:r>
    </w:p>
    <w:p>
      <w:pPr>
        <w:pStyle w:val="ListParagraph"/>
        <w:numPr>
          <w:ilvl w:val="0"/>
          <w:numId w:val="2"/>
        </w:numPr>
        <w:spacing w:after="90" w:line="276"/>
      </w:pPr>
      <w:r>
        <w:t xml:space="preserve">Self-reported confidence (F-17): the accept/reject threshold (&gt;= 0.65) is compared against a number the model itself produces. Nothing stops a model from always reporting 0.9. An independently computed signal (e.g. based on evidence-candidate scores already computed in buildEvidenceCandidates) would be harder to game than trusting the model's self-assessment.</w:t>
      </w:r>
    </w:p>
    <w:p>
      <w:pPr>
        <w:pStyle w:val="ListParagraph"/>
        <w:numPr>
          <w:ilvl w:val="0"/>
          <w:numId w:val="2"/>
        </w:numPr>
        <w:spacing w:after="90" w:line="276"/>
      </w:pPr>
      <w:r>
        <w:t xml:space="preserve">Keyword-based scrubbing (F-18): scrubHealthReferences() matches a fixed set of words (sleep, stress, heart rate, steps, activity, recovery). Paraphrases slip through untouched. Since healthQuality.eligible is already known before the prompt is built, the more robust fix is to simply omit health data from the prompt/context entirely when ineligible, rather than removing keywords after the fact.</w:t>
      </w:r>
    </w:p>
    <w:p>
      <w:pPr>
        <w:pStyle w:val="ListParagraph"/>
        <w:numPr>
          <w:ilvl w:val="0"/>
          <w:numId w:val="2"/>
        </w:numPr>
        <w:spacing w:after="90" w:line="276"/>
      </w:pPr>
      <w:r>
        <w:t xml:space="preserve">Direct interpolation of user content into the prompt (F-19): journal text and chat messages are inserted into the prompt with JSON.stringify(context) and plain string concatenation, with no delimiter or instruction-injection defenses. Because the deterministic gates run after generation, impact is bounded, but a crafted journal entry could still attempt to manipulate tone, coax the model into a discouraged style, or waste generation attempts.</w:t>
      </w:r>
    </w:p>
    <w:p>
      <w:pPr>
        <w:pStyle w:val="Heading2"/>
        <w:spacing w:after="140" w:before="280"/>
      </w:pPr>
      <w:r>
        <w:t xml:space="preserve">10.2 Data flow to third parties</w:t>
      </w:r>
    </w:p>
    <w:p>
      <w:pPr>
        <w:spacing w:after="160" w:line="276"/>
      </w:pPr>
      <w:r>
        <w:t xml:space="preserve">The most significant AI-related finding is not about the guardrail logic but about data residency: whenever Ollama is disabled (USE_OLLAMA=false) or unreachable, the same journal/health/chat context that was carefully protected on the way out is sent wholesale to OpenAI or Google (Gemini) as the prompt body. This is a meaningful default for an app whose core value proposition is careful handling of sensitive personal reflection data (F-16).</w:t>
      </w:r>
    </w:p>
    <w:p>
      <w:pPr>
        <w:spacing w:after="160" w:line="276"/>
      </w:pPr>
      <w:r>
        <w:rPr>
          <w:b/>
          <w:bCs/>
        </w:rPr>
        <w:t xml:space="preserve">Findings in this area: </w:t>
      </w:r>
      <w:r>
        <w:t xml:space="preserve">F-16 (High — silent cloud fallback), F-17 (self-reported confidence), F-18 (regex scrub bypass), F-19 (prompt injection surface), F-20 (positive: evidence re-validated against the requesting user's own journals).</w:t>
      </w:r>
    </w:p>
    <w:p>
      <w:pPr>
        <w:pStyle w:val="Heading1"/>
        <w:spacing w:after="200" w:before="400"/>
      </w:pPr>
      <w:r>
        <w:t xml:space="preserve">11. Privacy Review</w:t>
      </w:r>
    </w:p>
    <w:p>
      <w:pPr>
        <w:spacing w:after="160" w:line="276"/>
      </w:pPr>
      <w:r>
        <w:t xml:space="preserve">ReflectAI's subject matter — mood, journaling, stress, sleep — places it in a sensitive data category by most privacy frameworks' standards, even though the app explicitly disclaims being a medical service. The review found no privacy policy, terms of service, consent flow, data-export capability, or account/data-deletion capability anywhere in the client or server code.</w:t>
      </w:r>
    </w:p>
    <w:p>
      <w:pPr>
        <w:spacing w:after="160" w:line="276"/>
      </w:pPr>
      <w:r>
        <w:t xml:space="preserve">Retention is effectively indefinite by default: JournalEntry, HealthData, ChatSession, and AuditLog all accumulate with no TTL index or deletion endpoint. AuditLog in particular retains a second copy of derived conversational metadata (detected patterns, retrieved memory IDs, generated questions) for every single chat turn, which compounds the retention footprint beyond what the product surface itself shows the user.</w:t>
      </w:r>
    </w:p>
    <w:p>
      <w:pPr>
        <w:spacing w:after="160" w:line="276"/>
      </w:pPr>
      <w:r>
        <w:rPr>
          <w:b/>
          <w:bCs/>
        </w:rPr>
        <w:t xml:space="preserve">Findings in this area: </w:t>
      </w:r>
      <w:r>
        <w:t xml:space="preserve">F-21 (no export/delete), F-22 (unbounded audit-log retention), F-23 (informational: public demo credentials).</w:t>
      </w:r>
    </w:p>
    <w:p>
      <w:pPr>
        <w:pStyle w:val="Heading1"/>
        <w:spacing w:after="200" w:before="400"/>
      </w:pPr>
      <w:r>
        <w:t xml:space="preserve">12. Frontend Security Review</w:t>
      </w:r>
    </w:p>
    <w:p>
      <w:pPr>
        <w:spacing w:after="160" w:line="276"/>
      </w:pPr>
      <w:r>
        <w:t xml:space="preserve">The React client does not use dangerouslySetInnerHTML anywhere in the reviewed source, and all user-generated text (journal content, chat messages, AI responses) is rendered through normal JSX text interpolation, which HTML-escapes by default — this is a solid baseline XSS defense that should be preserved as a coding standard rather than assumed to be permanent.</w:t>
      </w:r>
    </w:p>
    <w:p>
      <w:pPr>
        <w:spacing w:after="160" w:line="276"/>
      </w:pPr>
      <w:r>
        <w:t xml:space="preserve">The API client (client/src/api.js) blanket-retries any failed request once after a fixed delay, regardless of status code. For non-idempotent calls (journal creation, chat messages) this risks duplicate writes on transient errors, and for 401/403 responses it delays the user seeing an actionable auth error by ~350ms for no benefit.</w:t>
      </w:r>
    </w:p>
    <w:p>
      <w:pPr>
        <w:spacing w:after="160" w:line="276"/>
      </w:pPr>
      <w:r>
        <w:rPr>
          <w:b/>
          <w:bCs/>
        </w:rPr>
        <w:t xml:space="preserve">Findings in this area: </w:t>
      </w:r>
      <w:r>
        <w:t xml:space="preserve">F-24 (positive: no dangerouslySetInnerHTML found), F-25 (blanket retry logic).</w:t>
      </w:r>
    </w:p>
    <w:p>
      <w:pPr>
        <w:pStyle w:val="Heading1"/>
        <w:spacing w:after="200" w:before="400"/>
      </w:pPr>
      <w:r>
        <w:t xml:space="preserve">13. Deployment Security Review</w:t>
      </w:r>
    </w:p>
    <w:p>
      <w:pPr>
        <w:spacing w:after="160" w:line="276"/>
      </w:pPr>
      <w:r>
        <w:t xml:space="preserve">The repository is dev-oriented: README.md documents only local setup (npm install, .env copy, npm run seed, npm run dev) with no production deployment, TLS, or reverse-proxy guidance. startup.js does validate that required environment variables are present (JWT_SECRET, MONGO_URI, CLIENT_URL, and policy thresholds) but does not validate their strength or format — a 1-character JWT_SECRET or an unauthenticated MONGO_URI would both pass startup checks.</w:t>
      </w:r>
    </w:p>
    <w:p>
      <w:pPr>
        <w:spacing w:after="160" w:line="276"/>
      </w:pPr>
      <w:r>
        <w:t xml:space="preserve">Repository hygiene itself is good: .gitignore correctly excludes .env, node_modules/, and dist/, and this was independently confirmed against git history (git ls-files, git log --all --full-history) — no secret material or build artifacts have ever been committed.</w:t>
      </w:r>
    </w:p>
    <w:p>
      <w:pPr>
        <w:spacing w:after="160" w:line="276"/>
      </w:pPr>
      <w:r>
        <w:rPr>
          <w:b/>
          <w:bCs/>
        </w:rPr>
        <w:t xml:space="preserve">Findings in this area: </w:t>
      </w:r>
      <w:r>
        <w:t xml:space="preserve">F-26 (no header hardening / weak-secret acceptance), F-27 (positive: clean git hygiene, confirmed), F-28 (dependency scan could not be run in this environment).</w:t>
      </w:r>
    </w:p>
    <w:p>
      <w:r>
        <w:br w:type="page"/>
      </w:r>
    </w:p>
    <w:p>
      <w:pPr>
        <w:pStyle w:val="Heading1"/>
        <w:spacing w:after="200" w:before="400"/>
      </w:pPr>
      <w:r>
        <w:t xml:space="preserve">14. Consolidated Findings &amp; Severity Ratings</w:t>
      </w:r>
    </w:p>
    <w:p>
      <w:pPr>
        <w:spacing w:after="160" w:line="276"/>
      </w:pPr>
      <w:r>
        <w:t xml:space="preserve">Sorted by severity (Critical &gt; High &gt; Medium &gt; Low &gt; Info &gt; Positive). "Positive" rows are confirmed controls that are working correctly, included for completeness rather than as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3300"/>
        <w:gridCol w:w="950"/>
        <w:gridCol w:w="3110"/>
      </w:tblGrid>
      <w:tr>
        <w:trPr>
          <w:tblHeader/>
        </w:trPr>
        <w:tc>
          <w:tcPr>
            <w:tcW w:type="dxa" w:w="650"/>
            <w:shd w:fill="D9D9D9" w:val="clear"/>
            <w:tcMar>
              <w:top w:type="dxa" w:w="80"/>
              <w:left w:type="dxa" w:w="100"/>
              <w:bottom w:type="dxa" w:w="80"/>
              <w:right w:type="dxa" w:w="100"/>
            </w:tcMar>
            <w:vAlign w:val="center"/>
          </w:tcPr>
          <w:p>
            <w:r>
              <w:rPr>
                <w:b/>
                <w:bCs/>
                <w:sz w:val="18"/>
                <w:szCs w:val="18"/>
              </w:rPr>
              <w:t xml:space="preserve">ID</w:t>
            </w:r>
          </w:p>
        </w:tc>
        <w:tc>
          <w:tcPr>
            <w:tcW w:type="dxa" w:w="1350"/>
            <w:shd w:fill="D9D9D9" w:val="clear"/>
            <w:tcMar>
              <w:top w:type="dxa" w:w="80"/>
              <w:left w:type="dxa" w:w="100"/>
              <w:bottom w:type="dxa" w:w="80"/>
              <w:right w:type="dxa" w:w="100"/>
            </w:tcMar>
            <w:vAlign w:val="center"/>
          </w:tcPr>
          <w:p>
            <w:r>
              <w:rPr>
                <w:b/>
                <w:bCs/>
                <w:sz w:val="18"/>
                <w:szCs w:val="18"/>
              </w:rPr>
              <w:t xml:space="preserve">Area</w:t>
            </w:r>
          </w:p>
        </w:tc>
        <w:tc>
          <w:tcPr>
            <w:tcW w:type="dxa" w:w="3300"/>
            <w:shd w:fill="D9D9D9" w:val="clear"/>
            <w:tcMar>
              <w:top w:type="dxa" w:w="80"/>
              <w:left w:type="dxa" w:w="100"/>
              <w:bottom w:type="dxa" w:w="80"/>
              <w:right w:type="dxa" w:w="100"/>
            </w:tcMar>
            <w:vAlign w:val="center"/>
          </w:tcPr>
          <w:p>
            <w:r>
              <w:rPr>
                <w:b/>
                <w:bCs/>
                <w:sz w:val="18"/>
                <w:szCs w:val="18"/>
              </w:rPr>
              <w:t xml:space="preserve">Finding</w:t>
            </w:r>
          </w:p>
        </w:tc>
        <w:tc>
          <w:tcPr>
            <w:tcW w:type="dxa" w:w="950"/>
            <w:shd w:fill="D9D9D9" w:val="clear"/>
            <w:tcMar>
              <w:top w:type="dxa" w:w="80"/>
              <w:left w:type="dxa" w:w="100"/>
              <w:bottom w:type="dxa" w:w="80"/>
              <w:right w:type="dxa" w:w="100"/>
            </w:tcMar>
            <w:vAlign w:val="center"/>
          </w:tcPr>
          <w:p>
            <w:r>
              <w:rPr>
                <w:b/>
                <w:bCs/>
                <w:sz w:val="18"/>
                <w:szCs w:val="18"/>
              </w:rPr>
              <w:t xml:space="preserve">Severity</w:t>
            </w:r>
          </w:p>
        </w:tc>
        <w:tc>
          <w:tcPr>
            <w:tcW w:type="dxa" w:w="3110"/>
            <w:shd w:fill="D9D9D9" w:val="clear"/>
            <w:tcMar>
              <w:top w:type="dxa" w:w="80"/>
              <w:left w:type="dxa" w:w="100"/>
              <w:bottom w:type="dxa" w:w="80"/>
              <w:right w:type="dxa" w:w="100"/>
            </w:tcMar>
            <w:vAlign w:val="center"/>
          </w:tcPr>
          <w:p>
            <w:r>
              <w:rPr>
                <w:b/>
                <w:bCs/>
                <w:sz w:val="18"/>
                <w:szCs w:val="18"/>
              </w:rPr>
              <w:t xml:space="preserve">Recommendation</w:t>
            </w:r>
          </w:p>
        </w:tc>
      </w:tr>
      <w:tr>
        <w:tc>
          <w:tcPr>
            <w:tcW w:type="dxa" w:w="650"/>
            <w:tcMar>
              <w:top w:type="dxa" w:w="80"/>
              <w:left w:type="dxa" w:w="100"/>
              <w:bottom w:type="dxa" w:w="80"/>
              <w:right w:type="dxa" w:w="100"/>
            </w:tcMar>
            <w:vAlign w:val="center"/>
          </w:tcPr>
          <w:p>
            <w:r>
              <w:rPr>
                <w:b w:val="false"/>
                <w:bCs w:val="false"/>
                <w:sz w:val="18"/>
                <w:szCs w:val="18"/>
              </w:rPr>
              <w:t xml:space="preserve">F-01</w:t>
            </w:r>
          </w:p>
        </w:tc>
        <w:tc>
          <w:tcPr>
            <w:tcW w:type="dxa" w:w="1350"/>
            <w:tcMar>
              <w:top w:type="dxa" w:w="80"/>
              <w:left w:type="dxa" w:w="100"/>
              <w:bottom w:type="dxa" w:w="80"/>
              <w:right w:type="dxa" w:w="100"/>
            </w:tcMar>
            <w:vAlign w:val="center"/>
          </w:tcPr>
          <w:p>
            <w:r>
              <w:rPr>
                <w:b w:val="false"/>
                <w:bCs w:val="false"/>
                <w:sz w:val="18"/>
                <w:szCs w:val="18"/>
              </w:rPr>
              <w:t xml:space="preserve">Authentication</w:t>
            </w:r>
          </w:p>
        </w:tc>
        <w:tc>
          <w:tcPr>
            <w:tcW w:type="dxa" w:w="3300"/>
            <w:tcMar>
              <w:top w:type="dxa" w:w="80"/>
              <w:left w:type="dxa" w:w="100"/>
              <w:bottom w:type="dxa" w:w="80"/>
              <w:right w:type="dxa" w:w="100"/>
            </w:tcMar>
            <w:vAlign w:val="center"/>
          </w:tcPr>
          <w:p>
            <w:r>
              <w:rPr>
                <w:b w:val="false"/>
                <w:bCs w:val="false"/>
                <w:sz w:val="18"/>
                <w:szCs w:val="18"/>
              </w:rPr>
              <w:t xml:space="preserve">No rate limiting or lockout on /api/auth/login or /api/auth/register. Only the chat endpoint has express-rate-limit applied.</w:t>
            </w:r>
          </w:p>
        </w:tc>
        <w:tc>
          <w:tcPr>
            <w:tcW w:type="dxa" w:w="950"/>
            <w:shd w:fill="FBDDBB" w:val="clear"/>
            <w:tcMar>
              <w:top w:type="dxa" w:w="80"/>
              <w:left w:type="dxa" w:w="100"/>
              <w:bottom w:type="dxa" w:w="80"/>
              <w:right w:type="dxa" w:w="100"/>
            </w:tcMar>
            <w:vAlign w:val="center"/>
          </w:tcPr>
          <w:p>
            <w:r>
              <w:rPr>
                <w:b/>
                <w:bCs/>
                <w:sz w:val="18"/>
                <w:szCs w:val="18"/>
              </w:rPr>
              <w:t xml:space="preserve">High</w:t>
            </w:r>
          </w:p>
        </w:tc>
        <w:tc>
          <w:tcPr>
            <w:tcW w:type="dxa" w:w="3110"/>
            <w:tcMar>
              <w:top w:type="dxa" w:w="80"/>
              <w:left w:type="dxa" w:w="100"/>
              <w:bottom w:type="dxa" w:w="80"/>
              <w:right w:type="dxa" w:w="100"/>
            </w:tcMar>
            <w:vAlign w:val="center"/>
          </w:tcPr>
          <w:p>
            <w:r>
              <w:rPr>
                <w:b w:val="false"/>
                <w:bCs w:val="false"/>
                <w:sz w:val="18"/>
                <w:szCs w:val="18"/>
              </w:rPr>
              <w:t xml:space="preserve">Apply express-rate-limit (or equivalent) to auth routes; add progressive backoff/lockout after repeated failures per IP and per account.</w:t>
            </w:r>
          </w:p>
        </w:tc>
      </w:tr>
      <w:tr>
        <w:tc>
          <w:tcPr>
            <w:tcW w:type="dxa" w:w="650"/>
            <w:tcMar>
              <w:top w:type="dxa" w:w="80"/>
              <w:left w:type="dxa" w:w="100"/>
              <w:bottom w:type="dxa" w:w="80"/>
              <w:right w:type="dxa" w:w="100"/>
            </w:tcMar>
            <w:vAlign w:val="center"/>
          </w:tcPr>
          <w:p>
            <w:r>
              <w:rPr>
                <w:b w:val="false"/>
                <w:bCs w:val="false"/>
                <w:sz w:val="18"/>
                <w:szCs w:val="18"/>
              </w:rPr>
              <w:t xml:space="preserve">F-02</w:t>
            </w:r>
          </w:p>
        </w:tc>
        <w:tc>
          <w:tcPr>
            <w:tcW w:type="dxa" w:w="1350"/>
            <w:tcMar>
              <w:top w:type="dxa" w:w="80"/>
              <w:left w:type="dxa" w:w="100"/>
              <w:bottom w:type="dxa" w:w="80"/>
              <w:right w:type="dxa" w:w="100"/>
            </w:tcMar>
            <w:vAlign w:val="center"/>
          </w:tcPr>
          <w:p>
            <w:r>
              <w:rPr>
                <w:b w:val="false"/>
                <w:bCs w:val="false"/>
                <w:sz w:val="18"/>
                <w:szCs w:val="18"/>
              </w:rPr>
              <w:t xml:space="preserve">Authentication</w:t>
            </w:r>
          </w:p>
        </w:tc>
        <w:tc>
          <w:tcPr>
            <w:tcW w:type="dxa" w:w="3300"/>
            <w:tcMar>
              <w:top w:type="dxa" w:w="80"/>
              <w:left w:type="dxa" w:w="100"/>
              <w:bottom w:type="dxa" w:w="80"/>
              <w:right w:type="dxa" w:w="100"/>
            </w:tcMar>
            <w:vAlign w:val="center"/>
          </w:tcPr>
          <w:p>
            <w:r>
              <w:rPr>
                <w:b w:val="false"/>
                <w:bCs w:val="false"/>
                <w:sz w:val="18"/>
                <w:szCs w:val="18"/>
              </w:rPr>
              <w:t xml:space="preserve">JWT_SECRET in the local server/.env is still the literal placeholder string from server/.env.example ('replace_with_secure_value'), which is public in the repository.</w:t>
            </w:r>
          </w:p>
        </w:tc>
        <w:tc>
          <w:tcPr>
            <w:tcW w:type="dxa" w:w="950"/>
            <w:shd w:fill="FBDDBB" w:val="clear"/>
            <w:tcMar>
              <w:top w:type="dxa" w:w="80"/>
              <w:left w:type="dxa" w:w="100"/>
              <w:bottom w:type="dxa" w:w="80"/>
              <w:right w:type="dxa" w:w="100"/>
            </w:tcMar>
            <w:vAlign w:val="center"/>
          </w:tcPr>
          <w:p>
            <w:r>
              <w:rPr>
                <w:b/>
                <w:bCs/>
                <w:sz w:val="18"/>
                <w:szCs w:val="18"/>
              </w:rPr>
              <w:t xml:space="preserve">High</w:t>
            </w:r>
          </w:p>
        </w:tc>
        <w:tc>
          <w:tcPr>
            <w:tcW w:type="dxa" w:w="3110"/>
            <w:tcMar>
              <w:top w:type="dxa" w:w="80"/>
              <w:left w:type="dxa" w:w="100"/>
              <w:bottom w:type="dxa" w:w="80"/>
              <w:right w:type="dxa" w:w="100"/>
            </w:tcMar>
            <w:vAlign w:val="center"/>
          </w:tcPr>
          <w:p>
            <w:r>
              <w:rPr>
                <w:b w:val="false"/>
                <w:bCs w:val="false"/>
                <w:sz w:val="18"/>
                <w:szCs w:val="18"/>
              </w:rPr>
              <w:t xml:space="preserve">Generate a high-entropy secret (32+ random bytes) per environment before any deployment; verify at startup that JWT_SECRET does not match known placeholder values; fail closed if it does.</w:t>
            </w:r>
          </w:p>
        </w:tc>
      </w:tr>
      <w:tr>
        <w:tc>
          <w:tcPr>
            <w:tcW w:type="dxa" w:w="650"/>
            <w:tcMar>
              <w:top w:type="dxa" w:w="80"/>
              <w:left w:type="dxa" w:w="100"/>
              <w:bottom w:type="dxa" w:w="80"/>
              <w:right w:type="dxa" w:w="100"/>
            </w:tcMar>
            <w:vAlign w:val="center"/>
          </w:tcPr>
          <w:p>
            <w:r>
              <w:rPr>
                <w:b w:val="false"/>
                <w:bCs w:val="false"/>
                <w:sz w:val="18"/>
                <w:szCs w:val="18"/>
              </w:rPr>
              <w:t xml:space="preserve">F-16</w:t>
            </w:r>
          </w:p>
        </w:tc>
        <w:tc>
          <w:tcPr>
            <w:tcW w:type="dxa" w:w="1350"/>
            <w:tcMar>
              <w:top w:type="dxa" w:w="80"/>
              <w:left w:type="dxa" w:w="100"/>
              <w:bottom w:type="dxa" w:w="80"/>
              <w:right w:type="dxa" w:w="100"/>
            </w:tcMar>
            <w:vAlign w:val="center"/>
          </w:tcPr>
          <w:p>
            <w:r>
              <w:rPr>
                <w:b w:val="false"/>
                <w:bCs w:val="false"/>
                <w:sz w:val="18"/>
                <w:szCs w:val="18"/>
              </w:rPr>
              <w:t xml:space="preserve">AI/LLM</w:t>
            </w:r>
          </w:p>
        </w:tc>
        <w:tc>
          <w:tcPr>
            <w:tcW w:type="dxa" w:w="3300"/>
            <w:tcMar>
              <w:top w:type="dxa" w:w="80"/>
              <w:left w:type="dxa" w:w="100"/>
              <w:bottom w:type="dxa" w:w="80"/>
              <w:right w:type="dxa" w:w="100"/>
            </w:tcMar>
            <w:vAlign w:val="center"/>
          </w:tcPr>
          <w:p>
            <w:r>
              <w:rPr>
                <w:b w:val="false"/>
                <w:bCs w:val="false"/>
                <w:sz w:val="18"/>
                <w:szCs w:val="18"/>
              </w:rPr>
              <w:t xml:space="preserve">When Ollama is disabled/unreachable, journal content and chat messages are sent to a third-party cloud LLM (OpenAI or Gemini) as part of the prompt — sensitive personal/mental-health data leaves the user's environment by default whenever USE_OLLAMA is false or the local model is down.</w:t>
            </w:r>
          </w:p>
        </w:tc>
        <w:tc>
          <w:tcPr>
            <w:tcW w:type="dxa" w:w="950"/>
            <w:shd w:fill="FBDDBB" w:val="clear"/>
            <w:tcMar>
              <w:top w:type="dxa" w:w="80"/>
              <w:left w:type="dxa" w:w="100"/>
              <w:bottom w:type="dxa" w:w="80"/>
              <w:right w:type="dxa" w:w="100"/>
            </w:tcMar>
            <w:vAlign w:val="center"/>
          </w:tcPr>
          <w:p>
            <w:r>
              <w:rPr>
                <w:b/>
                <w:bCs/>
                <w:sz w:val="18"/>
                <w:szCs w:val="18"/>
              </w:rPr>
              <w:t xml:space="preserve">High</w:t>
            </w:r>
          </w:p>
        </w:tc>
        <w:tc>
          <w:tcPr>
            <w:tcW w:type="dxa" w:w="3110"/>
            <w:tcMar>
              <w:top w:type="dxa" w:w="80"/>
              <w:left w:type="dxa" w:w="100"/>
              <w:bottom w:type="dxa" w:w="80"/>
              <w:right w:type="dxa" w:w="100"/>
            </w:tcMar>
            <w:vAlign w:val="center"/>
          </w:tcPr>
          <w:p>
            <w:r>
              <w:rPr>
                <w:b w:val="false"/>
                <w:bCs w:val="false"/>
                <w:sz w:val="18"/>
                <w:szCs w:val="18"/>
              </w:rPr>
              <w:t xml:space="preserve">Make the cloud-LLM fallback an explicit, disclosed, opt-in choice in Settings; document data flows to users; consider disabling cloud fallback entirely for sensitive fields unless the user consents.</w:t>
            </w:r>
          </w:p>
        </w:tc>
      </w:tr>
      <w:tr>
        <w:tc>
          <w:tcPr>
            <w:tcW w:type="dxa" w:w="650"/>
            <w:tcMar>
              <w:top w:type="dxa" w:w="80"/>
              <w:left w:type="dxa" w:w="100"/>
              <w:bottom w:type="dxa" w:w="80"/>
              <w:right w:type="dxa" w:w="100"/>
            </w:tcMar>
            <w:vAlign w:val="center"/>
          </w:tcPr>
          <w:p>
            <w:r>
              <w:rPr>
                <w:b w:val="false"/>
                <w:bCs w:val="false"/>
                <w:sz w:val="18"/>
                <w:szCs w:val="18"/>
              </w:rPr>
              <w:t xml:space="preserve">F-21</w:t>
            </w:r>
          </w:p>
        </w:tc>
        <w:tc>
          <w:tcPr>
            <w:tcW w:type="dxa" w:w="1350"/>
            <w:tcMar>
              <w:top w:type="dxa" w:w="80"/>
              <w:left w:type="dxa" w:w="100"/>
              <w:bottom w:type="dxa" w:w="80"/>
              <w:right w:type="dxa" w:w="100"/>
            </w:tcMar>
            <w:vAlign w:val="center"/>
          </w:tcPr>
          <w:p>
            <w:r>
              <w:rPr>
                <w:b w:val="false"/>
                <w:bCs w:val="false"/>
                <w:sz w:val="18"/>
                <w:szCs w:val="18"/>
              </w:rPr>
              <w:t xml:space="preserve">Privacy</w:t>
            </w:r>
          </w:p>
        </w:tc>
        <w:tc>
          <w:tcPr>
            <w:tcW w:type="dxa" w:w="3300"/>
            <w:tcMar>
              <w:top w:type="dxa" w:w="80"/>
              <w:left w:type="dxa" w:w="100"/>
              <w:bottom w:type="dxa" w:w="80"/>
              <w:right w:type="dxa" w:w="100"/>
            </w:tcMar>
            <w:vAlign w:val="center"/>
          </w:tcPr>
          <w:p>
            <w:r>
              <w:rPr>
                <w:b w:val="false"/>
                <w:bCs w:val="false"/>
                <w:sz w:val="18"/>
                <w:szCs w:val="18"/>
              </w:rPr>
              <w:t xml:space="preserve">No visible mechanism for a user to export or permanently delete their own data (journals, health data, chat history, audit logs) — a common expectation and, in many jurisdictions, a legal requirement for mental-health/wellness data.</w:t>
            </w:r>
          </w:p>
        </w:tc>
        <w:tc>
          <w:tcPr>
            <w:tcW w:type="dxa" w:w="950"/>
            <w:shd w:fill="FBDDBB" w:val="clear"/>
            <w:tcMar>
              <w:top w:type="dxa" w:w="80"/>
              <w:left w:type="dxa" w:w="100"/>
              <w:bottom w:type="dxa" w:w="80"/>
              <w:right w:type="dxa" w:w="100"/>
            </w:tcMar>
            <w:vAlign w:val="center"/>
          </w:tcPr>
          <w:p>
            <w:r>
              <w:rPr>
                <w:b/>
                <w:bCs/>
                <w:sz w:val="18"/>
                <w:szCs w:val="18"/>
              </w:rPr>
              <w:t xml:space="preserve">High</w:t>
            </w:r>
          </w:p>
        </w:tc>
        <w:tc>
          <w:tcPr>
            <w:tcW w:type="dxa" w:w="3110"/>
            <w:tcMar>
              <w:top w:type="dxa" w:w="80"/>
              <w:left w:type="dxa" w:w="100"/>
              <w:bottom w:type="dxa" w:w="80"/>
              <w:right w:type="dxa" w:w="100"/>
            </w:tcMar>
            <w:vAlign w:val="center"/>
          </w:tcPr>
          <w:p>
            <w:r>
              <w:rPr>
                <w:b w:val="false"/>
                <w:bCs w:val="false"/>
                <w:sz w:val="18"/>
                <w:szCs w:val="18"/>
              </w:rPr>
              <w:t xml:space="preserve">Add self-service data export and account/data deletion; document what is retained and why in a privacy policy visible in-app.</w:t>
            </w:r>
          </w:p>
        </w:tc>
      </w:tr>
      <w:tr>
        <w:tc>
          <w:tcPr>
            <w:tcW w:type="dxa" w:w="650"/>
            <w:tcMar>
              <w:top w:type="dxa" w:w="80"/>
              <w:left w:type="dxa" w:w="100"/>
              <w:bottom w:type="dxa" w:w="80"/>
              <w:right w:type="dxa" w:w="100"/>
            </w:tcMar>
            <w:vAlign w:val="center"/>
          </w:tcPr>
          <w:p>
            <w:r>
              <w:rPr>
                <w:b w:val="false"/>
                <w:bCs w:val="false"/>
                <w:sz w:val="18"/>
                <w:szCs w:val="18"/>
              </w:rPr>
              <w:t xml:space="preserve">F-03</w:t>
            </w:r>
          </w:p>
        </w:tc>
        <w:tc>
          <w:tcPr>
            <w:tcW w:type="dxa" w:w="1350"/>
            <w:tcMar>
              <w:top w:type="dxa" w:w="80"/>
              <w:left w:type="dxa" w:w="100"/>
              <w:bottom w:type="dxa" w:w="80"/>
              <w:right w:type="dxa" w:w="100"/>
            </w:tcMar>
            <w:vAlign w:val="center"/>
          </w:tcPr>
          <w:p>
            <w:r>
              <w:rPr>
                <w:b w:val="false"/>
                <w:bCs w:val="false"/>
                <w:sz w:val="18"/>
                <w:szCs w:val="18"/>
              </w:rPr>
              <w:t xml:space="preserve">Authentication</w:t>
            </w:r>
          </w:p>
        </w:tc>
        <w:tc>
          <w:tcPr>
            <w:tcW w:type="dxa" w:w="3300"/>
            <w:tcMar>
              <w:top w:type="dxa" w:w="80"/>
              <w:left w:type="dxa" w:w="100"/>
              <w:bottom w:type="dxa" w:w="80"/>
              <w:right w:type="dxa" w:w="100"/>
            </w:tcMar>
            <w:vAlign w:val="center"/>
          </w:tcPr>
          <w:p>
            <w:r>
              <w:rPr>
                <w:b w:val="false"/>
                <w:bCs w:val="false"/>
                <w:sz w:val="18"/>
                <w:szCs w:val="18"/>
              </w:rPr>
              <w:t xml:space="preserve">Auth tokens are stored in localStorage (client/src/api.js, AuthContext.jsx) rather than an httpOnly cookie, so any successful XSS gives full session takeover with a 7-day-lived token.</w:t>
            </w:r>
          </w:p>
        </w:tc>
        <w:tc>
          <w:tcPr>
            <w:tcW w:type="dxa" w:w="950"/>
            <w:shd w:fill="FCF3B0" w:val="clear"/>
            <w:tcMar>
              <w:top w:type="dxa" w:w="80"/>
              <w:left w:type="dxa" w:w="100"/>
              <w:bottom w:type="dxa" w:w="80"/>
              <w:right w:type="dxa" w:w="100"/>
            </w:tcMar>
            <w:vAlign w:val="center"/>
          </w:tcPr>
          <w:p>
            <w:r>
              <w:rPr>
                <w:b/>
                <w:bCs/>
                <w:sz w:val="18"/>
                <w:szCs w:val="18"/>
              </w:rPr>
              <w:t xml:space="preserve">Medium</w:t>
            </w:r>
          </w:p>
        </w:tc>
        <w:tc>
          <w:tcPr>
            <w:tcW w:type="dxa" w:w="3110"/>
            <w:tcMar>
              <w:top w:type="dxa" w:w="80"/>
              <w:left w:type="dxa" w:w="100"/>
              <w:bottom w:type="dxa" w:w="80"/>
              <w:right w:type="dxa" w:w="100"/>
            </w:tcMar>
            <w:vAlign w:val="center"/>
          </w:tcPr>
          <w:p>
            <w:r>
              <w:rPr>
                <w:b w:val="false"/>
                <w:bCs w:val="false"/>
                <w:sz w:val="18"/>
                <w:szCs w:val="18"/>
              </w:rPr>
              <w:t xml:space="preserve">Consider httpOnly, SameSite=Strict cookies for the session token, or at minimum add a strong CSP and shorten token lifetime with refresh tokens.</w:t>
            </w:r>
          </w:p>
        </w:tc>
      </w:tr>
      <w:tr>
        <w:tc>
          <w:tcPr>
            <w:tcW w:type="dxa" w:w="650"/>
            <w:tcMar>
              <w:top w:type="dxa" w:w="80"/>
              <w:left w:type="dxa" w:w="100"/>
              <w:bottom w:type="dxa" w:w="80"/>
              <w:right w:type="dxa" w:w="100"/>
            </w:tcMar>
            <w:vAlign w:val="center"/>
          </w:tcPr>
          <w:p>
            <w:r>
              <w:rPr>
                <w:b w:val="false"/>
                <w:bCs w:val="false"/>
                <w:sz w:val="18"/>
                <w:szCs w:val="18"/>
              </w:rPr>
              <w:t xml:space="preserve">F-04</w:t>
            </w:r>
          </w:p>
        </w:tc>
        <w:tc>
          <w:tcPr>
            <w:tcW w:type="dxa" w:w="1350"/>
            <w:tcMar>
              <w:top w:type="dxa" w:w="80"/>
              <w:left w:type="dxa" w:w="100"/>
              <w:bottom w:type="dxa" w:w="80"/>
              <w:right w:type="dxa" w:w="100"/>
            </w:tcMar>
            <w:vAlign w:val="center"/>
          </w:tcPr>
          <w:p>
            <w:r>
              <w:rPr>
                <w:b w:val="false"/>
                <w:bCs w:val="false"/>
                <w:sz w:val="18"/>
                <w:szCs w:val="18"/>
              </w:rPr>
              <w:t xml:space="preserve">Authentication</w:t>
            </w:r>
          </w:p>
        </w:tc>
        <w:tc>
          <w:tcPr>
            <w:tcW w:type="dxa" w:w="3300"/>
            <w:tcMar>
              <w:top w:type="dxa" w:w="80"/>
              <w:left w:type="dxa" w:w="100"/>
              <w:bottom w:type="dxa" w:w="80"/>
              <w:right w:type="dxa" w:w="100"/>
            </w:tcMar>
            <w:vAlign w:val="center"/>
          </w:tcPr>
          <w:p>
            <w:r>
              <w:rPr>
                <w:b w:val="false"/>
                <w:bCs w:val="false"/>
                <w:sz w:val="18"/>
                <w:szCs w:val="18"/>
              </w:rPr>
              <w:t xml:space="preserve">Registration returns a distinct 409 'Email already exists' vs. login's generic 401, allowing account enumeration via the register endpoint.</w:t>
            </w:r>
          </w:p>
        </w:tc>
        <w:tc>
          <w:tcPr>
            <w:tcW w:type="dxa" w:w="950"/>
            <w:shd w:fill="FCF3B0" w:val="clear"/>
            <w:tcMar>
              <w:top w:type="dxa" w:w="80"/>
              <w:left w:type="dxa" w:w="100"/>
              <w:bottom w:type="dxa" w:w="80"/>
              <w:right w:type="dxa" w:w="100"/>
            </w:tcMar>
            <w:vAlign w:val="center"/>
          </w:tcPr>
          <w:p>
            <w:r>
              <w:rPr>
                <w:b/>
                <w:bCs/>
                <w:sz w:val="18"/>
                <w:szCs w:val="18"/>
              </w:rPr>
              <w:t xml:space="preserve">Medium</w:t>
            </w:r>
          </w:p>
        </w:tc>
        <w:tc>
          <w:tcPr>
            <w:tcW w:type="dxa" w:w="3110"/>
            <w:tcMar>
              <w:top w:type="dxa" w:w="80"/>
              <w:left w:type="dxa" w:w="100"/>
              <w:bottom w:type="dxa" w:w="80"/>
              <w:right w:type="dxa" w:w="100"/>
            </w:tcMar>
            <w:vAlign w:val="center"/>
          </w:tcPr>
          <w:p>
            <w:r>
              <w:rPr>
                <w:b w:val="false"/>
                <w:bCs w:val="false"/>
                <w:sz w:val="18"/>
                <w:szCs w:val="18"/>
              </w:rPr>
              <w:t xml:space="preserve">Return a generic success-shaped or generic error response on register conflicts, or rate-limit/obfuscate timing so existence can't be inferred.</w:t>
            </w:r>
          </w:p>
        </w:tc>
      </w:tr>
      <w:tr>
        <w:tc>
          <w:tcPr>
            <w:tcW w:type="dxa" w:w="650"/>
            <w:tcMar>
              <w:top w:type="dxa" w:w="80"/>
              <w:left w:type="dxa" w:w="100"/>
              <w:bottom w:type="dxa" w:w="80"/>
              <w:right w:type="dxa" w:w="100"/>
            </w:tcMar>
            <w:vAlign w:val="center"/>
          </w:tcPr>
          <w:p>
            <w:r>
              <w:rPr>
                <w:b w:val="false"/>
                <w:bCs w:val="false"/>
                <w:sz w:val="18"/>
                <w:szCs w:val="18"/>
              </w:rPr>
              <w:t xml:space="preserve">F-05</w:t>
            </w:r>
          </w:p>
        </w:tc>
        <w:tc>
          <w:tcPr>
            <w:tcW w:type="dxa" w:w="1350"/>
            <w:tcMar>
              <w:top w:type="dxa" w:w="80"/>
              <w:left w:type="dxa" w:w="100"/>
              <w:bottom w:type="dxa" w:w="80"/>
              <w:right w:type="dxa" w:w="100"/>
            </w:tcMar>
            <w:vAlign w:val="center"/>
          </w:tcPr>
          <w:p>
            <w:r>
              <w:rPr>
                <w:b w:val="false"/>
                <w:bCs w:val="false"/>
                <w:sz w:val="18"/>
                <w:szCs w:val="18"/>
              </w:rPr>
              <w:t xml:space="preserve">Authentication</w:t>
            </w:r>
          </w:p>
        </w:tc>
        <w:tc>
          <w:tcPr>
            <w:tcW w:type="dxa" w:w="3300"/>
            <w:tcMar>
              <w:top w:type="dxa" w:w="80"/>
              <w:left w:type="dxa" w:w="100"/>
              <w:bottom w:type="dxa" w:w="80"/>
              <w:right w:type="dxa" w:w="100"/>
            </w:tcMar>
            <w:vAlign w:val="center"/>
          </w:tcPr>
          <w:p>
            <w:r>
              <w:rPr>
                <w:b w:val="false"/>
                <w:bCs w:val="false"/>
                <w:sz w:val="18"/>
                <w:szCs w:val="18"/>
              </w:rPr>
              <w:t xml:space="preserve">No email verification or account-recovery flow exists; any email string passes Zod's format check with no proof of ownership.</w:t>
            </w:r>
          </w:p>
        </w:tc>
        <w:tc>
          <w:tcPr>
            <w:tcW w:type="dxa" w:w="950"/>
            <w:shd w:fill="FCF3B0" w:val="clear"/>
            <w:tcMar>
              <w:top w:type="dxa" w:w="80"/>
              <w:left w:type="dxa" w:w="100"/>
              <w:bottom w:type="dxa" w:w="80"/>
              <w:right w:type="dxa" w:w="100"/>
            </w:tcMar>
            <w:vAlign w:val="center"/>
          </w:tcPr>
          <w:p>
            <w:r>
              <w:rPr>
                <w:b/>
                <w:bCs/>
                <w:sz w:val="18"/>
                <w:szCs w:val="18"/>
              </w:rPr>
              <w:t xml:space="preserve">Medium</w:t>
            </w:r>
          </w:p>
        </w:tc>
        <w:tc>
          <w:tcPr>
            <w:tcW w:type="dxa" w:w="3110"/>
            <w:tcMar>
              <w:top w:type="dxa" w:w="80"/>
              <w:left w:type="dxa" w:w="100"/>
              <w:bottom w:type="dxa" w:w="80"/>
              <w:right w:type="dxa" w:w="100"/>
            </w:tcMar>
            <w:vAlign w:val="center"/>
          </w:tcPr>
          <w:p>
            <w:r>
              <w:rPr>
                <w:b w:val="false"/>
                <w:bCs w:val="false"/>
                <w:sz w:val="18"/>
                <w:szCs w:val="18"/>
              </w:rPr>
              <w:t xml:space="preserve">Add email verification before granting full access, and a password-reset flow, before handling real (non-demo) user data.</w:t>
            </w:r>
          </w:p>
        </w:tc>
      </w:tr>
      <w:tr>
        <w:tc>
          <w:tcPr>
            <w:tcW w:type="dxa" w:w="650"/>
            <w:tcMar>
              <w:top w:type="dxa" w:w="80"/>
              <w:left w:type="dxa" w:w="100"/>
              <w:bottom w:type="dxa" w:w="80"/>
              <w:right w:type="dxa" w:w="100"/>
            </w:tcMar>
            <w:vAlign w:val="center"/>
          </w:tcPr>
          <w:p>
            <w:r>
              <w:rPr>
                <w:b w:val="false"/>
                <w:bCs w:val="false"/>
                <w:sz w:val="18"/>
                <w:szCs w:val="18"/>
              </w:rPr>
              <w:t xml:space="preserve">F-09</w:t>
            </w:r>
          </w:p>
        </w:tc>
        <w:tc>
          <w:tcPr>
            <w:tcW w:type="dxa" w:w="1350"/>
            <w:tcMar>
              <w:top w:type="dxa" w:w="80"/>
              <w:left w:type="dxa" w:w="100"/>
              <w:bottom w:type="dxa" w:w="80"/>
              <w:right w:type="dxa" w:w="100"/>
            </w:tcMar>
            <w:vAlign w:val="center"/>
          </w:tcPr>
          <w:p>
            <w:r>
              <w:rPr>
                <w:b w:val="false"/>
                <w:bCs w:val="false"/>
                <w:sz w:val="18"/>
                <w:szCs w:val="18"/>
              </w:rPr>
              <w:t xml:space="preserve">API Security</w:t>
            </w:r>
          </w:p>
        </w:tc>
        <w:tc>
          <w:tcPr>
            <w:tcW w:type="dxa" w:w="3300"/>
            <w:tcMar>
              <w:top w:type="dxa" w:w="80"/>
              <w:left w:type="dxa" w:w="100"/>
              <w:bottom w:type="dxa" w:w="80"/>
              <w:right w:type="dxa" w:w="100"/>
            </w:tcMar>
            <w:vAlign w:val="center"/>
          </w:tcPr>
          <w:p>
            <w:r>
              <w:rPr>
                <w:b w:val="false"/>
                <w:bCs w:val="false"/>
                <w:sz w:val="18"/>
                <w:szCs w:val="18"/>
              </w:rPr>
              <w:t xml:space="preserve">No security-header middleware (helmet or equivalent) is installed anywhere in server/src/index.js — no CSP, HSTS, X-Content-Type-Options, X-Frame-Options, Referrer-Policy.</w:t>
            </w:r>
          </w:p>
        </w:tc>
        <w:tc>
          <w:tcPr>
            <w:tcW w:type="dxa" w:w="950"/>
            <w:shd w:fill="FCF3B0" w:val="clear"/>
            <w:tcMar>
              <w:top w:type="dxa" w:w="80"/>
              <w:left w:type="dxa" w:w="100"/>
              <w:bottom w:type="dxa" w:w="80"/>
              <w:right w:type="dxa" w:w="100"/>
            </w:tcMar>
            <w:vAlign w:val="center"/>
          </w:tcPr>
          <w:p>
            <w:r>
              <w:rPr>
                <w:b/>
                <w:bCs/>
                <w:sz w:val="18"/>
                <w:szCs w:val="18"/>
              </w:rPr>
              <w:t xml:space="preserve">Medium</w:t>
            </w:r>
          </w:p>
        </w:tc>
        <w:tc>
          <w:tcPr>
            <w:tcW w:type="dxa" w:w="3110"/>
            <w:tcMar>
              <w:top w:type="dxa" w:w="80"/>
              <w:left w:type="dxa" w:w="100"/>
              <w:bottom w:type="dxa" w:w="80"/>
              <w:right w:type="dxa" w:w="100"/>
            </w:tcMar>
            <w:vAlign w:val="center"/>
          </w:tcPr>
          <w:p>
            <w:r>
              <w:rPr>
                <w:b w:val="false"/>
                <w:bCs w:val="false"/>
                <w:sz w:val="18"/>
                <w:szCs w:val="18"/>
              </w:rPr>
              <w:t xml:space="preserve">Add helmet with a project-specific CSP; enable HSTS at the TLS-terminating layer.</w:t>
            </w:r>
          </w:p>
        </w:tc>
      </w:tr>
      <w:tr>
        <w:tc>
          <w:tcPr>
            <w:tcW w:type="dxa" w:w="650"/>
            <w:tcMar>
              <w:top w:type="dxa" w:w="80"/>
              <w:left w:type="dxa" w:w="100"/>
              <w:bottom w:type="dxa" w:w="80"/>
              <w:right w:type="dxa" w:w="100"/>
            </w:tcMar>
            <w:vAlign w:val="center"/>
          </w:tcPr>
          <w:p>
            <w:r>
              <w:rPr>
                <w:b w:val="false"/>
                <w:bCs w:val="false"/>
                <w:sz w:val="18"/>
                <w:szCs w:val="18"/>
              </w:rPr>
              <w:t xml:space="preserve">F-13</w:t>
            </w:r>
          </w:p>
        </w:tc>
        <w:tc>
          <w:tcPr>
            <w:tcW w:type="dxa" w:w="1350"/>
            <w:tcMar>
              <w:top w:type="dxa" w:w="80"/>
              <w:left w:type="dxa" w:w="100"/>
              <w:bottom w:type="dxa" w:w="80"/>
              <w:right w:type="dxa" w:w="100"/>
            </w:tcMar>
            <w:vAlign w:val="center"/>
          </w:tcPr>
          <w:p>
            <w:r>
              <w:rPr>
                <w:b w:val="false"/>
                <w:bCs w:val="false"/>
                <w:sz w:val="18"/>
                <w:szCs w:val="18"/>
              </w:rPr>
              <w:t xml:space="preserve">Database</w:t>
            </w:r>
          </w:p>
        </w:tc>
        <w:tc>
          <w:tcPr>
            <w:tcW w:type="dxa" w:w="3300"/>
            <w:tcMar>
              <w:top w:type="dxa" w:w="80"/>
              <w:left w:type="dxa" w:w="100"/>
              <w:bottom w:type="dxa" w:w="80"/>
              <w:right w:type="dxa" w:w="100"/>
            </w:tcMar>
            <w:vAlign w:val="center"/>
          </w:tcPr>
          <w:p>
            <w:r>
              <w:rPr>
                <w:b w:val="false"/>
                <w:bCs w:val="false"/>
                <w:sz w:val="18"/>
                <w:szCs w:val="18"/>
              </w:rPr>
              <w:t xml:space="preserve">Journal content, mood, and health metrics (HealthData, JournalEntry) are stored as plaintext in MongoDB with no field-level encryption; sensitivity of this data (mental-health-adjacent) is high.</w:t>
            </w:r>
          </w:p>
        </w:tc>
        <w:tc>
          <w:tcPr>
            <w:tcW w:type="dxa" w:w="950"/>
            <w:shd w:fill="FCF3B0" w:val="clear"/>
            <w:tcMar>
              <w:top w:type="dxa" w:w="80"/>
              <w:left w:type="dxa" w:w="100"/>
              <w:bottom w:type="dxa" w:w="80"/>
              <w:right w:type="dxa" w:w="100"/>
            </w:tcMar>
            <w:vAlign w:val="center"/>
          </w:tcPr>
          <w:p>
            <w:r>
              <w:rPr>
                <w:b/>
                <w:bCs/>
                <w:sz w:val="18"/>
                <w:szCs w:val="18"/>
              </w:rPr>
              <w:t xml:space="preserve">Medium</w:t>
            </w:r>
          </w:p>
        </w:tc>
        <w:tc>
          <w:tcPr>
            <w:tcW w:type="dxa" w:w="3110"/>
            <w:tcMar>
              <w:top w:type="dxa" w:w="80"/>
              <w:left w:type="dxa" w:w="100"/>
              <w:bottom w:type="dxa" w:w="80"/>
              <w:right w:type="dxa" w:w="100"/>
            </w:tcMar>
            <w:vAlign w:val="center"/>
          </w:tcPr>
          <w:p>
            <w:r>
              <w:rPr>
                <w:b w:val="false"/>
                <w:bCs w:val="false"/>
                <w:sz w:val="18"/>
                <w:szCs w:val="18"/>
              </w:rPr>
              <w:t xml:space="preserve">Evaluate field-level encryption (e.g. Mongoose encryption plugin or client-side encryption) for journal content and health fields, plus encryption-at-rest at the database/volume layer.</w:t>
            </w:r>
          </w:p>
        </w:tc>
      </w:tr>
      <w:tr>
        <w:tc>
          <w:tcPr>
            <w:tcW w:type="dxa" w:w="650"/>
            <w:tcMar>
              <w:top w:type="dxa" w:w="80"/>
              <w:left w:type="dxa" w:w="100"/>
              <w:bottom w:type="dxa" w:w="80"/>
              <w:right w:type="dxa" w:w="100"/>
            </w:tcMar>
            <w:vAlign w:val="center"/>
          </w:tcPr>
          <w:p>
            <w:r>
              <w:rPr>
                <w:b w:val="false"/>
                <w:bCs w:val="false"/>
                <w:sz w:val="18"/>
                <w:szCs w:val="18"/>
              </w:rPr>
              <w:t xml:space="preserve">F-17</w:t>
            </w:r>
          </w:p>
        </w:tc>
        <w:tc>
          <w:tcPr>
            <w:tcW w:type="dxa" w:w="1350"/>
            <w:tcMar>
              <w:top w:type="dxa" w:w="80"/>
              <w:left w:type="dxa" w:w="100"/>
              <w:bottom w:type="dxa" w:w="80"/>
              <w:right w:type="dxa" w:w="100"/>
            </w:tcMar>
            <w:vAlign w:val="center"/>
          </w:tcPr>
          <w:p>
            <w:r>
              <w:rPr>
                <w:b w:val="false"/>
                <w:bCs w:val="false"/>
                <w:sz w:val="18"/>
                <w:szCs w:val="18"/>
              </w:rPr>
              <w:t xml:space="preserve">AI/LLM</w:t>
            </w:r>
          </w:p>
        </w:tc>
        <w:tc>
          <w:tcPr>
            <w:tcW w:type="dxa" w:w="3300"/>
            <w:tcMar>
              <w:top w:type="dxa" w:w="80"/>
              <w:left w:type="dxa" w:w="100"/>
              <w:bottom w:type="dxa" w:w="80"/>
              <w:right w:type="dxa" w:w="100"/>
            </w:tcMar>
            <w:vAlign w:val="center"/>
          </w:tcPr>
          <w:p>
            <w:r>
              <w:rPr>
                <w:b w:val="false"/>
                <w:bCs w:val="false"/>
                <w:sz w:val="18"/>
                <w:szCs w:val="18"/>
              </w:rPr>
              <w:t xml:space="preserve">The model self-reports its own 'confidence' value, which verifyInsight() then uses as the primary gate (confidence &gt;= 0.65) for whether an insight is shown. A model (or a prompt-injected one) can simply always report high confidence, defeating the gate.</w:t>
            </w:r>
          </w:p>
        </w:tc>
        <w:tc>
          <w:tcPr>
            <w:tcW w:type="dxa" w:w="950"/>
            <w:shd w:fill="FCF3B0" w:val="clear"/>
            <w:tcMar>
              <w:top w:type="dxa" w:w="80"/>
              <w:left w:type="dxa" w:w="100"/>
              <w:bottom w:type="dxa" w:w="80"/>
              <w:right w:type="dxa" w:w="100"/>
            </w:tcMar>
            <w:vAlign w:val="center"/>
          </w:tcPr>
          <w:p>
            <w:r>
              <w:rPr>
                <w:b/>
                <w:bCs/>
                <w:sz w:val="18"/>
                <w:szCs w:val="18"/>
              </w:rPr>
              <w:t xml:space="preserve">Medium</w:t>
            </w:r>
          </w:p>
        </w:tc>
        <w:tc>
          <w:tcPr>
            <w:tcW w:type="dxa" w:w="3110"/>
            <w:tcMar>
              <w:top w:type="dxa" w:w="80"/>
              <w:left w:type="dxa" w:w="100"/>
              <w:bottom w:type="dxa" w:w="80"/>
              <w:right w:type="dxa" w:w="100"/>
            </w:tcMar>
            <w:vAlign w:val="center"/>
          </w:tcPr>
          <w:p>
            <w:r>
              <w:rPr>
                <w:b w:val="false"/>
                <w:bCs w:val="false"/>
                <w:sz w:val="18"/>
                <w:szCs w:val="18"/>
              </w:rPr>
              <w:t xml:space="preserve">Treat model-reported confidence as advisory only; add an independent, code-computed confidence/evidence-strength signal rather than trusting the LLM's self-assessment for the accept/reject decision.</w:t>
            </w:r>
          </w:p>
        </w:tc>
      </w:tr>
      <w:tr>
        <w:tc>
          <w:tcPr>
            <w:tcW w:type="dxa" w:w="650"/>
            <w:tcMar>
              <w:top w:type="dxa" w:w="80"/>
              <w:left w:type="dxa" w:w="100"/>
              <w:bottom w:type="dxa" w:w="80"/>
              <w:right w:type="dxa" w:w="100"/>
            </w:tcMar>
            <w:vAlign w:val="center"/>
          </w:tcPr>
          <w:p>
            <w:r>
              <w:rPr>
                <w:b w:val="false"/>
                <w:bCs w:val="false"/>
                <w:sz w:val="18"/>
                <w:szCs w:val="18"/>
              </w:rPr>
              <w:t xml:space="preserve">F-18</w:t>
            </w:r>
          </w:p>
        </w:tc>
        <w:tc>
          <w:tcPr>
            <w:tcW w:type="dxa" w:w="1350"/>
            <w:tcMar>
              <w:top w:type="dxa" w:w="80"/>
              <w:left w:type="dxa" w:w="100"/>
              <w:bottom w:type="dxa" w:w="80"/>
              <w:right w:type="dxa" w:w="100"/>
            </w:tcMar>
            <w:vAlign w:val="center"/>
          </w:tcPr>
          <w:p>
            <w:r>
              <w:rPr>
                <w:b w:val="false"/>
                <w:bCs w:val="false"/>
                <w:sz w:val="18"/>
                <w:szCs w:val="18"/>
              </w:rPr>
              <w:t xml:space="preserve">AI/LLM</w:t>
            </w:r>
          </w:p>
        </w:tc>
        <w:tc>
          <w:tcPr>
            <w:tcW w:type="dxa" w:w="3300"/>
            <w:tcMar>
              <w:top w:type="dxa" w:w="80"/>
              <w:left w:type="dxa" w:w="100"/>
              <w:bottom w:type="dxa" w:w="80"/>
              <w:right w:type="dxa" w:w="100"/>
            </w:tcMar>
            <w:vAlign w:val="center"/>
          </w:tcPr>
          <w:p>
            <w:r>
              <w:rPr>
                <w:b w:val="false"/>
                <w:bCs w:val="false"/>
                <w:sz w:val="18"/>
                <w:szCs w:val="18"/>
              </w:rPr>
              <w:t xml:space="preserve">scrubHealthReferences() is a fixed keyword regex (sleep, stress, heart rate, steps, activity, recovery). A model that paraphrases ('your rest patterns', 'your nightly recovery window') bypasses the health-claim gate entirely.</w:t>
            </w:r>
          </w:p>
        </w:tc>
        <w:tc>
          <w:tcPr>
            <w:tcW w:type="dxa" w:w="950"/>
            <w:shd w:fill="FCF3B0" w:val="clear"/>
            <w:tcMar>
              <w:top w:type="dxa" w:w="80"/>
              <w:left w:type="dxa" w:w="100"/>
              <w:bottom w:type="dxa" w:w="80"/>
              <w:right w:type="dxa" w:w="100"/>
            </w:tcMar>
            <w:vAlign w:val="center"/>
          </w:tcPr>
          <w:p>
            <w:r>
              <w:rPr>
                <w:b/>
                <w:bCs/>
                <w:sz w:val="18"/>
                <w:szCs w:val="18"/>
              </w:rPr>
              <w:t xml:space="preserve">Medium</w:t>
            </w:r>
          </w:p>
        </w:tc>
        <w:tc>
          <w:tcPr>
            <w:tcW w:type="dxa" w:w="3110"/>
            <w:tcMar>
              <w:top w:type="dxa" w:w="80"/>
              <w:left w:type="dxa" w:w="100"/>
              <w:bottom w:type="dxa" w:w="80"/>
              <w:right w:type="dxa" w:w="100"/>
            </w:tcMar>
            <w:vAlign w:val="center"/>
          </w:tcPr>
          <w:p>
            <w:r>
              <w:rPr>
                <w:b w:val="false"/>
                <w:bCs w:val="false"/>
                <w:sz w:val="18"/>
                <w:szCs w:val="18"/>
              </w:rPr>
              <w:t xml:space="preserve">Broaden detection (semantic/keyword-family list, or a second LLM-based classifier) or, more robustly, don't send health data into the prompt at all when healthQuality.eligible is false, so there is nothing to leak regardless of phrasing.</w:t>
            </w:r>
          </w:p>
        </w:tc>
      </w:tr>
      <w:tr>
        <w:tc>
          <w:tcPr>
            <w:tcW w:type="dxa" w:w="650"/>
            <w:tcMar>
              <w:top w:type="dxa" w:w="80"/>
              <w:left w:type="dxa" w:w="100"/>
              <w:bottom w:type="dxa" w:w="80"/>
              <w:right w:type="dxa" w:w="100"/>
            </w:tcMar>
            <w:vAlign w:val="center"/>
          </w:tcPr>
          <w:p>
            <w:r>
              <w:rPr>
                <w:b w:val="false"/>
                <w:bCs w:val="false"/>
                <w:sz w:val="18"/>
                <w:szCs w:val="18"/>
              </w:rPr>
              <w:t xml:space="preserve">F-19</w:t>
            </w:r>
          </w:p>
        </w:tc>
        <w:tc>
          <w:tcPr>
            <w:tcW w:type="dxa" w:w="1350"/>
            <w:tcMar>
              <w:top w:type="dxa" w:w="80"/>
              <w:left w:type="dxa" w:w="100"/>
              <w:bottom w:type="dxa" w:w="80"/>
              <w:right w:type="dxa" w:w="100"/>
            </w:tcMar>
            <w:vAlign w:val="center"/>
          </w:tcPr>
          <w:p>
            <w:r>
              <w:rPr>
                <w:b w:val="false"/>
                <w:bCs w:val="false"/>
                <w:sz w:val="18"/>
                <w:szCs w:val="18"/>
              </w:rPr>
              <w:t xml:space="preserve">AI/LLM</w:t>
            </w:r>
          </w:p>
        </w:tc>
        <w:tc>
          <w:tcPr>
            <w:tcW w:type="dxa" w:w="3300"/>
            <w:tcMar>
              <w:top w:type="dxa" w:w="80"/>
              <w:left w:type="dxa" w:w="100"/>
              <w:bottom w:type="dxa" w:w="80"/>
              <w:right w:type="dxa" w:w="100"/>
            </w:tcMar>
            <w:vAlign w:val="center"/>
          </w:tcPr>
          <w:p>
            <w:r>
              <w:rPr>
                <w:b w:val="false"/>
                <w:bCs w:val="false"/>
                <w:sz w:val="18"/>
                <w:szCs w:val="18"/>
              </w:rPr>
              <w:t xml:space="preserve">User-authored journal content and chat messages are interpolated directly into the LLM prompt (service.js generateInsight) as untrusted input, with no delimiter/escaping strategy beyond JSON.stringify(context) — a classic prompt-injection surface (e.g. a journal entry could try to instruct the model to ignore its 'never diagnose' rules).</w:t>
            </w:r>
          </w:p>
        </w:tc>
        <w:tc>
          <w:tcPr>
            <w:tcW w:type="dxa" w:w="950"/>
            <w:shd w:fill="FCF3B0" w:val="clear"/>
            <w:tcMar>
              <w:top w:type="dxa" w:w="80"/>
              <w:left w:type="dxa" w:w="100"/>
              <w:bottom w:type="dxa" w:w="80"/>
              <w:right w:type="dxa" w:w="100"/>
            </w:tcMar>
            <w:vAlign w:val="center"/>
          </w:tcPr>
          <w:p>
            <w:r>
              <w:rPr>
                <w:b/>
                <w:bCs/>
                <w:sz w:val="18"/>
                <w:szCs w:val="18"/>
              </w:rPr>
              <w:t xml:space="preserve">Medium</w:t>
            </w:r>
          </w:p>
        </w:tc>
        <w:tc>
          <w:tcPr>
            <w:tcW w:type="dxa" w:w="3110"/>
            <w:tcMar>
              <w:top w:type="dxa" w:w="80"/>
              <w:left w:type="dxa" w:w="100"/>
              <w:bottom w:type="dxa" w:w="80"/>
              <w:right w:type="dxa" w:w="100"/>
            </w:tcMar>
            <w:vAlign w:val="center"/>
          </w:tcPr>
          <w:p>
            <w:r>
              <w:rPr>
                <w:b w:val="false"/>
                <w:bCs w:val="false"/>
                <w:sz w:val="18"/>
                <w:szCs w:val="18"/>
              </w:rPr>
              <w:t xml:space="preserve">Keep the current deterministic guardrails (verifyInsight, scrubHealthReferences) as the authoritative safety layer rather than the prompt text — that design is good — but also add explicit delimiters around user content in the prompt and consider a lightweight injection-pattern check on journal/chat input.</w:t>
            </w:r>
          </w:p>
        </w:tc>
      </w:tr>
      <w:tr>
        <w:tc>
          <w:tcPr>
            <w:tcW w:type="dxa" w:w="650"/>
            <w:tcMar>
              <w:top w:type="dxa" w:w="80"/>
              <w:left w:type="dxa" w:w="100"/>
              <w:bottom w:type="dxa" w:w="80"/>
              <w:right w:type="dxa" w:w="100"/>
            </w:tcMar>
            <w:vAlign w:val="center"/>
          </w:tcPr>
          <w:p>
            <w:r>
              <w:rPr>
                <w:b w:val="false"/>
                <w:bCs w:val="false"/>
                <w:sz w:val="18"/>
                <w:szCs w:val="18"/>
              </w:rPr>
              <w:t xml:space="preserve">F-22</w:t>
            </w:r>
          </w:p>
        </w:tc>
        <w:tc>
          <w:tcPr>
            <w:tcW w:type="dxa" w:w="1350"/>
            <w:tcMar>
              <w:top w:type="dxa" w:w="80"/>
              <w:left w:type="dxa" w:w="100"/>
              <w:bottom w:type="dxa" w:w="80"/>
              <w:right w:type="dxa" w:w="100"/>
            </w:tcMar>
            <w:vAlign w:val="center"/>
          </w:tcPr>
          <w:p>
            <w:r>
              <w:rPr>
                <w:b w:val="false"/>
                <w:bCs w:val="false"/>
                <w:sz w:val="18"/>
                <w:szCs w:val="18"/>
              </w:rPr>
              <w:t xml:space="preserve">Privacy</w:t>
            </w:r>
          </w:p>
        </w:tc>
        <w:tc>
          <w:tcPr>
            <w:tcW w:type="dxa" w:w="3300"/>
            <w:tcMar>
              <w:top w:type="dxa" w:w="80"/>
              <w:left w:type="dxa" w:w="100"/>
              <w:bottom w:type="dxa" w:w="80"/>
              <w:right w:type="dxa" w:w="100"/>
            </w:tcMar>
            <w:vAlign w:val="center"/>
          </w:tcPr>
          <w:p>
            <w:r>
              <w:rPr>
                <w:b w:val="false"/>
                <w:bCs w:val="false"/>
                <w:sz w:val="18"/>
                <w:szCs w:val="18"/>
              </w:rPr>
              <w:t xml:space="preserve">AuditLog stores detectedPatterns, retrievedMemoryIds and generatedQuestion for every chat turn indefinitely — effectively a second, permanent copy of sensitive conversational context beyond the ChatSession itself.</w:t>
            </w:r>
          </w:p>
        </w:tc>
        <w:tc>
          <w:tcPr>
            <w:tcW w:type="dxa" w:w="950"/>
            <w:shd w:fill="FCF3B0" w:val="clear"/>
            <w:tcMar>
              <w:top w:type="dxa" w:w="80"/>
              <w:left w:type="dxa" w:w="100"/>
              <w:bottom w:type="dxa" w:w="80"/>
              <w:right w:type="dxa" w:w="100"/>
            </w:tcMar>
            <w:vAlign w:val="center"/>
          </w:tcPr>
          <w:p>
            <w:r>
              <w:rPr>
                <w:b/>
                <w:bCs/>
                <w:sz w:val="18"/>
                <w:szCs w:val="18"/>
              </w:rPr>
              <w:t xml:space="preserve">Medium</w:t>
            </w:r>
          </w:p>
        </w:tc>
        <w:tc>
          <w:tcPr>
            <w:tcW w:type="dxa" w:w="3110"/>
            <w:tcMar>
              <w:top w:type="dxa" w:w="80"/>
              <w:left w:type="dxa" w:w="100"/>
              <w:bottom w:type="dxa" w:w="80"/>
              <w:right w:type="dxa" w:w="100"/>
            </w:tcMar>
            <w:vAlign w:val="center"/>
          </w:tcPr>
          <w:p>
            <w:r>
              <w:rPr>
                <w:b w:val="false"/>
                <w:bCs w:val="false"/>
                <w:sz w:val="18"/>
                <w:szCs w:val="18"/>
              </w:rPr>
              <w:t xml:space="preserve">Define and enforce a retention window for AuditLog distinct from user-facing history, since its purpose is compliance/debugging, not product function.</w:t>
            </w:r>
          </w:p>
        </w:tc>
      </w:tr>
      <w:tr>
        <w:tc>
          <w:tcPr>
            <w:tcW w:type="dxa" w:w="650"/>
            <w:tcMar>
              <w:top w:type="dxa" w:w="80"/>
              <w:left w:type="dxa" w:w="100"/>
              <w:bottom w:type="dxa" w:w="80"/>
              <w:right w:type="dxa" w:w="100"/>
            </w:tcMar>
            <w:vAlign w:val="center"/>
          </w:tcPr>
          <w:p>
            <w:r>
              <w:rPr>
                <w:b w:val="false"/>
                <w:bCs w:val="false"/>
                <w:sz w:val="18"/>
                <w:szCs w:val="18"/>
              </w:rPr>
              <w:t xml:space="preserve">F-26</w:t>
            </w:r>
          </w:p>
        </w:tc>
        <w:tc>
          <w:tcPr>
            <w:tcW w:type="dxa" w:w="1350"/>
            <w:tcMar>
              <w:top w:type="dxa" w:w="80"/>
              <w:left w:type="dxa" w:w="100"/>
              <w:bottom w:type="dxa" w:w="80"/>
              <w:right w:type="dxa" w:w="100"/>
            </w:tcMar>
            <w:vAlign w:val="center"/>
          </w:tcPr>
          <w:p>
            <w:r>
              <w:rPr>
                <w:b w:val="false"/>
                <w:bCs w:val="false"/>
                <w:sz w:val="18"/>
                <w:szCs w:val="18"/>
              </w:rPr>
              <w:t xml:space="preserve">Deployment</w:t>
            </w:r>
          </w:p>
        </w:tc>
        <w:tc>
          <w:tcPr>
            <w:tcW w:type="dxa" w:w="3300"/>
            <w:tcMar>
              <w:top w:type="dxa" w:w="80"/>
              <w:left w:type="dxa" w:w="100"/>
              <w:bottom w:type="dxa" w:w="80"/>
              <w:right w:type="dxa" w:w="100"/>
            </w:tcMar>
            <w:vAlign w:val="center"/>
          </w:tcPr>
          <w:p>
            <w:r>
              <w:rPr>
                <w:b w:val="false"/>
                <w:bCs w:val="false"/>
                <w:sz w:val="18"/>
                <w:szCs w:val="18"/>
              </w:rPr>
              <w:t xml:space="preserve">No security-header middleware, no HTTPS-enforcement, and no documented reverse-proxy/TLS guidance exist in the repo; startup.js validates required env vars but not their strength (e.g. accepts a 1-character JWT_SECRET).</w:t>
            </w:r>
          </w:p>
        </w:tc>
        <w:tc>
          <w:tcPr>
            <w:tcW w:type="dxa" w:w="950"/>
            <w:shd w:fill="FCF3B0" w:val="clear"/>
            <w:tcMar>
              <w:top w:type="dxa" w:w="80"/>
              <w:left w:type="dxa" w:w="100"/>
              <w:bottom w:type="dxa" w:w="80"/>
              <w:right w:type="dxa" w:w="100"/>
            </w:tcMar>
            <w:vAlign w:val="center"/>
          </w:tcPr>
          <w:p>
            <w:r>
              <w:rPr>
                <w:b/>
                <w:bCs/>
                <w:sz w:val="18"/>
                <w:szCs w:val="18"/>
              </w:rPr>
              <w:t xml:space="preserve">Medium</w:t>
            </w:r>
          </w:p>
        </w:tc>
        <w:tc>
          <w:tcPr>
            <w:tcW w:type="dxa" w:w="3110"/>
            <w:tcMar>
              <w:top w:type="dxa" w:w="80"/>
              <w:left w:type="dxa" w:w="100"/>
              <w:bottom w:type="dxa" w:w="80"/>
              <w:right w:type="dxa" w:w="100"/>
            </w:tcMar>
            <w:vAlign w:val="center"/>
          </w:tcPr>
          <w:p>
            <w:r>
              <w:rPr>
                <w:b w:val="false"/>
                <w:bCs w:val="false"/>
                <w:sz w:val="18"/>
                <w:szCs w:val="18"/>
              </w:rPr>
              <w:t xml:space="preserve">Add startup validation for secret strength/format; document required TLS termination and header hardening in deployment docs (README currently only covers local dev).</w:t>
            </w:r>
          </w:p>
        </w:tc>
      </w:tr>
      <w:tr>
        <w:tc>
          <w:tcPr>
            <w:tcW w:type="dxa" w:w="650"/>
            <w:tcMar>
              <w:top w:type="dxa" w:w="80"/>
              <w:left w:type="dxa" w:w="100"/>
              <w:bottom w:type="dxa" w:w="80"/>
              <w:right w:type="dxa" w:w="100"/>
            </w:tcMar>
            <w:vAlign w:val="center"/>
          </w:tcPr>
          <w:p>
            <w:r>
              <w:rPr>
                <w:b w:val="false"/>
                <w:bCs w:val="false"/>
                <w:sz w:val="18"/>
                <w:szCs w:val="18"/>
              </w:rPr>
              <w:t xml:space="preserve">F-06</w:t>
            </w:r>
          </w:p>
        </w:tc>
        <w:tc>
          <w:tcPr>
            <w:tcW w:type="dxa" w:w="1350"/>
            <w:tcMar>
              <w:top w:type="dxa" w:w="80"/>
              <w:left w:type="dxa" w:w="100"/>
              <w:bottom w:type="dxa" w:w="80"/>
              <w:right w:type="dxa" w:w="100"/>
            </w:tcMar>
            <w:vAlign w:val="center"/>
          </w:tcPr>
          <w:p>
            <w:r>
              <w:rPr>
                <w:b w:val="false"/>
                <w:bCs w:val="false"/>
                <w:sz w:val="18"/>
                <w:szCs w:val="18"/>
              </w:rPr>
              <w:t xml:space="preserve">Authentication</w:t>
            </w:r>
          </w:p>
        </w:tc>
        <w:tc>
          <w:tcPr>
            <w:tcW w:type="dxa" w:w="3300"/>
            <w:tcMar>
              <w:top w:type="dxa" w:w="80"/>
              <w:left w:type="dxa" w:w="100"/>
              <w:bottom w:type="dxa" w:w="80"/>
              <w:right w:type="dxa" w:w="100"/>
            </w:tcMar>
            <w:vAlign w:val="center"/>
          </w:tcPr>
          <w:p>
            <w:r>
              <w:rPr>
                <w:b w:val="false"/>
                <w:bCs w:val="false"/>
                <w:sz w:val="18"/>
                <w:szCs w:val="18"/>
              </w:rPr>
              <w:t xml:space="preserve">authSchemas.js sets a minimum password length/complexity but no maximum, and bcryptjs is a pure-JS implementation; very large inputs add unnecessary CPU cost per request.</w:t>
            </w:r>
          </w:p>
        </w:tc>
        <w:tc>
          <w:tcPr>
            <w:tcW w:type="dxa" w:w="950"/>
            <w:shd w:fill="D9EAD3" w:val="clear"/>
            <w:tcMar>
              <w:top w:type="dxa" w:w="80"/>
              <w:left w:type="dxa" w:w="100"/>
              <w:bottom w:type="dxa" w:w="80"/>
              <w:right w:type="dxa" w:w="100"/>
            </w:tcMar>
            <w:vAlign w:val="center"/>
          </w:tcPr>
          <w:p>
            <w:r>
              <w:rPr>
                <w:b/>
                <w:bCs/>
                <w:sz w:val="18"/>
                <w:szCs w:val="18"/>
              </w:rPr>
              <w:t xml:space="preserve">Low</w:t>
            </w:r>
          </w:p>
        </w:tc>
        <w:tc>
          <w:tcPr>
            <w:tcW w:type="dxa" w:w="3110"/>
            <w:tcMar>
              <w:top w:type="dxa" w:w="80"/>
              <w:left w:type="dxa" w:w="100"/>
              <w:bottom w:type="dxa" w:w="80"/>
              <w:right w:type="dxa" w:w="100"/>
            </w:tcMar>
            <w:vAlign w:val="center"/>
          </w:tcPr>
          <w:p>
            <w:r>
              <w:rPr>
                <w:b w:val="false"/>
                <w:bCs w:val="false"/>
                <w:sz w:val="18"/>
                <w:szCs w:val="18"/>
              </w:rPr>
              <w:t xml:space="preserve">Cap password and other free-text fields at a sane maximum (e.g. 128 chars) in the Zod schema, in addition to existing max lengths on chat/journal content.</w:t>
            </w:r>
          </w:p>
        </w:tc>
      </w:tr>
      <w:tr>
        <w:tc>
          <w:tcPr>
            <w:tcW w:type="dxa" w:w="650"/>
            <w:tcMar>
              <w:top w:type="dxa" w:w="80"/>
              <w:left w:type="dxa" w:w="100"/>
              <w:bottom w:type="dxa" w:w="80"/>
              <w:right w:type="dxa" w:w="100"/>
            </w:tcMar>
            <w:vAlign w:val="center"/>
          </w:tcPr>
          <w:p>
            <w:r>
              <w:rPr>
                <w:b w:val="false"/>
                <w:bCs w:val="false"/>
                <w:sz w:val="18"/>
                <w:szCs w:val="18"/>
              </w:rPr>
              <w:t xml:space="preserve">F-10</w:t>
            </w:r>
          </w:p>
        </w:tc>
        <w:tc>
          <w:tcPr>
            <w:tcW w:type="dxa" w:w="1350"/>
            <w:tcMar>
              <w:top w:type="dxa" w:w="80"/>
              <w:left w:type="dxa" w:w="100"/>
              <w:bottom w:type="dxa" w:w="80"/>
              <w:right w:type="dxa" w:w="100"/>
            </w:tcMar>
            <w:vAlign w:val="center"/>
          </w:tcPr>
          <w:p>
            <w:r>
              <w:rPr>
                <w:b w:val="false"/>
                <w:bCs w:val="false"/>
                <w:sz w:val="18"/>
                <w:szCs w:val="18"/>
              </w:rPr>
              <w:t xml:space="preserve">API Security</w:t>
            </w:r>
          </w:p>
        </w:tc>
        <w:tc>
          <w:tcPr>
            <w:tcW w:type="dxa" w:w="3300"/>
            <w:tcMar>
              <w:top w:type="dxa" w:w="80"/>
              <w:left w:type="dxa" w:w="100"/>
              <w:bottom w:type="dxa" w:w="80"/>
              <w:right w:type="dxa" w:w="100"/>
            </w:tcMar>
            <w:vAlign w:val="center"/>
          </w:tcPr>
          <w:p>
            <w:r>
              <w:rPr>
                <w:b w:val="false"/>
                <w:bCs w:val="false"/>
                <w:sz w:val="18"/>
                <w:szCs w:val="18"/>
              </w:rPr>
              <w:t xml:space="preserve">errorHandler.js returns err.message and err.details directly to the client for every error, including uncaught/unexpected errors (statusCode defaults to 500 but message is passed through).</w:t>
            </w:r>
          </w:p>
        </w:tc>
        <w:tc>
          <w:tcPr>
            <w:tcW w:type="dxa" w:w="950"/>
            <w:shd w:fill="D9EAD3" w:val="clear"/>
            <w:tcMar>
              <w:top w:type="dxa" w:w="80"/>
              <w:left w:type="dxa" w:w="100"/>
              <w:bottom w:type="dxa" w:w="80"/>
              <w:right w:type="dxa" w:w="100"/>
            </w:tcMar>
            <w:vAlign w:val="center"/>
          </w:tcPr>
          <w:p>
            <w:r>
              <w:rPr>
                <w:b/>
                <w:bCs/>
                <w:sz w:val="18"/>
                <w:szCs w:val="18"/>
              </w:rPr>
              <w:t xml:space="preserve">Low</w:t>
            </w:r>
          </w:p>
        </w:tc>
        <w:tc>
          <w:tcPr>
            <w:tcW w:type="dxa" w:w="3110"/>
            <w:tcMar>
              <w:top w:type="dxa" w:w="80"/>
              <w:left w:type="dxa" w:w="100"/>
              <w:bottom w:type="dxa" w:w="80"/>
              <w:right w:type="dxa" w:w="100"/>
            </w:tcMar>
            <w:vAlign w:val="center"/>
          </w:tcPr>
          <w:p>
            <w:r>
              <w:rPr>
                <w:b w:val="false"/>
                <w:bCs w:val="false"/>
                <w:sz w:val="18"/>
                <w:szCs w:val="18"/>
              </w:rPr>
              <w:t xml:space="preserve">Return a generic message for 5xx/unexpected errors in production; keep detailed messages only for explicitly thrown AppError instances with safe, pre-written text.</w:t>
            </w:r>
          </w:p>
        </w:tc>
      </w:tr>
      <w:tr>
        <w:tc>
          <w:tcPr>
            <w:tcW w:type="dxa" w:w="650"/>
            <w:tcMar>
              <w:top w:type="dxa" w:w="80"/>
              <w:left w:type="dxa" w:w="100"/>
              <w:bottom w:type="dxa" w:w="80"/>
              <w:right w:type="dxa" w:w="100"/>
            </w:tcMar>
            <w:vAlign w:val="center"/>
          </w:tcPr>
          <w:p>
            <w:r>
              <w:rPr>
                <w:b w:val="false"/>
                <w:bCs w:val="false"/>
                <w:sz w:val="18"/>
                <w:szCs w:val="18"/>
              </w:rPr>
              <w:t xml:space="preserve">F-15</w:t>
            </w:r>
          </w:p>
        </w:tc>
        <w:tc>
          <w:tcPr>
            <w:tcW w:type="dxa" w:w="1350"/>
            <w:tcMar>
              <w:top w:type="dxa" w:w="80"/>
              <w:left w:type="dxa" w:w="100"/>
              <w:bottom w:type="dxa" w:w="80"/>
              <w:right w:type="dxa" w:w="100"/>
            </w:tcMar>
            <w:vAlign w:val="center"/>
          </w:tcPr>
          <w:p>
            <w:r>
              <w:rPr>
                <w:b w:val="false"/>
                <w:bCs w:val="false"/>
                <w:sz w:val="18"/>
                <w:szCs w:val="18"/>
              </w:rPr>
              <w:t xml:space="preserve">Database</w:t>
            </w:r>
          </w:p>
        </w:tc>
        <w:tc>
          <w:tcPr>
            <w:tcW w:type="dxa" w:w="3300"/>
            <w:tcMar>
              <w:top w:type="dxa" w:w="80"/>
              <w:left w:type="dxa" w:w="100"/>
              <w:bottom w:type="dxa" w:w="80"/>
              <w:right w:type="dxa" w:w="100"/>
            </w:tcMar>
            <w:vAlign w:val="center"/>
          </w:tcPr>
          <w:p>
            <w:r>
              <w:rPr>
                <w:b w:val="false"/>
                <w:bCs w:val="false"/>
                <w:sz w:val="18"/>
                <w:szCs w:val="18"/>
              </w:rPr>
              <w:t xml:space="preserve">AuditLog, ChatSession, JournalEntry and HealthData have no TTL or retention policy — sensitive records accumulate indefinitely with no deletion mechanism exposed to the user.</w:t>
            </w:r>
          </w:p>
        </w:tc>
        <w:tc>
          <w:tcPr>
            <w:tcW w:type="dxa" w:w="950"/>
            <w:shd w:fill="D9EAD3" w:val="clear"/>
            <w:tcMar>
              <w:top w:type="dxa" w:w="80"/>
              <w:left w:type="dxa" w:w="100"/>
              <w:bottom w:type="dxa" w:w="80"/>
              <w:right w:type="dxa" w:w="100"/>
            </w:tcMar>
            <w:vAlign w:val="center"/>
          </w:tcPr>
          <w:p>
            <w:r>
              <w:rPr>
                <w:b/>
                <w:bCs/>
                <w:sz w:val="18"/>
                <w:szCs w:val="18"/>
              </w:rPr>
              <w:t xml:space="preserve">Low</w:t>
            </w:r>
          </w:p>
        </w:tc>
        <w:tc>
          <w:tcPr>
            <w:tcW w:type="dxa" w:w="3110"/>
            <w:tcMar>
              <w:top w:type="dxa" w:w="80"/>
              <w:left w:type="dxa" w:w="100"/>
              <w:bottom w:type="dxa" w:w="80"/>
              <w:right w:type="dxa" w:w="100"/>
            </w:tcMar>
            <w:vAlign w:val="center"/>
          </w:tcPr>
          <w:p>
            <w:r>
              <w:rPr>
                <w:b w:val="false"/>
                <w:bCs w:val="false"/>
                <w:sz w:val="18"/>
                <w:szCs w:val="18"/>
              </w:rPr>
              <w:t xml:space="preserve">Define a data-retention policy and implement account/data-deletion endpoints (also needed for privacy compliance, see privacy section).</w:t>
            </w:r>
          </w:p>
        </w:tc>
      </w:tr>
      <w:tr>
        <w:tc>
          <w:tcPr>
            <w:tcW w:type="dxa" w:w="650"/>
            <w:tcMar>
              <w:top w:type="dxa" w:w="80"/>
              <w:left w:type="dxa" w:w="100"/>
              <w:bottom w:type="dxa" w:w="80"/>
              <w:right w:type="dxa" w:w="100"/>
            </w:tcMar>
            <w:vAlign w:val="center"/>
          </w:tcPr>
          <w:p>
            <w:r>
              <w:rPr>
                <w:b w:val="false"/>
                <w:bCs w:val="false"/>
                <w:sz w:val="18"/>
                <w:szCs w:val="18"/>
              </w:rPr>
              <w:t xml:space="preserve">F-25</w:t>
            </w:r>
          </w:p>
        </w:tc>
        <w:tc>
          <w:tcPr>
            <w:tcW w:type="dxa" w:w="1350"/>
            <w:tcMar>
              <w:top w:type="dxa" w:w="80"/>
              <w:left w:type="dxa" w:w="100"/>
              <w:bottom w:type="dxa" w:w="80"/>
              <w:right w:type="dxa" w:w="100"/>
            </w:tcMar>
            <w:vAlign w:val="center"/>
          </w:tcPr>
          <w:p>
            <w:r>
              <w:rPr>
                <w:b w:val="false"/>
                <w:bCs w:val="false"/>
                <w:sz w:val="18"/>
                <w:szCs w:val="18"/>
              </w:rPr>
              <w:t xml:space="preserve">Frontend</w:t>
            </w:r>
          </w:p>
        </w:tc>
        <w:tc>
          <w:tcPr>
            <w:tcW w:type="dxa" w:w="3300"/>
            <w:tcMar>
              <w:top w:type="dxa" w:w="80"/>
              <w:left w:type="dxa" w:w="100"/>
              <w:bottom w:type="dxa" w:w="80"/>
              <w:right w:type="dxa" w:w="100"/>
            </w:tcMar>
            <w:vAlign w:val="center"/>
          </w:tcPr>
          <w:p>
            <w:r>
              <w:rPr>
                <w:b w:val="false"/>
                <w:bCs w:val="false"/>
                <w:sz w:val="18"/>
                <w:szCs w:val="18"/>
              </w:rPr>
              <w:t xml:space="preserve">api.js retries every failed request once after 350ms regardless of error type (including 4xx auth failures), which can mask/delay error feedback and double-submit non-idempotent requests (e.g. journal creation) on flaky networks.</w:t>
            </w:r>
          </w:p>
        </w:tc>
        <w:tc>
          <w:tcPr>
            <w:tcW w:type="dxa" w:w="950"/>
            <w:shd w:fill="D9EAD3" w:val="clear"/>
            <w:tcMar>
              <w:top w:type="dxa" w:w="80"/>
              <w:left w:type="dxa" w:w="100"/>
              <w:bottom w:type="dxa" w:w="80"/>
              <w:right w:type="dxa" w:w="100"/>
            </w:tcMar>
            <w:vAlign w:val="center"/>
          </w:tcPr>
          <w:p>
            <w:r>
              <w:rPr>
                <w:b/>
                <w:bCs/>
                <w:sz w:val="18"/>
                <w:szCs w:val="18"/>
              </w:rPr>
              <w:t xml:space="preserve">Low</w:t>
            </w:r>
          </w:p>
        </w:tc>
        <w:tc>
          <w:tcPr>
            <w:tcW w:type="dxa" w:w="3110"/>
            <w:tcMar>
              <w:top w:type="dxa" w:w="80"/>
              <w:left w:type="dxa" w:w="100"/>
              <w:bottom w:type="dxa" w:w="80"/>
              <w:right w:type="dxa" w:w="100"/>
            </w:tcMar>
            <w:vAlign w:val="center"/>
          </w:tcPr>
          <w:p>
            <w:r>
              <w:rPr>
                <w:b w:val="false"/>
                <w:bCs w:val="false"/>
                <w:sz w:val="18"/>
                <w:szCs w:val="18"/>
              </w:rPr>
              <w:t xml:space="preserve">Only retry on network-level failures / idempotent GET requests; do not retry POST/PATCH on ambiguous failures without idempotency keys.</w:t>
            </w:r>
          </w:p>
        </w:tc>
      </w:tr>
      <w:tr>
        <w:tc>
          <w:tcPr>
            <w:tcW w:type="dxa" w:w="650"/>
            <w:tcMar>
              <w:top w:type="dxa" w:w="80"/>
              <w:left w:type="dxa" w:w="100"/>
              <w:bottom w:type="dxa" w:w="80"/>
              <w:right w:type="dxa" w:w="100"/>
            </w:tcMar>
            <w:vAlign w:val="center"/>
          </w:tcPr>
          <w:p>
            <w:r>
              <w:rPr>
                <w:b w:val="false"/>
                <w:bCs w:val="false"/>
                <w:sz w:val="18"/>
                <w:szCs w:val="18"/>
              </w:rPr>
              <w:t xml:space="preserve">F-08</w:t>
            </w:r>
          </w:p>
        </w:tc>
        <w:tc>
          <w:tcPr>
            <w:tcW w:type="dxa" w:w="1350"/>
            <w:tcMar>
              <w:top w:type="dxa" w:w="80"/>
              <w:left w:type="dxa" w:w="100"/>
              <w:bottom w:type="dxa" w:w="80"/>
              <w:right w:type="dxa" w:w="100"/>
            </w:tcMar>
            <w:vAlign w:val="center"/>
          </w:tcPr>
          <w:p>
            <w:r>
              <w:rPr>
                <w:b w:val="false"/>
                <w:bCs w:val="false"/>
                <w:sz w:val="18"/>
                <w:szCs w:val="18"/>
              </w:rPr>
              <w:t xml:space="preserve">Authorization</w:t>
            </w:r>
          </w:p>
        </w:tc>
        <w:tc>
          <w:tcPr>
            <w:tcW w:type="dxa" w:w="3300"/>
            <w:tcMar>
              <w:top w:type="dxa" w:w="80"/>
              <w:left w:type="dxa" w:w="100"/>
              <w:bottom w:type="dxa" w:w="80"/>
              <w:right w:type="dxa" w:w="100"/>
            </w:tcMar>
            <w:vAlign w:val="center"/>
          </w:tcPr>
          <w:p>
            <w:r>
              <w:rPr>
                <w:b w:val="false"/>
                <w:bCs w:val="false"/>
                <w:sz w:val="18"/>
                <w:szCs w:val="18"/>
              </w:rPr>
              <w:t xml:space="preserve">There is a single implicit role (authenticated user); no admin/staff tier exists, so no privilege-escalation surface currently, but also no separation if admin tooling is added later.</w:t>
            </w:r>
          </w:p>
        </w:tc>
        <w:tc>
          <w:tcPr>
            <w:tcW w:type="dxa" w:w="950"/>
            <w:shd w:fill="E1E6EC" w:val="clear"/>
            <w:tcMar>
              <w:top w:type="dxa" w:w="80"/>
              <w:left w:type="dxa" w:w="100"/>
              <w:bottom w:type="dxa" w:w="80"/>
              <w:right w:type="dxa" w:w="100"/>
            </w:tcMar>
            <w:vAlign w:val="center"/>
          </w:tcPr>
          <w:p>
            <w:r>
              <w:rPr>
                <w:b/>
                <w:bCs/>
                <w:sz w:val="18"/>
                <w:szCs w:val="18"/>
              </w:rPr>
              <w:t xml:space="preserve">Info</w:t>
            </w:r>
          </w:p>
        </w:tc>
        <w:tc>
          <w:tcPr>
            <w:tcW w:type="dxa" w:w="3110"/>
            <w:tcMar>
              <w:top w:type="dxa" w:w="80"/>
              <w:left w:type="dxa" w:w="100"/>
              <w:bottom w:type="dxa" w:w="80"/>
              <w:right w:type="dxa" w:w="100"/>
            </w:tcMar>
            <w:vAlign w:val="center"/>
          </w:tcPr>
          <w:p>
            <w:r>
              <w:rPr>
                <w:b w:val="false"/>
                <w:bCs w:val="false"/>
                <w:sz w:val="18"/>
                <w:szCs w:val="18"/>
              </w:rPr>
              <w:t xml:space="preserve">If admin/support tooling is introduced, design authorization (RBAC) explicitly rather than reusing requireAuth as-is.</w:t>
            </w:r>
          </w:p>
        </w:tc>
      </w:tr>
      <w:tr>
        <w:tc>
          <w:tcPr>
            <w:tcW w:type="dxa" w:w="650"/>
            <w:tcMar>
              <w:top w:type="dxa" w:w="80"/>
              <w:left w:type="dxa" w:w="100"/>
              <w:bottom w:type="dxa" w:w="80"/>
              <w:right w:type="dxa" w:w="100"/>
            </w:tcMar>
            <w:vAlign w:val="center"/>
          </w:tcPr>
          <w:p>
            <w:r>
              <w:rPr>
                <w:b w:val="false"/>
                <w:bCs w:val="false"/>
                <w:sz w:val="18"/>
                <w:szCs w:val="18"/>
              </w:rPr>
              <w:t xml:space="preserve">F-12</w:t>
            </w:r>
          </w:p>
        </w:tc>
        <w:tc>
          <w:tcPr>
            <w:tcW w:type="dxa" w:w="1350"/>
            <w:tcMar>
              <w:top w:type="dxa" w:w="80"/>
              <w:left w:type="dxa" w:w="100"/>
              <w:bottom w:type="dxa" w:w="80"/>
              <w:right w:type="dxa" w:w="100"/>
            </w:tcMar>
            <w:vAlign w:val="center"/>
          </w:tcPr>
          <w:p>
            <w:r>
              <w:rPr>
                <w:b w:val="false"/>
                <w:bCs w:val="false"/>
                <w:sz w:val="18"/>
                <w:szCs w:val="18"/>
              </w:rPr>
              <w:t xml:space="preserve">API Security</w:t>
            </w:r>
          </w:p>
        </w:tc>
        <w:tc>
          <w:tcPr>
            <w:tcW w:type="dxa" w:w="3300"/>
            <w:tcMar>
              <w:top w:type="dxa" w:w="80"/>
              <w:left w:type="dxa" w:w="100"/>
              <w:bottom w:type="dxa" w:w="80"/>
              <w:right w:type="dxa" w:w="100"/>
            </w:tcMar>
            <w:vAlign w:val="center"/>
          </w:tcPr>
          <w:p>
            <w:r>
              <w:rPr>
                <w:b w:val="false"/>
                <w:bCs w:val="false"/>
                <w:sz w:val="18"/>
                <w:szCs w:val="18"/>
              </w:rPr>
              <w:t xml:space="preserve">CORS is configured with credentials: true, but the app never sets cookies — the setting has no real effect today but signals cookie-based auth was considered.</w:t>
            </w:r>
          </w:p>
        </w:tc>
        <w:tc>
          <w:tcPr>
            <w:tcW w:type="dxa" w:w="950"/>
            <w:shd w:fill="E1E6EC" w:val="clear"/>
            <w:tcMar>
              <w:top w:type="dxa" w:w="80"/>
              <w:left w:type="dxa" w:w="100"/>
              <w:bottom w:type="dxa" w:w="80"/>
              <w:right w:type="dxa" w:w="100"/>
            </w:tcMar>
            <w:vAlign w:val="center"/>
          </w:tcPr>
          <w:p>
            <w:r>
              <w:rPr>
                <w:b/>
                <w:bCs/>
                <w:sz w:val="18"/>
                <w:szCs w:val="18"/>
              </w:rPr>
              <w:t xml:space="preserve">Info</w:t>
            </w:r>
          </w:p>
        </w:tc>
        <w:tc>
          <w:tcPr>
            <w:tcW w:type="dxa" w:w="3110"/>
            <w:tcMar>
              <w:top w:type="dxa" w:w="80"/>
              <w:left w:type="dxa" w:w="100"/>
              <w:bottom w:type="dxa" w:w="80"/>
              <w:right w:type="dxa" w:w="100"/>
            </w:tcMar>
            <w:vAlign w:val="center"/>
          </w:tcPr>
          <w:p>
            <w:r>
              <w:rPr>
                <w:b w:val="false"/>
                <w:bCs w:val="false"/>
                <w:sz w:val="18"/>
                <w:szCs w:val="18"/>
              </w:rPr>
              <w:t xml:space="preserve">Remove credentials: true unless/until cookie-based auth is actually implemented, to avoid conflicting signals for future maintainers.</w:t>
            </w:r>
          </w:p>
        </w:tc>
      </w:tr>
      <w:tr>
        <w:tc>
          <w:tcPr>
            <w:tcW w:type="dxa" w:w="650"/>
            <w:tcMar>
              <w:top w:type="dxa" w:w="80"/>
              <w:left w:type="dxa" w:w="100"/>
              <w:bottom w:type="dxa" w:w="80"/>
              <w:right w:type="dxa" w:w="100"/>
            </w:tcMar>
            <w:vAlign w:val="center"/>
          </w:tcPr>
          <w:p>
            <w:r>
              <w:rPr>
                <w:b w:val="false"/>
                <w:bCs w:val="false"/>
                <w:sz w:val="18"/>
                <w:szCs w:val="18"/>
              </w:rPr>
              <w:t xml:space="preserve">F-14</w:t>
            </w:r>
          </w:p>
        </w:tc>
        <w:tc>
          <w:tcPr>
            <w:tcW w:type="dxa" w:w="1350"/>
            <w:tcMar>
              <w:top w:type="dxa" w:w="80"/>
              <w:left w:type="dxa" w:w="100"/>
              <w:bottom w:type="dxa" w:w="80"/>
              <w:right w:type="dxa" w:w="100"/>
            </w:tcMar>
            <w:vAlign w:val="center"/>
          </w:tcPr>
          <w:p>
            <w:r>
              <w:rPr>
                <w:b w:val="false"/>
                <w:bCs w:val="false"/>
                <w:sz w:val="18"/>
                <w:szCs w:val="18"/>
              </w:rPr>
              <w:t xml:space="preserve">Database</w:t>
            </w:r>
          </w:p>
        </w:tc>
        <w:tc>
          <w:tcPr>
            <w:tcW w:type="dxa" w:w="3300"/>
            <w:tcMar>
              <w:top w:type="dxa" w:w="80"/>
              <w:left w:type="dxa" w:w="100"/>
              <w:bottom w:type="dxa" w:w="80"/>
              <w:right w:type="dxa" w:w="100"/>
            </w:tcMar>
            <w:vAlign w:val="center"/>
          </w:tcPr>
          <w:p>
            <w:r>
              <w:rPr>
                <w:b w:val="false"/>
                <w:bCs w:val="false"/>
                <w:sz w:val="18"/>
                <w:szCs w:val="18"/>
              </w:rPr>
              <w:t xml:space="preserve">MONGO_URI defaults to an unauthenticated local connection string (mongodb://127.0.0.1:27017/reflectai) in .env.example; production configuration correctness (auth enabled, TLS, network-restricted) is outside this codebase and unverified.</w:t>
            </w:r>
          </w:p>
        </w:tc>
        <w:tc>
          <w:tcPr>
            <w:tcW w:type="dxa" w:w="950"/>
            <w:shd w:fill="E1E6EC" w:val="clear"/>
            <w:tcMar>
              <w:top w:type="dxa" w:w="80"/>
              <w:left w:type="dxa" w:w="100"/>
              <w:bottom w:type="dxa" w:w="80"/>
              <w:right w:type="dxa" w:w="100"/>
            </w:tcMar>
            <w:vAlign w:val="center"/>
          </w:tcPr>
          <w:p>
            <w:r>
              <w:rPr>
                <w:b/>
                <w:bCs/>
                <w:sz w:val="18"/>
                <w:szCs w:val="18"/>
              </w:rPr>
              <w:t xml:space="preserve">Info</w:t>
            </w:r>
          </w:p>
        </w:tc>
        <w:tc>
          <w:tcPr>
            <w:tcW w:type="dxa" w:w="3110"/>
            <w:tcMar>
              <w:top w:type="dxa" w:w="80"/>
              <w:left w:type="dxa" w:w="100"/>
              <w:bottom w:type="dxa" w:w="80"/>
              <w:right w:type="dxa" w:w="100"/>
            </w:tcMar>
            <w:vAlign w:val="center"/>
          </w:tcPr>
          <w:p>
            <w:r>
              <w:rPr>
                <w:b w:val="false"/>
                <w:bCs w:val="false"/>
                <w:sz w:val="18"/>
                <w:szCs w:val="18"/>
              </w:rPr>
              <w:t xml:space="preserve">Document and enforce (e.g. via startup.js) that MONGO_URI must include credentials and TLS in any non-local environment.</w:t>
            </w:r>
          </w:p>
        </w:tc>
      </w:tr>
      <w:tr>
        <w:tc>
          <w:tcPr>
            <w:tcW w:type="dxa" w:w="650"/>
            <w:tcMar>
              <w:top w:type="dxa" w:w="80"/>
              <w:left w:type="dxa" w:w="100"/>
              <w:bottom w:type="dxa" w:w="80"/>
              <w:right w:type="dxa" w:w="100"/>
            </w:tcMar>
            <w:vAlign w:val="center"/>
          </w:tcPr>
          <w:p>
            <w:r>
              <w:rPr>
                <w:b w:val="false"/>
                <w:bCs w:val="false"/>
                <w:sz w:val="18"/>
                <w:szCs w:val="18"/>
              </w:rPr>
              <w:t xml:space="preserve">F-23</w:t>
            </w:r>
          </w:p>
        </w:tc>
        <w:tc>
          <w:tcPr>
            <w:tcW w:type="dxa" w:w="1350"/>
            <w:tcMar>
              <w:top w:type="dxa" w:w="80"/>
              <w:left w:type="dxa" w:w="100"/>
              <w:bottom w:type="dxa" w:w="80"/>
              <w:right w:type="dxa" w:w="100"/>
            </w:tcMar>
            <w:vAlign w:val="center"/>
          </w:tcPr>
          <w:p>
            <w:r>
              <w:rPr>
                <w:b w:val="false"/>
                <w:bCs w:val="false"/>
                <w:sz w:val="18"/>
                <w:szCs w:val="18"/>
              </w:rPr>
              <w:t xml:space="preserve">Privacy</w:t>
            </w:r>
          </w:p>
        </w:tc>
        <w:tc>
          <w:tcPr>
            <w:tcW w:type="dxa" w:w="3300"/>
            <w:tcMar>
              <w:top w:type="dxa" w:w="80"/>
              <w:left w:type="dxa" w:w="100"/>
              <w:bottom w:type="dxa" w:w="80"/>
              <w:right w:type="dxa" w:w="100"/>
            </w:tcMar>
            <w:vAlign w:val="center"/>
          </w:tcPr>
          <w:p>
            <w:r>
              <w:rPr>
                <w:b w:val="false"/>
                <w:bCs w:val="false"/>
                <w:sz w:val="18"/>
                <w:szCs w:val="18"/>
              </w:rPr>
              <w:t xml:space="preserve">Demo credentials (demo@reflectai.com / Demo@123) are hardcoded in seed.js and documented in README.md.</w:t>
            </w:r>
          </w:p>
        </w:tc>
        <w:tc>
          <w:tcPr>
            <w:tcW w:type="dxa" w:w="950"/>
            <w:shd w:fill="E1E6EC" w:val="clear"/>
            <w:tcMar>
              <w:top w:type="dxa" w:w="80"/>
              <w:left w:type="dxa" w:w="100"/>
              <w:bottom w:type="dxa" w:w="80"/>
              <w:right w:type="dxa" w:w="100"/>
            </w:tcMar>
            <w:vAlign w:val="center"/>
          </w:tcPr>
          <w:p>
            <w:r>
              <w:rPr>
                <w:b/>
                <w:bCs/>
                <w:sz w:val="18"/>
                <w:szCs w:val="18"/>
              </w:rPr>
              <w:t xml:space="preserve">Info</w:t>
            </w:r>
          </w:p>
        </w:tc>
        <w:tc>
          <w:tcPr>
            <w:tcW w:type="dxa" w:w="3110"/>
            <w:tcMar>
              <w:top w:type="dxa" w:w="80"/>
              <w:left w:type="dxa" w:w="100"/>
              <w:bottom w:type="dxa" w:w="80"/>
              <w:right w:type="dxa" w:w="100"/>
            </w:tcMar>
            <w:vAlign w:val="center"/>
          </w:tcPr>
          <w:p>
            <w:r>
              <w:rPr>
                <w:b w:val="false"/>
                <w:bCs w:val="false"/>
                <w:sz w:val="18"/>
                <w:szCs w:val="18"/>
              </w:rPr>
              <w:t xml:space="preserve">Fine for an internal/faculty demo; ensure the demo account and seed script are not reachable in any deployment that also holds real user data.</w:t>
            </w:r>
          </w:p>
        </w:tc>
      </w:tr>
      <w:tr>
        <w:tc>
          <w:tcPr>
            <w:tcW w:type="dxa" w:w="650"/>
            <w:tcMar>
              <w:top w:type="dxa" w:w="80"/>
              <w:left w:type="dxa" w:w="100"/>
              <w:bottom w:type="dxa" w:w="80"/>
              <w:right w:type="dxa" w:w="100"/>
            </w:tcMar>
            <w:vAlign w:val="center"/>
          </w:tcPr>
          <w:p>
            <w:r>
              <w:rPr>
                <w:b w:val="false"/>
                <w:bCs w:val="false"/>
                <w:sz w:val="18"/>
                <w:szCs w:val="18"/>
              </w:rPr>
              <w:t xml:space="preserve">F-28</w:t>
            </w:r>
          </w:p>
        </w:tc>
        <w:tc>
          <w:tcPr>
            <w:tcW w:type="dxa" w:w="1350"/>
            <w:tcMar>
              <w:top w:type="dxa" w:w="80"/>
              <w:left w:type="dxa" w:w="100"/>
              <w:bottom w:type="dxa" w:w="80"/>
              <w:right w:type="dxa" w:w="100"/>
            </w:tcMar>
            <w:vAlign w:val="center"/>
          </w:tcPr>
          <w:p>
            <w:r>
              <w:rPr>
                <w:b w:val="false"/>
                <w:bCs w:val="false"/>
                <w:sz w:val="18"/>
                <w:szCs w:val="18"/>
              </w:rPr>
              <w:t xml:space="preserve">Deployment</w:t>
            </w:r>
          </w:p>
        </w:tc>
        <w:tc>
          <w:tcPr>
            <w:tcW w:type="dxa" w:w="3300"/>
            <w:tcMar>
              <w:top w:type="dxa" w:w="80"/>
              <w:left w:type="dxa" w:w="100"/>
              <w:bottom w:type="dxa" w:w="80"/>
              <w:right w:type="dxa" w:w="100"/>
            </w:tcMar>
            <w:vAlign w:val="center"/>
          </w:tcPr>
          <w:p>
            <w:r>
              <w:rPr>
                <w:b w:val="false"/>
                <w:bCs w:val="false"/>
                <w:sz w:val="18"/>
                <w:szCs w:val="18"/>
              </w:rPr>
              <w:t xml:space="preserve">Dependency versions were reviewed (see Appendix B) but a live vulnerability scan (npm audit) could not be run in this sandboxed review environment (network access to the npm registry's audit endpoint was blocked).</w:t>
            </w:r>
          </w:p>
        </w:tc>
        <w:tc>
          <w:tcPr>
            <w:tcW w:type="dxa" w:w="950"/>
            <w:shd w:fill="E1E6EC" w:val="clear"/>
            <w:tcMar>
              <w:top w:type="dxa" w:w="80"/>
              <w:left w:type="dxa" w:w="100"/>
              <w:bottom w:type="dxa" w:w="80"/>
              <w:right w:type="dxa" w:w="100"/>
            </w:tcMar>
            <w:vAlign w:val="center"/>
          </w:tcPr>
          <w:p>
            <w:r>
              <w:rPr>
                <w:b/>
                <w:bCs/>
                <w:sz w:val="18"/>
                <w:szCs w:val="18"/>
              </w:rPr>
              <w:t xml:space="preserve">Info</w:t>
            </w:r>
          </w:p>
        </w:tc>
        <w:tc>
          <w:tcPr>
            <w:tcW w:type="dxa" w:w="3110"/>
            <w:tcMar>
              <w:top w:type="dxa" w:w="80"/>
              <w:left w:type="dxa" w:w="100"/>
              <w:bottom w:type="dxa" w:w="80"/>
              <w:right w:type="dxa" w:w="100"/>
            </w:tcMar>
            <w:vAlign w:val="center"/>
          </w:tcPr>
          <w:p>
            <w:r>
              <w:rPr>
                <w:b w:val="false"/>
                <w:bCs w:val="false"/>
                <w:sz w:val="18"/>
                <w:szCs w:val="18"/>
              </w:rPr>
              <w:t xml:space="preserve">Run npm audit / Dependabot / Snyk against both package-lock.json files in CI as a standard gate before this report's findings are considered complete.</w:t>
            </w:r>
          </w:p>
        </w:tc>
      </w:tr>
      <w:tr>
        <w:tc>
          <w:tcPr>
            <w:tcW w:type="dxa" w:w="650"/>
            <w:tcMar>
              <w:top w:type="dxa" w:w="80"/>
              <w:left w:type="dxa" w:w="100"/>
              <w:bottom w:type="dxa" w:w="80"/>
              <w:right w:type="dxa" w:w="100"/>
            </w:tcMar>
            <w:vAlign w:val="center"/>
          </w:tcPr>
          <w:p>
            <w:r>
              <w:rPr>
                <w:b w:val="false"/>
                <w:bCs w:val="false"/>
                <w:sz w:val="18"/>
                <w:szCs w:val="18"/>
              </w:rPr>
              <w:t xml:space="preserve">F-07</w:t>
            </w:r>
          </w:p>
        </w:tc>
        <w:tc>
          <w:tcPr>
            <w:tcW w:type="dxa" w:w="1350"/>
            <w:tcMar>
              <w:top w:type="dxa" w:w="80"/>
              <w:left w:type="dxa" w:w="100"/>
              <w:bottom w:type="dxa" w:w="80"/>
              <w:right w:type="dxa" w:w="100"/>
            </w:tcMar>
            <w:vAlign w:val="center"/>
          </w:tcPr>
          <w:p>
            <w:r>
              <w:rPr>
                <w:b w:val="false"/>
                <w:bCs w:val="false"/>
                <w:sz w:val="18"/>
                <w:szCs w:val="18"/>
              </w:rPr>
              <w:t xml:space="preserve">Authorization</w:t>
            </w:r>
          </w:p>
        </w:tc>
        <w:tc>
          <w:tcPr>
            <w:tcW w:type="dxa" w:w="3300"/>
            <w:tcMar>
              <w:top w:type="dxa" w:w="80"/>
              <w:left w:type="dxa" w:w="100"/>
              <w:bottom w:type="dxa" w:w="80"/>
              <w:right w:type="dxa" w:w="100"/>
            </w:tcMar>
            <w:vAlign w:val="center"/>
          </w:tcPr>
          <w:p>
            <w:r>
              <w:rPr>
                <w:b w:val="false"/>
                <w:bCs w:val="false"/>
                <w:sz w:val="18"/>
                <w:szCs w:val="18"/>
              </w:rPr>
              <w:t xml:space="preserve">All data-access routes (journal, health, dashboard, retrospect, chat) scope every Mongoose query to req.user._id derived from the verified JWT — no evidence of IDOR across the endpoints reviewed.</w:t>
            </w:r>
          </w:p>
        </w:tc>
        <w:tc>
          <w:tcPr>
            <w:tcW w:type="dxa" w:w="950"/>
            <w:shd w:fill="D9EAD3" w:val="clear"/>
            <w:tcMar>
              <w:top w:type="dxa" w:w="80"/>
              <w:left w:type="dxa" w:w="100"/>
              <w:bottom w:type="dxa" w:w="80"/>
              <w:right w:type="dxa" w:w="100"/>
            </w:tcMar>
            <w:vAlign w:val="center"/>
          </w:tcPr>
          <w:p>
            <w:r>
              <w:rPr>
                <w:b/>
                <w:bCs/>
                <w:sz w:val="18"/>
                <w:szCs w:val="18"/>
              </w:rPr>
              <w:t xml:space="preserve">Positive</w:t>
            </w:r>
          </w:p>
        </w:tc>
        <w:tc>
          <w:tcPr>
            <w:tcW w:type="dxa" w:w="3110"/>
            <w:tcMar>
              <w:top w:type="dxa" w:w="80"/>
              <w:left w:type="dxa" w:w="100"/>
              <w:bottom w:type="dxa" w:w="80"/>
              <w:right w:type="dxa" w:w="100"/>
            </w:tcMar>
            <w:vAlign w:val="center"/>
          </w:tcPr>
          <w:p>
            <w:r>
              <w:rPr>
                <w:b w:val="false"/>
                <w:bCs w:val="false"/>
                <w:sz w:val="18"/>
                <w:szCs w:val="18"/>
              </w:rPr>
              <w:t xml:space="preserve">Maintain this pattern as new endpoints are added; add an automated test asserting every query includes a userId filter.</w:t>
            </w:r>
          </w:p>
        </w:tc>
      </w:tr>
      <w:tr>
        <w:tc>
          <w:tcPr>
            <w:tcW w:type="dxa" w:w="650"/>
            <w:tcMar>
              <w:top w:type="dxa" w:w="80"/>
              <w:left w:type="dxa" w:w="100"/>
              <w:bottom w:type="dxa" w:w="80"/>
              <w:right w:type="dxa" w:w="100"/>
            </w:tcMar>
            <w:vAlign w:val="center"/>
          </w:tcPr>
          <w:p>
            <w:r>
              <w:rPr>
                <w:b w:val="false"/>
                <w:bCs w:val="false"/>
                <w:sz w:val="18"/>
                <w:szCs w:val="18"/>
              </w:rPr>
              <w:t xml:space="preserve">F-11</w:t>
            </w:r>
          </w:p>
        </w:tc>
        <w:tc>
          <w:tcPr>
            <w:tcW w:type="dxa" w:w="1350"/>
            <w:tcMar>
              <w:top w:type="dxa" w:w="80"/>
              <w:left w:type="dxa" w:w="100"/>
              <w:bottom w:type="dxa" w:w="80"/>
              <w:right w:type="dxa" w:w="100"/>
            </w:tcMar>
            <w:vAlign w:val="center"/>
          </w:tcPr>
          <w:p>
            <w:r>
              <w:rPr>
                <w:b w:val="false"/>
                <w:bCs w:val="false"/>
                <w:sz w:val="18"/>
                <w:szCs w:val="18"/>
              </w:rPr>
              <w:t xml:space="preserve">API Security</w:t>
            </w:r>
          </w:p>
        </w:tc>
        <w:tc>
          <w:tcPr>
            <w:tcW w:type="dxa" w:w="3300"/>
            <w:tcMar>
              <w:top w:type="dxa" w:w="80"/>
              <w:left w:type="dxa" w:w="100"/>
              <w:bottom w:type="dxa" w:w="80"/>
              <w:right w:type="dxa" w:w="100"/>
            </w:tcMar>
            <w:vAlign w:val="center"/>
          </w:tcPr>
          <w:p>
            <w:r>
              <w:rPr>
                <w:b w:val="false"/>
                <w:bCs w:val="false"/>
                <w:sz w:val="18"/>
                <w:szCs w:val="18"/>
              </w:rPr>
              <w:t xml:space="preserve">Zod validation (validateRequest.js) is applied consistently on all mutating endpoints, and Mongoose .create() calls use explicit field lists rather than spreading req.body, preventing typical NoSQL-operator and mass-assignment injection.</w:t>
            </w:r>
          </w:p>
        </w:tc>
        <w:tc>
          <w:tcPr>
            <w:tcW w:type="dxa" w:w="950"/>
            <w:shd w:fill="D9EAD3" w:val="clear"/>
            <w:tcMar>
              <w:top w:type="dxa" w:w="80"/>
              <w:left w:type="dxa" w:w="100"/>
              <w:bottom w:type="dxa" w:w="80"/>
              <w:right w:type="dxa" w:w="100"/>
            </w:tcMar>
            <w:vAlign w:val="center"/>
          </w:tcPr>
          <w:p>
            <w:r>
              <w:rPr>
                <w:b/>
                <w:bCs/>
                <w:sz w:val="18"/>
                <w:szCs w:val="18"/>
              </w:rPr>
              <w:t xml:space="preserve">Positive</w:t>
            </w:r>
          </w:p>
        </w:tc>
        <w:tc>
          <w:tcPr>
            <w:tcW w:type="dxa" w:w="3110"/>
            <w:tcMar>
              <w:top w:type="dxa" w:w="80"/>
              <w:left w:type="dxa" w:w="100"/>
              <w:bottom w:type="dxa" w:w="80"/>
              <w:right w:type="dxa" w:w="100"/>
            </w:tcMar>
            <w:vAlign w:val="center"/>
          </w:tcPr>
          <w:p>
            <w:r>
              <w:rPr>
                <w:b w:val="false"/>
                <w:bCs w:val="false"/>
                <w:sz w:val="18"/>
                <w:szCs w:val="18"/>
              </w:rPr>
              <w:t xml:space="preserve">Keep this as the standard pattern; add a lint rule or PR checklist item forbidding `Model.create(req.body)`.</w:t>
            </w:r>
          </w:p>
        </w:tc>
      </w:tr>
      <w:tr>
        <w:tc>
          <w:tcPr>
            <w:tcW w:type="dxa" w:w="650"/>
            <w:tcMar>
              <w:top w:type="dxa" w:w="80"/>
              <w:left w:type="dxa" w:w="100"/>
              <w:bottom w:type="dxa" w:w="80"/>
              <w:right w:type="dxa" w:w="100"/>
            </w:tcMar>
            <w:vAlign w:val="center"/>
          </w:tcPr>
          <w:p>
            <w:r>
              <w:rPr>
                <w:b w:val="false"/>
                <w:bCs w:val="false"/>
                <w:sz w:val="18"/>
                <w:szCs w:val="18"/>
              </w:rPr>
              <w:t xml:space="preserve">F-20</w:t>
            </w:r>
          </w:p>
        </w:tc>
        <w:tc>
          <w:tcPr>
            <w:tcW w:type="dxa" w:w="1350"/>
            <w:tcMar>
              <w:top w:type="dxa" w:w="80"/>
              <w:left w:type="dxa" w:w="100"/>
              <w:bottom w:type="dxa" w:w="80"/>
              <w:right w:type="dxa" w:w="100"/>
            </w:tcMar>
            <w:vAlign w:val="center"/>
          </w:tcPr>
          <w:p>
            <w:r>
              <w:rPr>
                <w:b w:val="false"/>
                <w:bCs w:val="false"/>
                <w:sz w:val="18"/>
                <w:szCs w:val="18"/>
              </w:rPr>
              <w:t xml:space="preserve">AI/LLM</w:t>
            </w:r>
          </w:p>
        </w:tc>
        <w:tc>
          <w:tcPr>
            <w:tcW w:type="dxa" w:w="3300"/>
            <w:tcMar>
              <w:top w:type="dxa" w:w="80"/>
              <w:left w:type="dxa" w:w="100"/>
              <w:bottom w:type="dxa" w:w="80"/>
              <w:right w:type="dxa" w:w="100"/>
            </w:tcMar>
            <w:vAlign w:val="center"/>
          </w:tcPr>
          <w:p>
            <w:r>
              <w:rPr>
                <w:b w:val="false"/>
                <w:bCs w:val="false"/>
                <w:sz w:val="18"/>
                <w:szCs w:val="18"/>
              </w:rPr>
              <w:t xml:space="preserve">Evidence returned by the model is re-validated against the requesting user's own journal candidates (normalizeEvidence) before being trusted, preventing the model from fabricating or cross-referencing another user's journalId.</w:t>
            </w:r>
          </w:p>
        </w:tc>
        <w:tc>
          <w:tcPr>
            <w:tcW w:type="dxa" w:w="950"/>
            <w:shd w:fill="D9EAD3" w:val="clear"/>
            <w:tcMar>
              <w:top w:type="dxa" w:w="80"/>
              <w:left w:type="dxa" w:w="100"/>
              <w:bottom w:type="dxa" w:w="80"/>
              <w:right w:type="dxa" w:w="100"/>
            </w:tcMar>
            <w:vAlign w:val="center"/>
          </w:tcPr>
          <w:p>
            <w:r>
              <w:rPr>
                <w:b/>
                <w:bCs/>
                <w:sz w:val="18"/>
                <w:szCs w:val="18"/>
              </w:rPr>
              <w:t xml:space="preserve">Positive</w:t>
            </w:r>
          </w:p>
        </w:tc>
        <w:tc>
          <w:tcPr>
            <w:tcW w:type="dxa" w:w="3110"/>
            <w:tcMar>
              <w:top w:type="dxa" w:w="80"/>
              <w:left w:type="dxa" w:w="100"/>
              <w:bottom w:type="dxa" w:w="80"/>
              <w:right w:type="dxa" w:w="100"/>
            </w:tcMar>
            <w:vAlign w:val="center"/>
          </w:tcPr>
          <w:p>
            <w:r>
              <w:rPr>
                <w:b w:val="false"/>
                <w:bCs w:val="false"/>
                <w:sz w:val="18"/>
                <w:szCs w:val="18"/>
              </w:rPr>
              <w:t xml:space="preserve">Keep this validate-then-trust pattern for any future evidence-bearing AI output.</w:t>
            </w:r>
          </w:p>
        </w:tc>
      </w:tr>
      <w:tr>
        <w:tc>
          <w:tcPr>
            <w:tcW w:type="dxa" w:w="650"/>
            <w:tcMar>
              <w:top w:type="dxa" w:w="80"/>
              <w:left w:type="dxa" w:w="100"/>
              <w:bottom w:type="dxa" w:w="80"/>
              <w:right w:type="dxa" w:w="100"/>
            </w:tcMar>
            <w:vAlign w:val="center"/>
          </w:tcPr>
          <w:p>
            <w:r>
              <w:rPr>
                <w:b w:val="false"/>
                <w:bCs w:val="false"/>
                <w:sz w:val="18"/>
                <w:szCs w:val="18"/>
              </w:rPr>
              <w:t xml:space="preserve">F-24</w:t>
            </w:r>
          </w:p>
        </w:tc>
        <w:tc>
          <w:tcPr>
            <w:tcW w:type="dxa" w:w="1350"/>
            <w:tcMar>
              <w:top w:type="dxa" w:w="80"/>
              <w:left w:type="dxa" w:w="100"/>
              <w:bottom w:type="dxa" w:w="80"/>
              <w:right w:type="dxa" w:w="100"/>
            </w:tcMar>
            <w:vAlign w:val="center"/>
          </w:tcPr>
          <w:p>
            <w:r>
              <w:rPr>
                <w:b w:val="false"/>
                <w:bCs w:val="false"/>
                <w:sz w:val="18"/>
                <w:szCs w:val="18"/>
              </w:rPr>
              <w:t xml:space="preserve">Frontend</w:t>
            </w:r>
          </w:p>
        </w:tc>
        <w:tc>
          <w:tcPr>
            <w:tcW w:type="dxa" w:w="3300"/>
            <w:tcMar>
              <w:top w:type="dxa" w:w="80"/>
              <w:left w:type="dxa" w:w="100"/>
              <w:bottom w:type="dxa" w:w="80"/>
              <w:right w:type="dxa" w:w="100"/>
            </w:tcMar>
            <w:vAlign w:val="center"/>
          </w:tcPr>
          <w:p>
            <w:r>
              <w:rPr>
                <w:b w:val="false"/>
                <w:bCs w:val="false"/>
                <w:sz w:val="18"/>
                <w:szCs w:val="18"/>
              </w:rPr>
              <w:t xml:space="preserve">No use of dangerouslySetInnerHTML or similar was found across client/src; React's default escaping mitigates reflected/stored XSS from journal or chat text.</w:t>
            </w:r>
          </w:p>
        </w:tc>
        <w:tc>
          <w:tcPr>
            <w:tcW w:type="dxa" w:w="950"/>
            <w:shd w:fill="D9EAD3" w:val="clear"/>
            <w:tcMar>
              <w:top w:type="dxa" w:w="80"/>
              <w:left w:type="dxa" w:w="100"/>
              <w:bottom w:type="dxa" w:w="80"/>
              <w:right w:type="dxa" w:w="100"/>
            </w:tcMar>
            <w:vAlign w:val="center"/>
          </w:tcPr>
          <w:p>
            <w:r>
              <w:rPr>
                <w:b/>
                <w:bCs/>
                <w:sz w:val="18"/>
                <w:szCs w:val="18"/>
              </w:rPr>
              <w:t xml:space="preserve">Positive</w:t>
            </w:r>
          </w:p>
        </w:tc>
        <w:tc>
          <w:tcPr>
            <w:tcW w:type="dxa" w:w="3110"/>
            <w:tcMar>
              <w:top w:type="dxa" w:w="80"/>
              <w:left w:type="dxa" w:w="100"/>
              <w:bottom w:type="dxa" w:w="80"/>
              <w:right w:type="dxa" w:w="100"/>
            </w:tcMar>
            <w:vAlign w:val="center"/>
          </w:tcPr>
          <w:p>
            <w:r>
              <w:rPr>
                <w:b w:val="false"/>
                <w:bCs w:val="false"/>
                <w:sz w:val="18"/>
                <w:szCs w:val="18"/>
              </w:rPr>
              <w:t xml:space="preserve">Keep this constraint enforced via lint rule (eslint-plugin-react no-danger) as the codebase grows.</w:t>
            </w:r>
          </w:p>
        </w:tc>
      </w:tr>
      <w:tr>
        <w:tc>
          <w:tcPr>
            <w:tcW w:type="dxa" w:w="650"/>
            <w:tcMar>
              <w:top w:type="dxa" w:w="80"/>
              <w:left w:type="dxa" w:w="100"/>
              <w:bottom w:type="dxa" w:w="80"/>
              <w:right w:type="dxa" w:w="100"/>
            </w:tcMar>
            <w:vAlign w:val="center"/>
          </w:tcPr>
          <w:p>
            <w:r>
              <w:rPr>
                <w:b w:val="false"/>
                <w:bCs w:val="false"/>
                <w:sz w:val="18"/>
                <w:szCs w:val="18"/>
              </w:rPr>
              <w:t xml:space="preserve">F-27</w:t>
            </w:r>
          </w:p>
        </w:tc>
        <w:tc>
          <w:tcPr>
            <w:tcW w:type="dxa" w:w="1350"/>
            <w:tcMar>
              <w:top w:type="dxa" w:w="80"/>
              <w:left w:type="dxa" w:w="100"/>
              <w:bottom w:type="dxa" w:w="80"/>
              <w:right w:type="dxa" w:w="100"/>
            </w:tcMar>
            <w:vAlign w:val="center"/>
          </w:tcPr>
          <w:p>
            <w:r>
              <w:rPr>
                <w:b w:val="false"/>
                <w:bCs w:val="false"/>
                <w:sz w:val="18"/>
                <w:szCs w:val="18"/>
              </w:rPr>
              <w:t xml:space="preserve">Deployment</w:t>
            </w:r>
          </w:p>
        </w:tc>
        <w:tc>
          <w:tcPr>
            <w:tcW w:type="dxa" w:w="3300"/>
            <w:tcMar>
              <w:top w:type="dxa" w:w="80"/>
              <w:left w:type="dxa" w:w="100"/>
              <w:bottom w:type="dxa" w:w="80"/>
              <w:right w:type="dxa" w:w="100"/>
            </w:tcMar>
            <w:vAlign w:val="center"/>
          </w:tcPr>
          <w:p>
            <w:r>
              <w:rPr>
                <w:b w:val="false"/>
                <w:bCs w:val="false"/>
                <w:sz w:val="18"/>
                <w:szCs w:val="18"/>
              </w:rPr>
              <w:t xml:space="preserve">.env, node_modules/, and dist/ are correctly excluded via .gitignore and confirmed absent from git history (git ls-files) — no secret material or build artifacts are committed to the repository.</w:t>
            </w:r>
          </w:p>
        </w:tc>
        <w:tc>
          <w:tcPr>
            <w:tcW w:type="dxa" w:w="950"/>
            <w:shd w:fill="D9EAD3" w:val="clear"/>
            <w:tcMar>
              <w:top w:type="dxa" w:w="80"/>
              <w:left w:type="dxa" w:w="100"/>
              <w:bottom w:type="dxa" w:w="80"/>
              <w:right w:type="dxa" w:w="100"/>
            </w:tcMar>
            <w:vAlign w:val="center"/>
          </w:tcPr>
          <w:p>
            <w:r>
              <w:rPr>
                <w:b/>
                <w:bCs/>
                <w:sz w:val="18"/>
                <w:szCs w:val="18"/>
              </w:rPr>
              <w:t xml:space="preserve">Positive</w:t>
            </w:r>
          </w:p>
        </w:tc>
        <w:tc>
          <w:tcPr>
            <w:tcW w:type="dxa" w:w="3110"/>
            <w:tcMar>
              <w:top w:type="dxa" w:w="80"/>
              <w:left w:type="dxa" w:w="100"/>
              <w:bottom w:type="dxa" w:w="80"/>
              <w:right w:type="dxa" w:w="100"/>
            </w:tcMar>
            <w:vAlign w:val="center"/>
          </w:tcPr>
          <w:p>
            <w:r>
              <w:rPr>
                <w:b w:val="false"/>
                <w:bCs w:val="false"/>
                <w:sz w:val="18"/>
                <w:szCs w:val="18"/>
              </w:rPr>
              <w:t xml:space="preserve">Maintain this hygiene; consider adding a pre-commit secret-scanning hook (e.g. gitleaks) as the project grows.</w:t>
            </w:r>
          </w:p>
        </w:tc>
      </w:tr>
    </w:tbl>
    <w:p>
      <w:r>
        <w:br w:type="page"/>
      </w:r>
    </w:p>
    <w:p>
      <w:pPr>
        <w:pStyle w:val="Heading1"/>
        <w:spacing w:after="200" w:before="400"/>
      </w:pPr>
      <w:r>
        <w:t xml:space="preserve">15. Recommendations Priority Roadmap</w:t>
      </w:r>
    </w:p>
    <w:p>
      <w:pPr>
        <w:pStyle w:val="Heading2"/>
        <w:spacing w:after="140" w:before="280"/>
      </w:pPr>
      <w:r>
        <w:t xml:space="preserve">15.1 Immediate (before any production/real-user deployment)</w:t>
      </w:r>
    </w:p>
    <w:p>
      <w:pPr>
        <w:pStyle w:val="ListParagraph"/>
        <w:numPr>
          <w:ilvl w:val="0"/>
          <w:numId w:val="2"/>
        </w:numPr>
        <w:spacing w:after="90" w:line="276"/>
      </w:pPr>
      <w:r>
        <w:t xml:space="preserve">F-02 — verify/regenerate JWT_SECRET; add startup validation rejecting known placeholder or low-entropy secrets.</w:t>
      </w:r>
    </w:p>
    <w:p>
      <w:pPr>
        <w:pStyle w:val="ListParagraph"/>
        <w:numPr>
          <w:ilvl w:val="0"/>
          <w:numId w:val="2"/>
        </w:numPr>
        <w:spacing w:after="90" w:line="276"/>
      </w:pPr>
      <w:r>
        <w:t xml:space="preserve">F-01 — rate-limit and add lockout/backoff to /api/auth/login and /api/auth/register.</w:t>
      </w:r>
    </w:p>
    <w:p>
      <w:pPr>
        <w:pStyle w:val="ListParagraph"/>
        <w:numPr>
          <w:ilvl w:val="0"/>
          <w:numId w:val="2"/>
        </w:numPr>
        <w:spacing w:after="90" w:line="276"/>
      </w:pPr>
      <w:r>
        <w:t xml:space="preserve">F-16 — make cloud-LLM fallback explicit, disclosed, and opt-in; document what leaves the server.</w:t>
      </w:r>
    </w:p>
    <w:p>
      <w:pPr>
        <w:pStyle w:val="ListParagraph"/>
        <w:numPr>
          <w:ilvl w:val="0"/>
          <w:numId w:val="2"/>
        </w:numPr>
        <w:spacing w:after="90" w:line="276"/>
      </w:pPr>
      <w:r>
        <w:t xml:space="preserve">F-09 — add helmet with a project CSP; enforce HTTPS/HSTS at the TLS layer.</w:t>
      </w:r>
    </w:p>
    <w:p>
      <w:pPr>
        <w:pStyle w:val="Heading2"/>
        <w:spacing w:after="140" w:before="280"/>
      </w:pPr>
      <w:r>
        <w:t xml:space="preserve">15.2 Near-term</w:t>
      </w:r>
    </w:p>
    <w:p>
      <w:pPr>
        <w:pStyle w:val="ListParagraph"/>
        <w:numPr>
          <w:ilvl w:val="0"/>
          <w:numId w:val="2"/>
        </w:numPr>
        <w:spacing w:after="90" w:line="276"/>
      </w:pPr>
      <w:r>
        <w:t xml:space="preserve">F-03 — evaluate httpOnly cookie sessions or shorter-lived tokens with refresh rotation.</w:t>
      </w:r>
    </w:p>
    <w:p>
      <w:pPr>
        <w:pStyle w:val="ListParagraph"/>
        <w:numPr>
          <w:ilvl w:val="0"/>
          <w:numId w:val="2"/>
        </w:numPr>
        <w:spacing w:after="90" w:line="276"/>
      </w:pPr>
      <w:r>
        <w:t xml:space="preserve">F-21 / F-22 — add data export and account/data deletion; define retention windows, especially for AuditLog.</w:t>
      </w:r>
    </w:p>
    <w:p>
      <w:pPr>
        <w:pStyle w:val="ListParagraph"/>
        <w:numPr>
          <w:ilvl w:val="0"/>
          <w:numId w:val="2"/>
        </w:numPr>
        <w:spacing w:after="90" w:line="276"/>
      </w:pPr>
      <w:r>
        <w:t xml:space="preserve">F-17 / F-18 — replace/augment self-reported confidence with a code-computed signal; omit ineligible health data from the prompt rather than scrubbing after generation.</w:t>
      </w:r>
    </w:p>
    <w:p>
      <w:pPr>
        <w:pStyle w:val="ListParagraph"/>
        <w:numPr>
          <w:ilvl w:val="0"/>
          <w:numId w:val="2"/>
        </w:numPr>
        <w:spacing w:after="90" w:line="276"/>
      </w:pPr>
      <w:r>
        <w:t xml:space="preserve">F-10 — return generic messages for unexpected 5xx errors; keep detailed messages only for deliberately thrown AppErrors.</w:t>
      </w:r>
    </w:p>
    <w:p>
      <w:pPr>
        <w:pStyle w:val="Heading2"/>
        <w:spacing w:after="140" w:before="280"/>
      </w:pPr>
      <w:r>
        <w:t xml:space="preserve">15.3 Longer-term / hardening</w:t>
      </w:r>
    </w:p>
    <w:p>
      <w:pPr>
        <w:pStyle w:val="ListParagraph"/>
        <w:numPr>
          <w:ilvl w:val="0"/>
          <w:numId w:val="2"/>
        </w:numPr>
        <w:spacing w:after="90" w:line="276"/>
      </w:pPr>
      <w:r>
        <w:t xml:space="preserve">F-13 — evaluate field-level encryption for journal content and health metrics.</w:t>
      </w:r>
    </w:p>
    <w:p>
      <w:pPr>
        <w:pStyle w:val="ListParagraph"/>
        <w:numPr>
          <w:ilvl w:val="0"/>
          <w:numId w:val="2"/>
        </w:numPr>
        <w:spacing w:after="90" w:line="276"/>
      </w:pPr>
      <w:r>
        <w:t xml:space="preserve">F-05 — add email verification and password-reset flow.</w:t>
      </w:r>
    </w:p>
    <w:p>
      <w:pPr>
        <w:pStyle w:val="ListParagraph"/>
        <w:numPr>
          <w:ilvl w:val="0"/>
          <w:numId w:val="2"/>
        </w:numPr>
        <w:spacing w:after="90" w:line="276"/>
      </w:pPr>
      <w:r>
        <w:t xml:space="preserve">F-19 — add delimiter/escaping conventions and a lightweight injection-pattern check around user content in LLM prompts.</w:t>
      </w:r>
    </w:p>
    <w:p>
      <w:pPr>
        <w:pStyle w:val="ListParagraph"/>
        <w:numPr>
          <w:ilvl w:val="0"/>
          <w:numId w:val="2"/>
        </w:numPr>
        <w:spacing w:after="90" w:line="276"/>
      </w:pPr>
      <w:r>
        <w:t xml:space="preserve">F-28 — wire npm audit / Dependabot / Snyk into CI so dependency risk is tracked continuously rather than as a one-time review note.</w:t>
      </w:r>
    </w:p>
    <w:p>
      <w:r>
        <w:br w:type="page"/>
      </w:r>
    </w:p>
    <w:p>
      <w:pPr>
        <w:pStyle w:val="Heading1"/>
        <w:spacing w:after="200" w:before="400"/>
      </w:pPr>
      <w:r>
        <w:t xml:space="preserve">Appendix A: Files &amp; Components Reviewed</w:t>
      </w:r>
    </w:p>
    <w:p>
      <w:pPr>
        <w:pStyle w:val="Heading2"/>
        <w:spacing w:after="140" w:before="280"/>
      </w:pPr>
      <w:r>
        <w:t xml:space="preserve">Server (server/src/)</w:t>
      </w:r>
    </w:p>
    <w:p>
      <w:pPr>
        <w:pStyle w:val="ListParagraph"/>
        <w:numPr>
          <w:ilvl w:val="0"/>
          <w:numId w:val="2"/>
        </w:numPr>
        <w:spacing w:after="90" w:line="276"/>
      </w:pPr>
      <w:r>
        <w:t xml:space="preserve">index.js, startup.js, seed.js</w:t>
      </w:r>
    </w:p>
    <w:p>
      <w:pPr>
        <w:pStyle w:val="ListParagraph"/>
        <w:numPr>
          <w:ilvl w:val="0"/>
          <w:numId w:val="2"/>
        </w:numPr>
        <w:spacing w:after="90" w:line="276"/>
      </w:pPr>
      <w:r>
        <w:t xml:space="preserve">shared/config/env.js, shared/middleware/{auth,errorHandler,requestId,validateRequest}.js, shared/utils/{AppError,asyncHandler,logger}.js, shared/validators/{authSchemas,chatSchemas}.js</w:t>
      </w:r>
    </w:p>
    <w:p>
      <w:pPr>
        <w:pStyle w:val="ListParagraph"/>
        <w:numPr>
          <w:ilvl w:val="0"/>
          <w:numId w:val="2"/>
        </w:numPr>
        <w:spacing w:after="90" w:line="276"/>
      </w:pPr>
      <w:r>
        <w:t xml:space="preserve">models/{User,JournalEntry,HealthData,ChatSession,RetrospectAnalysis,AuditLog}.js</w:t>
      </w:r>
    </w:p>
    <w:p>
      <w:pPr>
        <w:pStyle w:val="ListParagraph"/>
        <w:numPr>
          <w:ilvl w:val="0"/>
          <w:numId w:val="2"/>
        </w:numPr>
        <w:spacing w:after="90" w:line="276"/>
      </w:pPr>
      <w:r>
        <w:t xml:space="preserve">modules/auth/routes.js, modules/dashboard/routes.js, modules/health/routes.js, modules/journal/routes.js, modules/retrospect/routes.js, modules/chat/{routes,service}.js</w:t>
      </w:r>
    </w:p>
    <w:p>
      <w:pPr>
        <w:pStyle w:val="Heading2"/>
        <w:spacing w:after="140" w:before="280"/>
      </w:pPr>
      <w:r>
        <w:t xml:space="preserve">Client (client/src/)</w:t>
      </w:r>
    </w:p>
    <w:p>
      <w:pPr>
        <w:pStyle w:val="ListParagraph"/>
        <w:numPr>
          <w:ilvl w:val="0"/>
          <w:numId w:val="2"/>
        </w:numPr>
        <w:spacing w:after="90" w:line="276"/>
      </w:pPr>
      <w:r>
        <w:t xml:space="preserve">App.jsx, api.js, main.jsx, index.css</w:t>
      </w:r>
    </w:p>
    <w:p>
      <w:pPr>
        <w:pStyle w:val="ListParagraph"/>
        <w:numPr>
          <w:ilvl w:val="0"/>
          <w:numId w:val="2"/>
        </w:numPr>
        <w:spacing w:after="90" w:line="276"/>
      </w:pPr>
      <w:r>
        <w:t xml:space="preserve">context/AuthContext.jsx, components/{AppShell,AuthRedirect,ProtectedRoute}.jsx</w:t>
      </w:r>
    </w:p>
    <w:p>
      <w:pPr>
        <w:pStyle w:val="ListParagraph"/>
        <w:numPr>
          <w:ilvl w:val="0"/>
          <w:numId w:val="2"/>
        </w:numPr>
        <w:spacing w:after="90" w:line="276"/>
      </w:pPr>
      <w:r>
        <w:t xml:space="preserve">pages/{LoginPage,RegisterPage,DashboardPage,JournalPage,RetrospectPage,ChatPage,HealthPage,SettingsPage}.jsx</w:t>
      </w:r>
    </w:p>
    <w:p>
      <w:pPr>
        <w:pStyle w:val="ListParagraph"/>
        <w:numPr>
          <w:ilvl w:val="0"/>
          <w:numId w:val="2"/>
        </w:numPr>
        <w:spacing w:after="90" w:line="276"/>
      </w:pPr>
      <w:r>
        <w:t xml:space="preserve">vite.config.js, tailwind.config.js, postcss.config.js, index.html</w:t>
      </w:r>
    </w:p>
    <w:p>
      <w:pPr>
        <w:pStyle w:val="Heading2"/>
        <w:spacing w:after="140" w:before="280"/>
      </w:pPr>
      <w:r>
        <w:t xml:space="preserve">Configuration &amp; repository hygiene</w:t>
      </w:r>
    </w:p>
    <w:p>
      <w:pPr>
        <w:pStyle w:val="ListParagraph"/>
        <w:numPr>
          <w:ilvl w:val="0"/>
          <w:numId w:val="2"/>
        </w:numPr>
        <w:spacing w:after="90" w:line="276"/>
      </w:pPr>
      <w:r>
        <w:t xml:space="preserve">server/.env.example, client/.env.example (contents reviewed); server/.env, client/.env (presence and placeholder-vs-real status checked, values not disclosed in this report)</w:t>
      </w:r>
    </w:p>
    <w:p>
      <w:pPr>
        <w:pStyle w:val="ListParagraph"/>
        <w:numPr>
          <w:ilvl w:val="0"/>
          <w:numId w:val="2"/>
        </w:numPr>
        <w:spacing w:after="90" w:line="276"/>
      </w:pPr>
      <w:r>
        <w:t xml:space="preserve">package.json / package-lock.json (root, server, client)</w:t>
      </w:r>
    </w:p>
    <w:p>
      <w:pPr>
        <w:pStyle w:val="ListParagraph"/>
        <w:numPr>
          <w:ilvl w:val="0"/>
          <w:numId w:val="2"/>
        </w:numPr>
        <w:spacing w:after="90" w:line="276"/>
      </w:pPr>
      <w:r>
        <w:t xml:space="preserve">.gitignore, git log --all --full-history, git ls-files</w:t>
      </w:r>
    </w:p>
    <w:p>
      <w:r>
        <w:br w:type="page"/>
      </w:r>
    </w:p>
    <w:p>
      <w:pPr>
        <w:pStyle w:val="Heading1"/>
        <w:spacing w:after="200" w:before="400"/>
      </w:pPr>
      <w:r>
        <w:t xml:space="preserve">Appendix B: Dependency Inventory (resolved versions)</w:t>
      </w:r>
    </w:p>
    <w:p>
      <w:pPr>
        <w:spacing w:after="160" w:line="276"/>
      </w:pPr>
      <w:r>
        <w:t xml:space="preserve">Extracted directly from package-lock.json in each package. A live vulnerability scan (npm audit) could not be completed in this review environment due to network restrictions (F-28) — these versions are provided so the user can run npm audit / Dependabot / Snyk directly.</w:t>
      </w:r>
    </w:p>
    <w:p>
      <w:pPr>
        <w:pStyle w:val="Heading2"/>
        <w:spacing w:after="140" w:before="280"/>
      </w:pPr>
      <w:r>
        <w:t xml:space="preserve">Server</w:t>
      </w:r>
    </w:p>
    <w:p>
      <w:pPr>
        <w:pStyle w:val="ListParagraph"/>
        <w:numPr>
          <w:ilvl w:val="0"/>
          <w:numId w:val="2"/>
        </w:numPr>
        <w:spacing w:after="90" w:line="276"/>
      </w:pPr>
      <w:r>
        <w:t xml:space="preserve">express 4.22.1</w:t>
      </w:r>
    </w:p>
    <w:p>
      <w:pPr>
        <w:pStyle w:val="ListParagraph"/>
        <w:numPr>
          <w:ilvl w:val="0"/>
          <w:numId w:val="2"/>
        </w:numPr>
        <w:spacing w:after="90" w:line="276"/>
      </w:pPr>
      <w:r>
        <w:t xml:space="preserve">jsonwebtoken 9.0.3</w:t>
      </w:r>
    </w:p>
    <w:p>
      <w:pPr>
        <w:pStyle w:val="ListParagraph"/>
        <w:numPr>
          <w:ilvl w:val="0"/>
          <w:numId w:val="2"/>
        </w:numPr>
        <w:spacing w:after="90" w:line="276"/>
      </w:pPr>
      <w:r>
        <w:t xml:space="preserve">bcryptjs 2.4.3</w:t>
      </w:r>
    </w:p>
    <w:p>
      <w:pPr>
        <w:pStyle w:val="ListParagraph"/>
        <w:numPr>
          <w:ilvl w:val="0"/>
          <w:numId w:val="2"/>
        </w:numPr>
        <w:spacing w:after="90" w:line="276"/>
      </w:pPr>
      <w:r>
        <w:t xml:space="preserve">mongoose 8.23.1</w:t>
      </w:r>
    </w:p>
    <w:p>
      <w:pPr>
        <w:pStyle w:val="ListParagraph"/>
        <w:numPr>
          <w:ilvl w:val="0"/>
          <w:numId w:val="2"/>
        </w:numPr>
        <w:spacing w:after="90" w:line="276"/>
      </w:pPr>
      <w:r>
        <w:t xml:space="preserve">cors 2.8.6</w:t>
      </w:r>
    </w:p>
    <w:p>
      <w:pPr>
        <w:pStyle w:val="ListParagraph"/>
        <w:numPr>
          <w:ilvl w:val="0"/>
          <w:numId w:val="2"/>
        </w:numPr>
        <w:spacing w:after="90" w:line="276"/>
      </w:pPr>
      <w:r>
        <w:t xml:space="preserve">express-rate-limit 7.5.1</w:t>
      </w:r>
    </w:p>
    <w:p>
      <w:pPr>
        <w:pStyle w:val="ListParagraph"/>
        <w:numPr>
          <w:ilvl w:val="0"/>
          <w:numId w:val="2"/>
        </w:numPr>
        <w:spacing w:after="90" w:line="276"/>
      </w:pPr>
      <w:r>
        <w:t xml:space="preserve">zod 3.25.76</w:t>
      </w:r>
    </w:p>
    <w:p>
      <w:pPr>
        <w:pStyle w:val="ListParagraph"/>
        <w:numPr>
          <w:ilvl w:val="0"/>
          <w:numId w:val="2"/>
        </w:numPr>
        <w:spacing w:after="90" w:line="276"/>
      </w:pPr>
      <w:r>
        <w:t xml:space="preserve">openai 6.34.0</w:t>
      </w:r>
    </w:p>
    <w:p>
      <w:pPr>
        <w:pStyle w:val="ListParagraph"/>
        <w:numPr>
          <w:ilvl w:val="0"/>
          <w:numId w:val="2"/>
        </w:numPr>
        <w:spacing w:after="90" w:line="276"/>
      </w:pPr>
      <w:r>
        <w:t xml:space="preserve">@google/generative-ai 0.24.1</w:t>
      </w:r>
    </w:p>
    <w:p>
      <w:pPr>
        <w:pStyle w:val="ListParagraph"/>
        <w:numPr>
          <w:ilvl w:val="0"/>
          <w:numId w:val="2"/>
        </w:numPr>
        <w:spacing w:after="90" w:line="276"/>
      </w:pPr>
      <w:r>
        <w:t xml:space="preserve">dotenv 16.6.1</w:t>
      </w:r>
    </w:p>
    <w:p>
      <w:pPr>
        <w:pStyle w:val="Heading2"/>
        <w:spacing w:after="140" w:before="280"/>
      </w:pPr>
      <w:r>
        <w:t xml:space="preserve">Client</w:t>
      </w:r>
    </w:p>
    <w:p>
      <w:pPr>
        <w:pStyle w:val="ListParagraph"/>
        <w:numPr>
          <w:ilvl w:val="0"/>
          <w:numId w:val="2"/>
        </w:numPr>
        <w:spacing w:after="90" w:line="276"/>
      </w:pPr>
      <w:r>
        <w:t xml:space="preserve">react 18.3.1</w:t>
      </w:r>
    </w:p>
    <w:p>
      <w:pPr>
        <w:pStyle w:val="ListParagraph"/>
        <w:numPr>
          <w:ilvl w:val="0"/>
          <w:numId w:val="2"/>
        </w:numPr>
        <w:spacing w:after="90" w:line="276"/>
      </w:pPr>
      <w:r>
        <w:t xml:space="preserve">react-dom 18.3.1</w:t>
      </w:r>
    </w:p>
    <w:p>
      <w:pPr>
        <w:pStyle w:val="ListParagraph"/>
        <w:numPr>
          <w:ilvl w:val="0"/>
          <w:numId w:val="2"/>
        </w:numPr>
        <w:spacing w:after="90" w:line="276"/>
      </w:pPr>
      <w:r>
        <w:t xml:space="preserve">react-router-dom 6.30.3</w:t>
      </w:r>
    </w:p>
    <w:p>
      <w:pPr>
        <w:pStyle w:val="ListParagraph"/>
        <w:numPr>
          <w:ilvl w:val="0"/>
          <w:numId w:val="2"/>
        </w:numPr>
        <w:spacing w:after="90" w:line="276"/>
      </w:pPr>
      <w:r>
        <w:t xml:space="preserve">vite 5.4.21 (dev)</w:t>
      </w:r>
    </w:p>
    <w:p>
      <w:pPr>
        <w:pStyle w:val="ListParagraph"/>
        <w:numPr>
          <w:ilvl w:val="0"/>
          <w:numId w:val="2"/>
        </w:numPr>
        <w:spacing w:after="90" w:line="276"/>
      </w:pPr>
      <w:r>
        <w:t xml:space="preserve">recharts 3.8.1</w:t>
      </w:r>
    </w:p>
    <w:p>
      <w:pPr>
        <w:pStyle w:val="ListParagraph"/>
        <w:numPr>
          <w:ilvl w:val="0"/>
          <w:numId w:val="2"/>
        </w:numPr>
        <w:spacing w:after="90" w:line="276"/>
      </w:pPr>
      <w:r>
        <w:t xml:space="preserve">framer-motion 11.18.2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1F2937"/>
      <w:sz w:val="30"/>
      <w:szCs w:val="30"/>
    </w:rPr>
  </w:style>
  <w:style w:type="paragraph" w:styleId="Heading2">
    <w:name w:val="Heading 2"/>
    <w:basedOn w:val="Normal"/>
    <w:next w:val="Normal"/>
    <w:qFormat/>
    <w:pPr>
      <w:spacing w:after="140" w:before="260"/>
    </w:pPr>
    <w:rPr>
      <w:b/>
      <w:bCs/>
      <w:color w:val="374151"/>
      <w:sz w:val="25"/>
      <w:szCs w:val="25"/>
    </w:rPr>
  </w:style>
  <w:style w:type="paragraph" w:styleId="Heading3">
    <w:name w:val="Heading 3"/>
    <w:basedOn w:val="Normal"/>
    <w:next w:val="Normal"/>
    <w:qFormat/>
    <w:pPr>
      <w:spacing w:after="100" w:before="200"/>
    </w:pPr>
    <w:rPr>
      <w:b/>
      <w:bCs/>
      <w:i/>
      <w:i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2026-08-01T09:11:58.580Z</dcterms:created>
  <dcterms:modified xsi:type="dcterms:W3CDTF">2026-08-01T09:11:58.580Z</dcterms:modified>
</cp:coreProperties>
</file>

<file path=docProps/custom.xml><?xml version="1.0" encoding="utf-8"?>
<Properties xmlns="http://schemas.openxmlformats.org/officeDocument/2006/custom-properties" xmlns:vt="http://schemas.openxmlformats.org/officeDocument/2006/docPropsVTypes"/>
</file>