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Student’s name: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Ajaypal Singh Gill</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GitHub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https://github.com/ajaypal123/video-store-library-system</w:t>
              </w:r>
            </w:hyperlink>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auto" w:val="clear"/>
        </w:rPr>
        <w:t xml:space="preserve">Enter your name here to indicate you agree to the above statement. </w:t>
      </w:r>
    </w:p>
    <w:p>
      <w:pPr>
        <w:keepNext w:val="true"/>
        <w:keepLines w:val="true"/>
        <w:spacing w:before="480" w:after="0" w:line="240"/>
        <w:ind w:right="0" w:left="0" w:firstLine="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Ajaypal Singh Gill</w:t>
        <w:t xml:space="preserve"> </w:t>
      </w:r>
    </w:p>
    <w:p>
      <w:pPr>
        <w:keepNext w:val="true"/>
        <w:keepLines w:val="true"/>
        <w:spacing w:before="480" w:after="0" w:line="240"/>
        <w:ind w:right="0" w:left="0" w:firstLine="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5"/>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5"/>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8"/>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8"/>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2"/>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2"/>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2"/>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2"/>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7"/>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7"/>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9"/>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9"/>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9"/>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9"/>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9"/>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9"/>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9"/>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1"/>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288"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5">
    <w:abstractNumId w:val="30"/>
  </w:num>
  <w:num w:numId="58">
    <w:abstractNumId w:val="24"/>
  </w:num>
  <w:num w:numId="62">
    <w:abstractNumId w:val="18"/>
  </w:num>
  <w:num w:numId="67">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ajaypal123/video-store-library-system"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