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Calibri" w:cs="Calibri" w:eastAsia="Calibri" w:hAnsi="Calibri"/>
          <w:b/>
          <w:bCs/>
          <w:sz w:val="44"/>
          <w:szCs w:val="44"/>
        </w:rPr>
        <w:t xml:space="preserve">Virtual Agent–Driven SLA Breach</w:t>
      </w:r>
    </w:p>
    <w:p>
      <w:pPr>
        <w:spacing w:after="300"/>
        <w:jc w:val="center"/>
      </w:pPr>
      <w:r>
        <w:rPr>
          <w:rFonts w:ascii="Calibri" w:cs="Calibri" w:eastAsia="Calibri" w:hAnsi="Calibri"/>
          <w:b/>
          <w:bCs/>
          <w:sz w:val="44"/>
          <w:szCs w:val="44"/>
        </w:rPr>
        <w:t xml:space="preserve">Awareness &amp; Justification System</w:t>
      </w:r>
    </w:p>
    <w:p>
      <w:pPr>
        <w:spacing w:after="800"/>
        <w:jc w:val="center"/>
      </w:pPr>
      <w:r>
        <w:rPr>
          <w:rFonts w:ascii="Calibri" w:cs="Calibri" w:eastAsia="Calibri" w:hAnsi="Calibri"/>
          <w:i/>
          <w:iCs/>
          <w:color w:val="555555"/>
          <w:sz w:val="26"/>
          <w:szCs w:val="26"/>
        </w:rPr>
        <w:t xml:space="preserve">Project Documentation &amp; Requirement Analysis Report</w:t>
      </w:r>
    </w:p>
    <w:p>
      <w:pPr>
        <w:spacing w:after="200"/>
        <w:jc w:val="center"/>
      </w:pPr>
      <w:r>
        <w:rPr>
          <w:rFonts w:ascii="Calibri" w:cs="Calibri" w:eastAsia="Calibri" w:hAnsi="Calibri"/>
          <w:sz w:val="22"/>
          <w:szCs w:val="22"/>
        </w:rPr>
        <w:t xml:space="preserve">Platform: ServiceNow  |  Domain: ITSM – SLA Governance</w:t>
      </w:r>
    </w:p>
    <w:p>
      <w:pPr>
        <w:spacing w:after="100"/>
        <w:jc w:val="center"/>
      </w:pPr>
      <w:r>
        <w:rPr>
          <w:rFonts w:ascii="Calibri" w:cs="Calibri" w:eastAsia="Calibri" w:hAnsi="Calibri"/>
          <w:b/>
          <w:bCs/>
          <w:sz w:val="22"/>
          <w:szCs w:val="22"/>
        </w:rPr>
        <w:t xml:space="preserve">Team Members:</w:t>
      </w:r>
    </w:p>
    <w:p>
      <w:pPr>
        <w:spacing w:after="60"/>
        <w:jc w:val="center"/>
      </w:pPr>
      <w:r>
        <w:rPr>
          <w:rFonts w:ascii="Calibri" w:cs="Calibri" w:eastAsia="Calibri" w:hAnsi="Calibri"/>
          <w:sz w:val="22"/>
          <w:szCs w:val="22"/>
        </w:rPr>
        <w:t xml:space="preserve">Payyavula Sai Ajay Kumar (Team Lead)</w:t>
      </w:r>
    </w:p>
    <w:p>
      <w:pPr>
        <w:spacing w:after="60"/>
        <w:jc w:val="center"/>
      </w:pPr>
      <w:r>
        <w:rPr>
          <w:rFonts w:ascii="Calibri" w:cs="Calibri" w:eastAsia="Calibri" w:hAnsi="Calibri"/>
          <w:sz w:val="22"/>
          <w:szCs w:val="22"/>
        </w:rPr>
        <w:t xml:space="preserve">Gudipudi Naga Pavani</w:t>
      </w:r>
    </w:p>
    <w:p>
      <w:pPr>
        <w:spacing w:after="60"/>
        <w:jc w:val="center"/>
      </w:pPr>
      <w:r>
        <w:rPr>
          <w:rFonts w:ascii="Calibri" w:cs="Calibri" w:eastAsia="Calibri" w:hAnsi="Calibri"/>
          <w:sz w:val="22"/>
          <w:szCs w:val="22"/>
        </w:rPr>
        <w:t xml:space="preserve">Samira Shaik</w:t>
      </w:r>
    </w:p>
    <w:p>
      <w:pPr>
        <w:spacing w:after="400"/>
        <w:jc w:val="center"/>
      </w:pPr>
      <w:r>
        <w:rPr>
          <w:rFonts w:ascii="Calibri" w:cs="Calibri" w:eastAsia="Calibri" w:hAnsi="Calibri"/>
          <w:sz w:val="22"/>
          <w:szCs w:val="22"/>
        </w:rPr>
        <w:t xml:space="preserve">Sudarshanam Dhanush</w:t>
      </w:r>
    </w:p>
    <w:p>
      <w:r>
        <w:br w:type="page"/>
      </w:r>
    </w:p>
    <w:p>
      <w:pPr>
        <w:pStyle w:val="Heading1"/>
        <w:spacing w:after="150" w:before="300"/>
      </w:pPr>
      <w:r>
        <w:t xml:space="preserve">1. Introduction</w:t>
      </w:r>
    </w:p>
    <w:p>
      <w:pPr>
        <w:spacing w:after="160"/>
      </w:pPr>
      <w:r>
        <w:rPr>
          <w:rFonts w:ascii="Calibri" w:cs="Calibri" w:eastAsia="Calibri" w:hAnsi="Calibri"/>
          <w:sz w:val="22"/>
          <w:szCs w:val="22"/>
        </w:rPr>
        <w:t xml:space="preserve">Service Level Agreements (SLAs) are a core measure of IT service quality, defining the maximum acceptable time for resolving incidents. In most organizations, SLA breaches are detected only after they occur, leaving little room for proactive correction. Agents are often unaware that an incident is nearing breach until an automated escalation email arrives too late, and there is no structured mechanism to capture why a breach happened or to hold the assignee accountable.</w:t>
      </w:r>
    </w:p>
    <w:p>
      <w:pPr>
        <w:spacing w:after="160"/>
      </w:pPr>
      <w:r>
        <w:rPr>
          <w:rFonts w:ascii="Calibri" w:cs="Calibri" w:eastAsia="Calibri" w:hAnsi="Calibri"/>
          <w:sz w:val="22"/>
          <w:szCs w:val="22"/>
        </w:rPr>
        <w:t xml:space="preserve">This project, the Virtual Agent–Driven SLA Breach Awareness &amp; Justification System, addresses this gap within the ServiceNow platform. It combines native SLA monitoring, Flow Designer automation, UI Policies, and a conversational Virtual Agent interface to create a zero-code, admin-configurable governance layer. The system proactively warns assignees before or at the point of SLA breach, guides them through an acknowledgement conversation, enforces mandatory breach justification on the incident record, restricts who can edit that data, and finally surfaces all of this activity through real-time reports and an executive dashboard.</w:t>
      </w:r>
    </w:p>
    <w:p>
      <w:pPr>
        <w:spacing w:after="160"/>
      </w:pPr>
      <w:r>
        <w:rPr>
          <w:rFonts w:ascii="Calibri" w:cs="Calibri" w:eastAsia="Calibri" w:hAnsi="Calibri"/>
          <w:sz w:val="22"/>
          <w:szCs w:val="22"/>
        </w:rPr>
        <w:t xml:space="preserve">The result is a closed-loop process: detect risk → notify → converse and acknowledge → justify → govern access → report — implemented entirely using standard ServiceNow configuration tools (no custom scoped application or external code required).</w:t>
      </w:r>
    </w:p>
    <w:p>
      <w:pPr>
        <w:pStyle w:val="Heading1"/>
        <w:spacing w:after="150" w:before="300"/>
      </w:pPr>
      <w:r>
        <w:t xml:space="preserve">2. Problem Statement</w:t>
      </w:r>
    </w:p>
    <w:p>
      <w:pPr>
        <w:spacing w:after="160"/>
      </w:pPr>
      <w:r>
        <w:rPr>
          <w:rFonts w:ascii="Calibri" w:cs="Calibri" w:eastAsia="Calibri" w:hAnsi="Calibri"/>
          <w:sz w:val="22"/>
          <w:szCs w:val="22"/>
        </w:rPr>
        <w:t xml:space="preserve">Organizations using ServiceNow ITSM frequently experience the following recurring issues:</w:t>
      </w:r>
    </w:p>
    <w:p>
      <w:pPr>
        <w:pStyle w:val="ListParagraph"/>
        <w:numPr>
          <w:ilvl w:val="0"/>
          <w:numId w:val="1"/>
        </w:numPr>
        <w:spacing w:after="100"/>
      </w:pPr>
      <w:r>
        <w:t xml:space="preserve">SLA breaches are identified reactively, typically after the SLA has already breached, rather than proactively while resolution is still possible.</w:t>
      </w:r>
    </w:p>
    <w:p>
      <w:pPr>
        <w:pStyle w:val="ListParagraph"/>
        <w:numPr>
          <w:ilvl w:val="0"/>
          <w:numId w:val="1"/>
        </w:numPr>
        <w:spacing w:after="100"/>
      </w:pPr>
      <w:r>
        <w:t xml:space="preserve">Assignees have no interactive, timely channel through which they are alerted and guided on corrective action.</w:t>
      </w:r>
    </w:p>
    <w:p>
      <w:pPr>
        <w:pStyle w:val="ListParagraph"/>
        <w:numPr>
          <w:ilvl w:val="0"/>
          <w:numId w:val="1"/>
        </w:numPr>
        <w:spacing w:after="100"/>
      </w:pPr>
      <w:r>
        <w:t xml:space="preserve">There is no mandatory, structured capture of why a breach occurred, which weakens root-cause analysis and repeat-offense tracking.</w:t>
      </w:r>
    </w:p>
    <w:p>
      <w:pPr>
        <w:pStyle w:val="ListParagraph"/>
        <w:numPr>
          <w:ilvl w:val="0"/>
          <w:numId w:val="1"/>
        </w:numPr>
        <w:spacing w:after="100"/>
      </w:pPr>
      <w:r>
        <w:t xml:space="preserve">Any user with edit access to the incident can alter breach-related fields, creating a risk of inconsistent or unauthorized data.</w:t>
      </w:r>
    </w:p>
    <w:p>
      <w:pPr>
        <w:pStyle w:val="ListParagraph"/>
        <w:numPr>
          <w:ilvl w:val="0"/>
          <w:numId w:val="1"/>
        </w:numPr>
        <w:spacing w:after="100"/>
      </w:pPr>
      <w:r>
        <w:t xml:space="preserve">Managers lack a consolidated, real-time view of SLA trends, breach reasons, and individual assignee accountability.</w:t>
      </w:r>
    </w:p>
    <w:p>
      <w:pPr>
        <w:spacing w:after="160"/>
      </w:pPr>
      <w:r>
        <w:rPr>
          <w:rFonts w:ascii="Calibri" w:cs="Calibri" w:eastAsia="Calibri" w:hAnsi="Calibri"/>
          <w:sz w:val="22"/>
          <w:szCs w:val="22"/>
        </w:rPr>
        <w:t xml:space="preserve">This project resolves each of these issues using out-of-the-box ServiceNow capabilities, making the solution reusable, low-maintenance, and easy for any administrator to extend.</w:t>
      </w:r>
    </w:p>
    <w:p>
      <w:pPr>
        <w:pStyle w:val="Heading1"/>
        <w:spacing w:after="150" w:before="300"/>
      </w:pPr>
      <w:r>
        <w:t xml:space="preserve">3. Business Objectives</w:t>
      </w:r>
    </w:p>
    <w:p>
      <w:pPr>
        <w:spacing w:after="160"/>
      </w:pPr>
      <w:r>
        <w:rPr>
          <w:rFonts w:ascii="Calibri" w:cs="Calibri" w:eastAsia="Calibri" w:hAnsi="Calibri"/>
          <w:sz w:val="22"/>
          <w:szCs w:val="22"/>
        </w:rPr>
        <w:t xml:space="preserve">The project is designed around five measurable business objectives:</w:t>
      </w:r>
    </w:p>
    <w:p>
      <w:pPr>
        <w:pStyle w:val="ListParagraph"/>
        <w:numPr>
          <w:ilvl w:val="0"/>
          <w:numId w:val="2"/>
        </w:numPr>
        <w:spacing w:after="100"/>
      </w:pPr>
      <w:r>
        <w:t xml:space="preserve">Proactive SLA Awareness — Notify assignees before an SLA breach occurs and create real-time awareness using a Virtual Agent conversation, rather than relying solely on a post-breach email.</w:t>
      </w:r>
    </w:p>
    <w:p>
      <w:pPr>
        <w:pStyle w:val="ListParagraph"/>
        <w:numPr>
          <w:ilvl w:val="0"/>
          <w:numId w:val="2"/>
        </w:numPr>
        <w:spacing w:after="100"/>
      </w:pPr>
      <w:r>
        <w:t xml:space="preserve">Reduce SLA Violations — Encourage earlier corrective action by prompting the assignee the moment SLA risk is detected, reducing the number of incidents that cross the breach threshold.</w:t>
      </w:r>
    </w:p>
    <w:p>
      <w:pPr>
        <w:pStyle w:val="ListParagraph"/>
        <w:numPr>
          <w:ilvl w:val="0"/>
          <w:numId w:val="2"/>
        </w:numPr>
        <w:spacing w:after="100"/>
      </w:pPr>
      <w:r>
        <w:t xml:space="preserve">Improve SLA Governance — Maintain an audit-ready trail of breach reasons and justifications for every at-risk or breached incident, supporting management review and compliance audits.</w:t>
      </w:r>
    </w:p>
    <w:p>
      <w:pPr>
        <w:pStyle w:val="ListParagraph"/>
        <w:numPr>
          <w:ilvl w:val="0"/>
          <w:numId w:val="2"/>
        </w:numPr>
        <w:spacing w:after="100"/>
      </w:pPr>
      <w:r>
        <w:t xml:space="preserve">Enhance User Experience — Replace manual follow-up emails and phone calls with a natural, guided conversational interaction through the Virtual Agent, reducing friction for the assignee.</w:t>
      </w:r>
    </w:p>
    <w:p>
      <w:pPr>
        <w:pStyle w:val="ListParagraph"/>
        <w:numPr>
          <w:ilvl w:val="0"/>
          <w:numId w:val="2"/>
        </w:numPr>
        <w:spacing w:after="100"/>
      </w:pPr>
      <w:r>
        <w:t xml:space="preserve">Strengthen Accountability — Require every assignee to explicitly acknowledge an SLA risk and provide a justification, ensuring individual accountability is recorded against every breach.</w:t>
      </w:r>
    </w:p>
    <w:p>
      <w:pPr>
        <w:pStyle w:val="Heading1"/>
        <w:spacing w:after="150" w:before="300"/>
      </w:pPr>
      <w:r>
        <w:t xml:space="preserve">4. Functional Scope</w:t>
      </w:r>
    </w:p>
    <w:p>
      <w:pPr>
        <w:spacing w:after="160"/>
      </w:pPr>
      <w:r>
        <w:rPr>
          <w:rFonts w:ascii="Calibri" w:cs="Calibri" w:eastAsia="Calibri" w:hAnsi="Calibri"/>
          <w:sz w:val="22"/>
          <w:szCs w:val="22"/>
        </w:rPr>
        <w:t xml:space="preserve">The scope of this project is limited to the following functional areas, all implemented on the standard Incident table and OOB SLA engine:</w:t>
      </w:r>
    </w:p>
    <w:p>
      <w:pPr>
        <w:pStyle w:val="ListParagraph"/>
        <w:numPr>
          <w:ilvl w:val="0"/>
          <w:numId w:val="1"/>
        </w:numPr>
        <w:spacing w:after="100"/>
      </w:pPr>
      <w:r>
        <w:t xml:space="preserve">SLA Monitoring: Use the native ServiceNow SLA engine (Task SLA table) on Incident records; no custom SLA calculation logic is built.</w:t>
      </w:r>
    </w:p>
    <w:p>
      <w:pPr>
        <w:pStyle w:val="ListParagraph"/>
        <w:numPr>
          <w:ilvl w:val="0"/>
          <w:numId w:val="1"/>
        </w:numPr>
        <w:spacing w:after="100"/>
      </w:pPr>
      <w:r>
        <w:t xml:space="preserve">Risk Detection: A business rule/flow condition flags an incident as 'SLA At Risk' once the SLA business percentage crosses a configurable threshold (e.g., 80%).</w:t>
      </w:r>
    </w:p>
    <w:p>
      <w:pPr>
        <w:pStyle w:val="ListParagraph"/>
        <w:numPr>
          <w:ilvl w:val="0"/>
          <w:numId w:val="1"/>
        </w:numPr>
        <w:spacing w:after="100"/>
      </w:pPr>
      <w:r>
        <w:t xml:space="preserve">Automated Notification: A Flow Designer flow sends an email notification to the assigned user the moment an incident is marked at risk.</w:t>
      </w:r>
    </w:p>
    <w:p>
      <w:pPr>
        <w:pStyle w:val="ListParagraph"/>
        <w:numPr>
          <w:ilvl w:val="0"/>
          <w:numId w:val="1"/>
        </w:numPr>
        <w:spacing w:after="100"/>
      </w:pPr>
      <w:r>
        <w:t xml:space="preserve">Mandatory Data Capture: A UI Policy makes SLA Breach Reason, SLA Breach Justification, and SLA Acknowledged fields visible and mandatory only when the incident is at risk or breached.</w:t>
      </w:r>
    </w:p>
    <w:p>
      <w:pPr>
        <w:pStyle w:val="ListParagraph"/>
        <w:numPr>
          <w:ilvl w:val="0"/>
          <w:numId w:val="1"/>
        </w:numPr>
        <w:spacing w:after="100"/>
      </w:pPr>
      <w:r>
        <w:t xml:space="preserve">Conversational Governance: A Virtual Agent topic informs the user of the risk, explains the required action, and captures explicit acknowledgement.</w:t>
      </w:r>
    </w:p>
    <w:p>
      <w:pPr>
        <w:pStyle w:val="ListParagraph"/>
        <w:numPr>
          <w:ilvl w:val="0"/>
          <w:numId w:val="1"/>
        </w:numPr>
        <w:spacing w:after="100"/>
      </w:pPr>
      <w:r>
        <w:t xml:space="preserve">Access Control: Role-based ACLs ensure only the assignee can write to SLA governance fields; managers have read-only visibility.</w:t>
      </w:r>
    </w:p>
    <w:p>
      <w:pPr>
        <w:pStyle w:val="ListParagraph"/>
        <w:numPr>
          <w:ilvl w:val="0"/>
          <w:numId w:val="1"/>
        </w:numPr>
        <w:spacing w:after="100"/>
      </w:pPr>
      <w:r>
        <w:t xml:space="preserve">Reporting: Real-time reports on breach reasons, acknowledgement status, and assignee performance, consolidated into a single dashboard.</w:t>
      </w:r>
    </w:p>
    <w:p>
      <w:pPr>
        <w:spacing w:after="160"/>
      </w:pPr>
      <w:r>
        <w:rPr>
          <w:rFonts w:ascii="Calibri" w:cs="Calibri" w:eastAsia="Calibri" w:hAnsi="Calibri"/>
          <w:sz w:val="22"/>
          <w:szCs w:val="22"/>
        </w:rPr>
        <w:t xml:space="preserve">Out of scope: SLA definitions/schedules are not redesigned, no custom scoped application is built, and no integration with external ticketing or communication tools (e.g., Slack, Teams) is included in this phase.</w:t>
      </w:r>
    </w:p>
    <w:p>
      <w:pPr>
        <w:pStyle w:val="Heading1"/>
        <w:spacing w:after="150" w:before="300"/>
      </w:pPr>
      <w:r>
        <w:t xml:space="preserve">5. Stakeholder Mapping</w:t>
      </w:r>
    </w:p>
    <w:p>
      <w:pPr>
        <w:spacing w:after="160"/>
      </w:pPr>
      <w:r>
        <w:rPr>
          <w:rFonts w:ascii="Calibri" w:cs="Calibri" w:eastAsia="Calibri" w:hAnsi="Calibri"/>
          <w:sz w:val="22"/>
          <w:szCs w:val="22"/>
        </w:rPr>
        <w:t xml:space="preserve">The following stakeholders interact with the system, each with a distinct role and level of access: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600"/>
      </w:tblGrid>
      <w:tr>
        <w:trPr>
          <w:tblHeader/>
        </w:trPr>
        <w:tc>
          <w:tcPr>
            <w:tcW w:type="dxa" w:w="3200"/>
            <w:shd w:fill="1F2937" w:val="clear"/>
            <w:vAlign w:val="center"/>
          </w:tcPr>
          <w:p>
            <w:r>
              <w:rPr>
                <w:rFonts w:ascii="Calibri" w:cs="Calibri" w:eastAsia="Calibri" w:hAnsi="Calibri"/>
                <w:b/>
                <w:bCs/>
                <w:color w:val="FFFFFF"/>
                <w:sz w:val="21"/>
                <w:szCs w:val="21"/>
              </w:rPr>
              <w:t xml:space="preserve">Stakeholder</w:t>
            </w:r>
          </w:p>
        </w:tc>
        <w:tc>
          <w:tcPr>
            <w:tcW w:type="dxa" w:w="4200"/>
            <w:shd w:fill="1F2937" w:val="clear"/>
            <w:vAlign w:val="center"/>
          </w:tcPr>
          <w:p>
            <w:r>
              <w:rPr>
                <w:rFonts w:ascii="Calibri" w:cs="Calibri" w:eastAsia="Calibri" w:hAnsi="Calibri"/>
                <w:b/>
                <w:bCs/>
                <w:color w:val="FFFFFF"/>
                <w:sz w:val="21"/>
                <w:szCs w:val="21"/>
              </w:rPr>
              <w:t xml:space="preserve">Role in the System</w:t>
            </w:r>
          </w:p>
        </w:tc>
        <w:tc>
          <w:tcPr>
            <w:tcW w:type="dxa" w:w="2600"/>
            <w:shd w:fill="1F2937" w:val="clear"/>
            <w:vAlign w:val="center"/>
          </w:tcPr>
          <w:p>
            <w:r>
              <w:rPr>
                <w:rFonts w:ascii="Calibri" w:cs="Calibri" w:eastAsia="Calibri" w:hAnsi="Calibri"/>
                <w:b/>
                <w:bCs/>
                <w:color w:val="FFFFFF"/>
                <w:sz w:val="21"/>
                <w:szCs w:val="21"/>
              </w:rPr>
              <w:t xml:space="preserve">Access Level</w:t>
            </w:r>
          </w:p>
        </w:tc>
      </w:tr>
      <w:tr>
        <w:tc>
          <w:tcPr>
            <w:tcW w:type="dxa" w:w="3200"/>
            <w:vAlign w:val="center"/>
          </w:tcPr>
          <w:p>
            <w:r>
              <w:rPr>
                <w:rFonts w:ascii="Calibri" w:cs="Calibri" w:eastAsia="Calibri" w:hAnsi="Calibri"/>
                <w:b w:val="false"/>
                <w:bCs w:val="false"/>
                <w:color w:val="000000"/>
                <w:sz w:val="21"/>
                <w:szCs w:val="21"/>
              </w:rPr>
              <w:t xml:space="preserve">ITIL Agent (Assignee)</w:t>
            </w:r>
          </w:p>
        </w:tc>
        <w:tc>
          <w:tcPr>
            <w:tcW w:type="dxa" w:w="4200"/>
            <w:vAlign w:val="center"/>
          </w:tcPr>
          <w:p>
            <w:r>
              <w:rPr>
                <w:rFonts w:ascii="Calibri" w:cs="Calibri" w:eastAsia="Calibri" w:hAnsi="Calibri"/>
                <w:b w:val="false"/>
                <w:bCs w:val="false"/>
                <w:color w:val="000000"/>
                <w:sz w:val="21"/>
                <w:szCs w:val="21"/>
              </w:rPr>
              <w:t xml:space="preserve">Receives SLA risk notification, converses with Virtual Agent, acknowledges risk, provides breach reason and justification.</w:t>
            </w:r>
          </w:p>
        </w:tc>
        <w:tc>
          <w:tcPr>
            <w:tcW w:type="dxa" w:w="2600"/>
            <w:vAlign w:val="center"/>
          </w:tcPr>
          <w:p>
            <w:r>
              <w:rPr>
                <w:rFonts w:ascii="Calibri" w:cs="Calibri" w:eastAsia="Calibri" w:hAnsi="Calibri"/>
                <w:b w:val="false"/>
                <w:bCs w:val="false"/>
                <w:color w:val="000000"/>
                <w:sz w:val="21"/>
                <w:szCs w:val="21"/>
              </w:rPr>
              <w:t xml:space="preserve">Read/Write on assigned incidents and SLA governance fields</w:t>
            </w:r>
          </w:p>
        </w:tc>
      </w:tr>
      <w:tr>
        <w:tc>
          <w:tcPr>
            <w:tcW w:type="dxa" w:w="3200"/>
            <w:vAlign w:val="center"/>
          </w:tcPr>
          <w:p>
            <w:r>
              <w:rPr>
                <w:rFonts w:ascii="Calibri" w:cs="Calibri" w:eastAsia="Calibri" w:hAnsi="Calibri"/>
                <w:b w:val="false"/>
                <w:bCs w:val="false"/>
                <w:color w:val="000000"/>
                <w:sz w:val="21"/>
                <w:szCs w:val="21"/>
              </w:rPr>
              <w:t xml:space="preserve">Manager</w:t>
            </w:r>
          </w:p>
        </w:tc>
        <w:tc>
          <w:tcPr>
            <w:tcW w:type="dxa" w:w="4200"/>
            <w:vAlign w:val="center"/>
          </w:tcPr>
          <w:p>
            <w:r>
              <w:rPr>
                <w:rFonts w:ascii="Calibri" w:cs="Calibri" w:eastAsia="Calibri" w:hAnsi="Calibri"/>
                <w:b w:val="false"/>
                <w:bCs w:val="false"/>
                <w:color w:val="000000"/>
                <w:sz w:val="21"/>
                <w:szCs w:val="21"/>
              </w:rPr>
              <w:t xml:space="preserve">Reviews SLA trends, breach justifications, and assignee accountability through reports and dashboard.</w:t>
            </w:r>
          </w:p>
        </w:tc>
        <w:tc>
          <w:tcPr>
            <w:tcW w:type="dxa" w:w="2600"/>
            <w:vAlign w:val="center"/>
          </w:tcPr>
          <w:p>
            <w:r>
              <w:rPr>
                <w:rFonts w:ascii="Calibri" w:cs="Calibri" w:eastAsia="Calibri" w:hAnsi="Calibri"/>
                <w:b w:val="false"/>
                <w:bCs w:val="false"/>
                <w:color w:val="000000"/>
                <w:sz w:val="21"/>
                <w:szCs w:val="21"/>
              </w:rPr>
              <w:t xml:space="preserve">Read-only on SLA governance fields; full report/dashboard access</w:t>
            </w:r>
          </w:p>
        </w:tc>
      </w:tr>
      <w:tr>
        <w:tc>
          <w:tcPr>
            <w:tcW w:type="dxa" w:w="3200"/>
            <w:vAlign w:val="center"/>
          </w:tcPr>
          <w:p>
            <w:r>
              <w:rPr>
                <w:rFonts w:ascii="Calibri" w:cs="Calibri" w:eastAsia="Calibri" w:hAnsi="Calibri"/>
                <w:b w:val="false"/>
                <w:bCs w:val="false"/>
                <w:color w:val="000000"/>
                <w:sz w:val="21"/>
                <w:szCs w:val="21"/>
              </w:rPr>
              <w:t xml:space="preserve">System Administrator</w:t>
            </w:r>
          </w:p>
        </w:tc>
        <w:tc>
          <w:tcPr>
            <w:tcW w:type="dxa" w:w="4200"/>
            <w:vAlign w:val="center"/>
          </w:tcPr>
          <w:p>
            <w:r>
              <w:rPr>
                <w:rFonts w:ascii="Calibri" w:cs="Calibri" w:eastAsia="Calibri" w:hAnsi="Calibri"/>
                <w:b w:val="false"/>
                <w:bCs w:val="false"/>
                <w:color w:val="000000"/>
                <w:sz w:val="21"/>
                <w:szCs w:val="21"/>
              </w:rPr>
              <w:t xml:space="preserve">Configures SLA definitions, Flow Designer flows, UI Policies, Virtual Agent topic, ACLs, and reports.</w:t>
            </w:r>
          </w:p>
        </w:tc>
        <w:tc>
          <w:tcPr>
            <w:tcW w:type="dxa" w:w="2600"/>
            <w:vAlign w:val="center"/>
          </w:tcPr>
          <w:p>
            <w:r>
              <w:rPr>
                <w:rFonts w:ascii="Calibri" w:cs="Calibri" w:eastAsia="Calibri" w:hAnsi="Calibri"/>
                <w:b w:val="false"/>
                <w:bCs w:val="false"/>
                <w:color w:val="000000"/>
                <w:sz w:val="21"/>
                <w:szCs w:val="21"/>
              </w:rPr>
              <w:t xml:space="preserve">Full administrative access</w:t>
            </w:r>
          </w:p>
        </w:tc>
      </w:tr>
      <w:tr>
        <w:tc>
          <w:tcPr>
            <w:tcW w:type="dxa" w:w="3200"/>
            <w:vAlign w:val="center"/>
          </w:tcPr>
          <w:p>
            <w:r>
              <w:rPr>
                <w:rFonts w:ascii="Calibri" w:cs="Calibri" w:eastAsia="Calibri" w:hAnsi="Calibri"/>
                <w:b w:val="false"/>
                <w:bCs w:val="false"/>
                <w:color w:val="000000"/>
                <w:sz w:val="21"/>
                <w:szCs w:val="21"/>
              </w:rPr>
              <w:t xml:space="preserve">Service Desk / ITSM Team</w:t>
            </w:r>
          </w:p>
        </w:tc>
        <w:tc>
          <w:tcPr>
            <w:tcW w:type="dxa" w:w="4200"/>
            <w:vAlign w:val="center"/>
          </w:tcPr>
          <w:p>
            <w:r>
              <w:rPr>
                <w:rFonts w:ascii="Calibri" w:cs="Calibri" w:eastAsia="Calibri" w:hAnsi="Calibri"/>
                <w:b w:val="false"/>
                <w:bCs w:val="false"/>
                <w:color w:val="000000"/>
                <w:sz w:val="21"/>
                <w:szCs w:val="21"/>
              </w:rPr>
              <w:t xml:space="preserve">Creates and assigns incidents; indirectly benefits from clearer accountability and faster resolution.</w:t>
            </w:r>
          </w:p>
        </w:tc>
        <w:tc>
          <w:tcPr>
            <w:tcW w:type="dxa" w:w="2600"/>
            <w:vAlign w:val="center"/>
          </w:tcPr>
          <w:p>
            <w:r>
              <w:rPr>
                <w:rFonts w:ascii="Calibri" w:cs="Calibri" w:eastAsia="Calibri" w:hAnsi="Calibri"/>
                <w:b w:val="false"/>
                <w:bCs w:val="false"/>
                <w:color w:val="000000"/>
                <w:sz w:val="21"/>
                <w:szCs w:val="21"/>
              </w:rPr>
              <w:t xml:space="preserve">Standard ITIL access</w:t>
            </w:r>
          </w:p>
        </w:tc>
      </w:tr>
    </w:tbl>
    <w:p>
      <w:pPr>
        <w:pStyle w:val="Heading1"/>
        <w:spacing w:after="150" w:before="300"/>
      </w:pPr>
      <w:r>
        <w:t xml:space="preserve">6. Execution Roadmap</w:t>
      </w:r>
    </w:p>
    <w:p>
      <w:pPr>
        <w:spacing w:after="160"/>
      </w:pPr>
      <w:r>
        <w:rPr>
          <w:rFonts w:ascii="Calibri" w:cs="Calibri" w:eastAsia="Calibri" w:hAnsi="Calibri"/>
          <w:sz w:val="22"/>
          <w:szCs w:val="22"/>
        </w:rPr>
        <w:t xml:space="preserve">The project was executed in six sequential phases, aligned with the six epics tracked in the project workspace: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3600"/>
      </w:tblGrid>
      <w:tr>
        <w:trPr>
          <w:tblHeader/>
        </w:trPr>
        <w:tc>
          <w:tcPr>
            <w:tcW w:type="dxa" w:w="1200"/>
            <w:shd w:fill="1F2937" w:val="clear"/>
            <w:vAlign w:val="center"/>
          </w:tcPr>
          <w:p>
            <w:r>
              <w:rPr>
                <w:rFonts w:ascii="Calibri" w:cs="Calibri" w:eastAsia="Calibri" w:hAnsi="Calibri"/>
                <w:b/>
                <w:bCs/>
                <w:color w:val="FFFFFF"/>
                <w:sz w:val="21"/>
                <w:szCs w:val="21"/>
              </w:rPr>
              <w:t xml:space="preserve">Phase</w:t>
            </w:r>
          </w:p>
        </w:tc>
        <w:tc>
          <w:tcPr>
            <w:tcW w:type="dxa" w:w="5200"/>
            <w:shd w:fill="1F2937" w:val="clear"/>
            <w:vAlign w:val="center"/>
          </w:tcPr>
          <w:p>
            <w:r>
              <w:rPr>
                <w:rFonts w:ascii="Calibri" w:cs="Calibri" w:eastAsia="Calibri" w:hAnsi="Calibri"/>
                <w:b/>
                <w:bCs/>
                <w:color w:val="FFFFFF"/>
                <w:sz w:val="21"/>
                <w:szCs w:val="21"/>
              </w:rPr>
              <w:t xml:space="preserve">Epic</w:t>
            </w:r>
          </w:p>
        </w:tc>
        <w:tc>
          <w:tcPr>
            <w:tcW w:type="dxa" w:w="3600"/>
            <w:shd w:fill="1F2937" w:val="clear"/>
            <w:vAlign w:val="center"/>
          </w:tcPr>
          <w:p>
            <w:r>
              <w:rPr>
                <w:rFonts w:ascii="Calibri" w:cs="Calibri" w:eastAsia="Calibri" w:hAnsi="Calibri"/>
                <w:b/>
                <w:bCs/>
                <w:color w:val="FFFFFF"/>
                <w:sz w:val="21"/>
                <w:szCs w:val="21"/>
              </w:rPr>
              <w:t xml:space="preserve">Key Deliverable</w:t>
            </w:r>
          </w:p>
        </w:tc>
      </w:tr>
      <w:tr>
        <w:tc>
          <w:tcPr>
            <w:tcW w:type="dxa" w:w="1200"/>
            <w:vAlign w:val="center"/>
          </w:tcPr>
          <w:p>
            <w:r>
              <w:rPr>
                <w:rFonts w:ascii="Calibri" w:cs="Calibri" w:eastAsia="Calibri" w:hAnsi="Calibri"/>
                <w:b w:val="false"/>
                <w:bCs w:val="false"/>
                <w:color w:val="000000"/>
                <w:sz w:val="21"/>
                <w:szCs w:val="21"/>
              </w:rPr>
              <w:t xml:space="preserve">1</w:t>
            </w:r>
          </w:p>
        </w:tc>
        <w:tc>
          <w:tcPr>
            <w:tcW w:type="dxa" w:w="5200"/>
            <w:vAlign w:val="center"/>
          </w:tcPr>
          <w:p>
            <w:r>
              <w:rPr>
                <w:rFonts w:ascii="Calibri" w:cs="Calibri" w:eastAsia="Calibri" w:hAnsi="Calibri"/>
                <w:b w:val="false"/>
                <w:bCs w:val="false"/>
                <w:color w:val="000000"/>
                <w:sz w:val="21"/>
                <w:szCs w:val="21"/>
              </w:rPr>
              <w:t xml:space="preserve">Requirement Analysis &amp; Planning</w:t>
            </w:r>
          </w:p>
        </w:tc>
        <w:tc>
          <w:tcPr>
            <w:tcW w:type="dxa" w:w="3600"/>
            <w:vAlign w:val="center"/>
          </w:tcPr>
          <w:p>
            <w:r>
              <w:rPr>
                <w:rFonts w:ascii="Calibri" w:cs="Calibri" w:eastAsia="Calibri" w:hAnsi="Calibri"/>
                <w:b w:val="false"/>
                <w:bCs w:val="false"/>
                <w:color w:val="000000"/>
                <w:sz w:val="21"/>
                <w:szCs w:val="21"/>
              </w:rPr>
              <w:t xml:space="preserve">Business objectives, scope, stakeholder mapping, roadmap (this document)</w:t>
            </w:r>
          </w:p>
        </w:tc>
      </w:tr>
      <w:tr>
        <w:tc>
          <w:tcPr>
            <w:tcW w:type="dxa" w:w="1200"/>
            <w:vAlign w:val="center"/>
          </w:tcPr>
          <w:p>
            <w:r>
              <w:rPr>
                <w:rFonts w:ascii="Calibri" w:cs="Calibri" w:eastAsia="Calibri" w:hAnsi="Calibri"/>
                <w:b w:val="false"/>
                <w:bCs w:val="false"/>
                <w:color w:val="000000"/>
                <w:sz w:val="21"/>
                <w:szCs w:val="21"/>
              </w:rPr>
              <w:t xml:space="preserve">2</w:t>
            </w:r>
          </w:p>
        </w:tc>
        <w:tc>
          <w:tcPr>
            <w:tcW w:type="dxa" w:w="5200"/>
            <w:vAlign w:val="center"/>
          </w:tcPr>
          <w:p>
            <w:r>
              <w:rPr>
                <w:rFonts w:ascii="Calibri" w:cs="Calibri" w:eastAsia="Calibri" w:hAnsi="Calibri"/>
                <w:b w:val="false"/>
                <w:bCs w:val="false"/>
                <w:color w:val="000000"/>
                <w:sz w:val="21"/>
                <w:szCs w:val="21"/>
              </w:rPr>
              <w:t xml:space="preserve">Backend Configuration &amp; Data Setup</w:t>
            </w:r>
          </w:p>
        </w:tc>
        <w:tc>
          <w:tcPr>
            <w:tcW w:type="dxa" w:w="3600"/>
            <w:vAlign w:val="center"/>
          </w:tcPr>
          <w:p>
            <w:r>
              <w:rPr>
                <w:rFonts w:ascii="Calibri" w:cs="Calibri" w:eastAsia="Calibri" w:hAnsi="Calibri"/>
                <w:b w:val="false"/>
                <w:bCs w:val="false"/>
                <w:color w:val="000000"/>
                <w:sz w:val="21"/>
                <w:szCs w:val="21"/>
              </w:rPr>
              <w:t xml:space="preserve">Custom fields on Incident table, SLA validation, at-risk detection logic</w:t>
            </w:r>
          </w:p>
        </w:tc>
      </w:tr>
      <w:tr>
        <w:tc>
          <w:tcPr>
            <w:tcW w:type="dxa" w:w="1200"/>
            <w:vAlign w:val="center"/>
          </w:tcPr>
          <w:p>
            <w:r>
              <w:rPr>
                <w:rFonts w:ascii="Calibri" w:cs="Calibri" w:eastAsia="Calibri" w:hAnsi="Calibri"/>
                <w:b w:val="false"/>
                <w:bCs w:val="false"/>
                <w:color w:val="000000"/>
                <w:sz w:val="21"/>
                <w:szCs w:val="21"/>
              </w:rPr>
              <w:t xml:space="preserve">3</w:t>
            </w:r>
          </w:p>
        </w:tc>
        <w:tc>
          <w:tcPr>
            <w:tcW w:type="dxa" w:w="5200"/>
            <w:vAlign w:val="center"/>
          </w:tcPr>
          <w:p>
            <w:r>
              <w:rPr>
                <w:rFonts w:ascii="Calibri" w:cs="Calibri" w:eastAsia="Calibri" w:hAnsi="Calibri"/>
                <w:b w:val="false"/>
                <w:bCs w:val="false"/>
                <w:color w:val="000000"/>
                <w:sz w:val="21"/>
                <w:szCs w:val="21"/>
              </w:rPr>
              <w:t xml:space="preserve">Notification Configuration (Flow Designer &amp; UI Policy)</w:t>
            </w:r>
          </w:p>
        </w:tc>
        <w:tc>
          <w:tcPr>
            <w:tcW w:type="dxa" w:w="3600"/>
            <w:vAlign w:val="center"/>
          </w:tcPr>
          <w:p>
            <w:r>
              <w:rPr>
                <w:rFonts w:ascii="Calibri" w:cs="Calibri" w:eastAsia="Calibri" w:hAnsi="Calibri"/>
                <w:b w:val="false"/>
                <w:bCs w:val="false"/>
                <w:color w:val="000000"/>
                <w:sz w:val="21"/>
                <w:szCs w:val="21"/>
              </w:rPr>
              <w:t xml:space="preserve">Automated email flow and mandatory-field UI Policy</w:t>
            </w:r>
          </w:p>
        </w:tc>
      </w:tr>
      <w:tr>
        <w:tc>
          <w:tcPr>
            <w:tcW w:type="dxa" w:w="1200"/>
            <w:vAlign w:val="center"/>
          </w:tcPr>
          <w:p>
            <w:r>
              <w:rPr>
                <w:rFonts w:ascii="Calibri" w:cs="Calibri" w:eastAsia="Calibri" w:hAnsi="Calibri"/>
                <w:b w:val="false"/>
                <w:bCs w:val="false"/>
                <w:color w:val="000000"/>
                <w:sz w:val="21"/>
                <w:szCs w:val="21"/>
              </w:rPr>
              <w:t xml:space="preserve">4</w:t>
            </w:r>
          </w:p>
        </w:tc>
        <w:tc>
          <w:tcPr>
            <w:tcW w:type="dxa" w:w="5200"/>
            <w:vAlign w:val="center"/>
          </w:tcPr>
          <w:p>
            <w:r>
              <w:rPr>
                <w:rFonts w:ascii="Calibri" w:cs="Calibri" w:eastAsia="Calibri" w:hAnsi="Calibri"/>
                <w:b w:val="false"/>
                <w:bCs w:val="false"/>
                <w:color w:val="000000"/>
                <w:sz w:val="21"/>
                <w:szCs w:val="21"/>
              </w:rPr>
              <w:t xml:space="preserve">Virtual Agent Design &amp; Configuration</w:t>
            </w:r>
          </w:p>
        </w:tc>
        <w:tc>
          <w:tcPr>
            <w:tcW w:type="dxa" w:w="3600"/>
            <w:vAlign w:val="center"/>
          </w:tcPr>
          <w:p>
            <w:r>
              <w:rPr>
                <w:rFonts w:ascii="Calibri" w:cs="Calibri" w:eastAsia="Calibri" w:hAnsi="Calibri"/>
                <w:b w:val="false"/>
                <w:bCs w:val="false"/>
                <w:color w:val="000000"/>
                <w:sz w:val="21"/>
                <w:szCs w:val="21"/>
              </w:rPr>
              <w:t xml:space="preserve">SLA Breach Awareness &amp; Justification conversational topic</w:t>
            </w:r>
          </w:p>
        </w:tc>
      </w:tr>
      <w:tr>
        <w:tc>
          <w:tcPr>
            <w:tcW w:type="dxa" w:w="1200"/>
            <w:vAlign w:val="center"/>
          </w:tcPr>
          <w:p>
            <w:r>
              <w:rPr>
                <w:rFonts w:ascii="Calibri" w:cs="Calibri" w:eastAsia="Calibri" w:hAnsi="Calibri"/>
                <w:b w:val="false"/>
                <w:bCs w:val="false"/>
                <w:color w:val="000000"/>
                <w:sz w:val="21"/>
                <w:szCs w:val="21"/>
              </w:rPr>
              <w:t xml:space="preserve">5</w:t>
            </w:r>
          </w:p>
        </w:tc>
        <w:tc>
          <w:tcPr>
            <w:tcW w:type="dxa" w:w="5200"/>
            <w:vAlign w:val="center"/>
          </w:tcPr>
          <w:p>
            <w:r>
              <w:rPr>
                <w:rFonts w:ascii="Calibri" w:cs="Calibri" w:eastAsia="Calibri" w:hAnsi="Calibri"/>
                <w:b w:val="false"/>
                <w:bCs w:val="false"/>
                <w:color w:val="000000"/>
                <w:sz w:val="21"/>
                <w:szCs w:val="21"/>
              </w:rPr>
              <w:t xml:space="preserve">Reporting &amp; Dashboard Setup</w:t>
            </w:r>
          </w:p>
        </w:tc>
        <w:tc>
          <w:tcPr>
            <w:tcW w:type="dxa" w:w="3600"/>
            <w:vAlign w:val="center"/>
          </w:tcPr>
          <w:p>
            <w:r>
              <w:rPr>
                <w:rFonts w:ascii="Calibri" w:cs="Calibri" w:eastAsia="Calibri" w:hAnsi="Calibri"/>
                <w:b w:val="false"/>
                <w:bCs w:val="false"/>
                <w:color w:val="000000"/>
                <w:sz w:val="21"/>
                <w:szCs w:val="21"/>
              </w:rPr>
              <w:t xml:space="preserve">Breach reason, acknowledgement, and performance reports; governance dashboard</w:t>
            </w:r>
          </w:p>
        </w:tc>
      </w:tr>
      <w:tr>
        <w:tc>
          <w:tcPr>
            <w:tcW w:type="dxa" w:w="1200"/>
            <w:vAlign w:val="center"/>
          </w:tcPr>
          <w:p>
            <w:r>
              <w:rPr>
                <w:rFonts w:ascii="Calibri" w:cs="Calibri" w:eastAsia="Calibri" w:hAnsi="Calibri"/>
                <w:b w:val="false"/>
                <w:bCs w:val="false"/>
                <w:color w:val="000000"/>
                <w:sz w:val="21"/>
                <w:szCs w:val="21"/>
              </w:rPr>
              <w:t xml:space="preserve">6</w:t>
            </w:r>
          </w:p>
        </w:tc>
        <w:tc>
          <w:tcPr>
            <w:tcW w:type="dxa" w:w="5200"/>
            <w:vAlign w:val="center"/>
          </w:tcPr>
          <w:p>
            <w:r>
              <w:rPr>
                <w:rFonts w:ascii="Calibri" w:cs="Calibri" w:eastAsia="Calibri" w:hAnsi="Calibri"/>
                <w:b w:val="false"/>
                <w:bCs w:val="false"/>
                <w:color w:val="000000"/>
                <w:sz w:val="21"/>
                <w:szCs w:val="21"/>
              </w:rPr>
              <w:t xml:space="preserve">Testing &amp; Validation</w:t>
            </w:r>
          </w:p>
        </w:tc>
        <w:tc>
          <w:tcPr>
            <w:tcW w:type="dxa" w:w="3600"/>
            <w:vAlign w:val="center"/>
          </w:tcPr>
          <w:p>
            <w:r>
              <w:rPr>
                <w:rFonts w:ascii="Calibri" w:cs="Calibri" w:eastAsia="Calibri" w:hAnsi="Calibri"/>
                <w:b w:val="false"/>
                <w:bCs w:val="false"/>
                <w:color w:val="000000"/>
                <w:sz w:val="21"/>
                <w:szCs w:val="21"/>
              </w:rPr>
              <w:t xml:space="preserve">End-to-end test run, demo recording, and update set export</w:t>
            </w:r>
          </w:p>
        </w:tc>
      </w:tr>
    </w:tbl>
    <w:p>
      <w:pPr>
        <w:pStyle w:val="Heading1"/>
        <w:spacing w:after="150" w:before="300"/>
      </w:pPr>
      <w:r>
        <w:t xml:space="preserve">7. System Design</w:t>
      </w:r>
    </w:p>
    <w:p>
      <w:pPr>
        <w:pStyle w:val="Heading2"/>
        <w:spacing w:after="120" w:before="240"/>
      </w:pPr>
      <w:r>
        <w:t xml:space="preserve">7.1 Data Architecture</w:t>
      </w:r>
    </w:p>
    <w:p>
      <w:pPr>
        <w:spacing w:after="160"/>
      </w:pPr>
      <w:r>
        <w:rPr>
          <w:rFonts w:ascii="Calibri" w:cs="Calibri" w:eastAsia="Calibri" w:hAnsi="Calibri"/>
          <w:sz w:val="22"/>
          <w:szCs w:val="22"/>
        </w:rPr>
        <w:t xml:space="preserve">Four custom fields are added to the Incident [incident] table to support SLA governance: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800"/>
      </w:tblGrid>
      <w:tr>
        <w:trPr>
          <w:tblHeader/>
        </w:trPr>
        <w:tc>
          <w:tcPr>
            <w:tcW w:type="dxa" w:w="3000"/>
            <w:shd w:fill="1F2937" w:val="clear"/>
            <w:vAlign w:val="center"/>
          </w:tcPr>
          <w:p>
            <w:r>
              <w:rPr>
                <w:rFonts w:ascii="Calibri" w:cs="Calibri" w:eastAsia="Calibri" w:hAnsi="Calibri"/>
                <w:b/>
                <w:bCs/>
                <w:color w:val="FFFFFF"/>
                <w:sz w:val="21"/>
                <w:szCs w:val="21"/>
              </w:rPr>
              <w:t xml:space="preserve">Field Name</w:t>
            </w:r>
          </w:p>
        </w:tc>
        <w:tc>
          <w:tcPr>
            <w:tcW w:type="dxa" w:w="2200"/>
            <w:shd w:fill="1F2937" w:val="clear"/>
            <w:vAlign w:val="center"/>
          </w:tcPr>
          <w:p>
            <w:r>
              <w:rPr>
                <w:rFonts w:ascii="Calibri" w:cs="Calibri" w:eastAsia="Calibri" w:hAnsi="Calibri"/>
                <w:b/>
                <w:bCs/>
                <w:color w:val="FFFFFF"/>
                <w:sz w:val="21"/>
                <w:szCs w:val="21"/>
              </w:rPr>
              <w:t xml:space="preserve">Type</w:t>
            </w:r>
          </w:p>
        </w:tc>
        <w:tc>
          <w:tcPr>
            <w:tcW w:type="dxa" w:w="4800"/>
            <w:shd w:fill="1F2937" w:val="clear"/>
            <w:vAlign w:val="center"/>
          </w:tcPr>
          <w:p>
            <w:r>
              <w:rPr>
                <w:rFonts w:ascii="Calibri" w:cs="Calibri" w:eastAsia="Calibri" w:hAnsi="Calibri"/>
                <w:b/>
                <w:bCs/>
                <w:color w:val="FFFFFF"/>
                <w:sz w:val="21"/>
                <w:szCs w:val="21"/>
              </w:rPr>
              <w:t xml:space="preserve">Purpose</w:t>
            </w:r>
          </w:p>
        </w:tc>
      </w:tr>
      <w:tr>
        <w:tc>
          <w:tcPr>
            <w:tcW w:type="dxa" w:w="3000"/>
            <w:vAlign w:val="center"/>
          </w:tcPr>
          <w:p>
            <w:r>
              <w:rPr>
                <w:rFonts w:ascii="Calibri" w:cs="Calibri" w:eastAsia="Calibri" w:hAnsi="Calibri"/>
                <w:b w:val="false"/>
                <w:bCs w:val="false"/>
                <w:color w:val="000000"/>
                <w:sz w:val="21"/>
                <w:szCs w:val="21"/>
              </w:rPr>
              <w:t xml:space="preserve">u_sla_at_risk</w:t>
            </w:r>
          </w:p>
        </w:tc>
        <w:tc>
          <w:tcPr>
            <w:tcW w:type="dxa" w:w="2200"/>
            <w:vAlign w:val="center"/>
          </w:tcPr>
          <w:p>
            <w:r>
              <w:rPr>
                <w:rFonts w:ascii="Calibri" w:cs="Calibri" w:eastAsia="Calibri" w:hAnsi="Calibri"/>
                <w:b w:val="false"/>
                <w:bCs w:val="false"/>
                <w:color w:val="000000"/>
                <w:sz w:val="21"/>
                <w:szCs w:val="21"/>
              </w:rPr>
              <w:t xml:space="preserve">True/False</w:t>
            </w:r>
          </w:p>
        </w:tc>
        <w:tc>
          <w:tcPr>
            <w:tcW w:type="dxa" w:w="4800"/>
            <w:vAlign w:val="center"/>
          </w:tcPr>
          <w:p>
            <w:r>
              <w:rPr>
                <w:rFonts w:ascii="Calibri" w:cs="Calibri" w:eastAsia="Calibri" w:hAnsi="Calibri"/>
                <w:b w:val="false"/>
                <w:bCs w:val="false"/>
                <w:color w:val="000000"/>
                <w:sz w:val="21"/>
                <w:szCs w:val="21"/>
              </w:rPr>
              <w:t xml:space="preserve">Internal flag set when SLA business percentage crosses the risk threshold</w:t>
            </w:r>
          </w:p>
        </w:tc>
      </w:tr>
      <w:tr>
        <w:tc>
          <w:tcPr>
            <w:tcW w:type="dxa" w:w="3000"/>
            <w:vAlign w:val="center"/>
          </w:tcPr>
          <w:p>
            <w:r>
              <w:rPr>
                <w:rFonts w:ascii="Calibri" w:cs="Calibri" w:eastAsia="Calibri" w:hAnsi="Calibri"/>
                <w:b w:val="false"/>
                <w:bCs w:val="false"/>
                <w:color w:val="000000"/>
                <w:sz w:val="21"/>
                <w:szCs w:val="21"/>
              </w:rPr>
              <w:t xml:space="preserve">u_sla_breach_reason</w:t>
            </w:r>
          </w:p>
        </w:tc>
        <w:tc>
          <w:tcPr>
            <w:tcW w:type="dxa" w:w="2200"/>
            <w:vAlign w:val="center"/>
          </w:tcPr>
          <w:p>
            <w:r>
              <w:rPr>
                <w:rFonts w:ascii="Calibri" w:cs="Calibri" w:eastAsia="Calibri" w:hAnsi="Calibri"/>
                <w:b w:val="false"/>
                <w:bCs w:val="false"/>
                <w:color w:val="000000"/>
                <w:sz w:val="21"/>
                <w:szCs w:val="21"/>
              </w:rPr>
              <w:t xml:space="preserve">Choice</w:t>
            </w:r>
          </w:p>
        </w:tc>
        <w:tc>
          <w:tcPr>
            <w:tcW w:type="dxa" w:w="4800"/>
            <w:vAlign w:val="center"/>
          </w:tcPr>
          <w:p>
            <w:r>
              <w:rPr>
                <w:rFonts w:ascii="Calibri" w:cs="Calibri" w:eastAsia="Calibri" w:hAnsi="Calibri"/>
                <w:b w:val="false"/>
                <w:bCs w:val="false"/>
                <w:color w:val="000000"/>
                <w:sz w:val="21"/>
                <w:szCs w:val="21"/>
              </w:rPr>
              <w:t xml:space="preserve">Category of breach (e.g., Resource Unavailable, Delay in Approval, Technical Issue, Other)</w:t>
            </w:r>
          </w:p>
        </w:tc>
      </w:tr>
      <w:tr>
        <w:tc>
          <w:tcPr>
            <w:tcW w:type="dxa" w:w="3000"/>
            <w:vAlign w:val="center"/>
          </w:tcPr>
          <w:p>
            <w:r>
              <w:rPr>
                <w:rFonts w:ascii="Calibri" w:cs="Calibri" w:eastAsia="Calibri" w:hAnsi="Calibri"/>
                <w:b w:val="false"/>
                <w:bCs w:val="false"/>
                <w:color w:val="000000"/>
                <w:sz w:val="21"/>
                <w:szCs w:val="21"/>
              </w:rPr>
              <w:t xml:space="preserve">u_sla_breach_justification</w:t>
            </w:r>
          </w:p>
        </w:tc>
        <w:tc>
          <w:tcPr>
            <w:tcW w:type="dxa" w:w="2200"/>
            <w:vAlign w:val="center"/>
          </w:tcPr>
          <w:p>
            <w:r>
              <w:rPr>
                <w:rFonts w:ascii="Calibri" w:cs="Calibri" w:eastAsia="Calibri" w:hAnsi="Calibri"/>
                <w:b w:val="false"/>
                <w:bCs w:val="false"/>
                <w:color w:val="000000"/>
                <w:sz w:val="21"/>
                <w:szCs w:val="21"/>
              </w:rPr>
              <w:t xml:space="preserve">String (256)</w:t>
            </w:r>
          </w:p>
        </w:tc>
        <w:tc>
          <w:tcPr>
            <w:tcW w:type="dxa" w:w="4800"/>
            <w:vAlign w:val="center"/>
          </w:tcPr>
          <w:p>
            <w:r>
              <w:rPr>
                <w:rFonts w:ascii="Calibri" w:cs="Calibri" w:eastAsia="Calibri" w:hAnsi="Calibri"/>
                <w:b w:val="false"/>
                <w:bCs w:val="false"/>
                <w:color w:val="000000"/>
                <w:sz w:val="21"/>
                <w:szCs w:val="21"/>
              </w:rPr>
              <w:t xml:space="preserve">Free-text explanation provided by the assignee</w:t>
            </w:r>
          </w:p>
        </w:tc>
      </w:tr>
      <w:tr>
        <w:tc>
          <w:tcPr>
            <w:tcW w:type="dxa" w:w="3000"/>
            <w:vAlign w:val="center"/>
          </w:tcPr>
          <w:p>
            <w:r>
              <w:rPr>
                <w:rFonts w:ascii="Calibri" w:cs="Calibri" w:eastAsia="Calibri" w:hAnsi="Calibri"/>
                <w:b w:val="false"/>
                <w:bCs w:val="false"/>
                <w:color w:val="000000"/>
                <w:sz w:val="21"/>
                <w:szCs w:val="21"/>
              </w:rPr>
              <w:t xml:space="preserve">u_sla_acknowledged</w:t>
            </w:r>
          </w:p>
        </w:tc>
        <w:tc>
          <w:tcPr>
            <w:tcW w:type="dxa" w:w="2200"/>
            <w:vAlign w:val="center"/>
          </w:tcPr>
          <w:p>
            <w:r>
              <w:rPr>
                <w:rFonts w:ascii="Calibri" w:cs="Calibri" w:eastAsia="Calibri" w:hAnsi="Calibri"/>
                <w:b w:val="false"/>
                <w:bCs w:val="false"/>
                <w:color w:val="000000"/>
                <w:sz w:val="21"/>
                <w:szCs w:val="21"/>
              </w:rPr>
              <w:t xml:space="preserve">True/False</w:t>
            </w:r>
          </w:p>
        </w:tc>
        <w:tc>
          <w:tcPr>
            <w:tcW w:type="dxa" w:w="4800"/>
            <w:vAlign w:val="center"/>
          </w:tcPr>
          <w:p>
            <w:r>
              <w:rPr>
                <w:rFonts w:ascii="Calibri" w:cs="Calibri" w:eastAsia="Calibri" w:hAnsi="Calibri"/>
                <w:b w:val="false"/>
                <w:bCs w:val="false"/>
                <w:color w:val="000000"/>
                <w:sz w:val="21"/>
                <w:szCs w:val="21"/>
              </w:rPr>
              <w:t xml:space="preserve">Set to true once the assignee confirms the risk via the Virtual Agent</w:t>
            </w:r>
          </w:p>
        </w:tc>
      </w:tr>
    </w:tbl>
    <w:p>
      <w:pPr>
        <w:pStyle w:val="Heading2"/>
        <w:spacing w:after="120" w:before="240"/>
      </w:pPr>
      <w:r>
        <w:t xml:space="preserve">7.2 Automation Logic</w:t>
      </w:r>
    </w:p>
    <w:p>
      <w:pPr>
        <w:spacing w:after="160"/>
      </w:pPr>
      <w:r>
        <w:rPr>
          <w:rFonts w:ascii="Calibri" w:cs="Calibri" w:eastAsia="Calibri" w:hAnsi="Calibri"/>
          <w:sz w:val="22"/>
          <w:szCs w:val="22"/>
        </w:rPr>
        <w:t xml:space="preserve">A Business Rule on the Task SLA [task_sla] table runs after update, checking whether business_percentage has crossed 80% and has_breached is false. When true, it updates the related Incident record, setting u_sla_at_risk to true. This single flag then drives both the Flow Designer notification and the UI Policy, keeping the logic centralized and easy to maintain.</w:t>
      </w:r>
    </w:p>
    <w:p>
      <w:pPr>
        <w:pStyle w:val="Heading2"/>
        <w:spacing w:after="120" w:before="240"/>
      </w:pPr>
      <w:r>
        <w:t xml:space="preserve">7.3 Notification Design</w:t>
      </w:r>
    </w:p>
    <w:p>
      <w:pPr>
        <w:spacing w:after="160"/>
      </w:pPr>
      <w:r>
        <w:rPr>
          <w:rFonts w:ascii="Calibri" w:cs="Calibri" w:eastAsia="Calibri" w:hAnsi="Calibri"/>
          <w:sz w:val="22"/>
          <w:szCs w:val="22"/>
        </w:rPr>
        <w:t xml:space="preserve">A Flow Designer flow, triggered on Incident record update where u_sla_at_risk changes to true, sends an email notification to the assigned_to user. The email includes the incident number, short description, current SLA percentage, and a direct link to the record, prompting immediate attention.</w:t>
      </w:r>
    </w:p>
    <w:p>
      <w:pPr>
        <w:pStyle w:val="Heading2"/>
        <w:spacing w:after="120" w:before="240"/>
      </w:pPr>
      <w:r>
        <w:t xml:space="preserve">7.4 UI Policy Design</w:t>
      </w:r>
    </w:p>
    <w:p>
      <w:pPr>
        <w:spacing w:after="160"/>
      </w:pPr>
      <w:r>
        <w:rPr>
          <w:rFonts w:ascii="Calibri" w:cs="Calibri" w:eastAsia="Calibri" w:hAnsi="Calibri"/>
          <w:sz w:val="22"/>
          <w:szCs w:val="22"/>
        </w:rPr>
        <w:t xml:space="preserve">A UI Policy on the Incident form, active when u_sla_at_risk is true, makes the three SLA governance fields (breach reason, justification, acknowledged) both visible and mandatory. This ensures the fields do not clutter the form for incidents that are not at risk, while enforcing complete data capture exactly when it matters.</w:t>
      </w:r>
    </w:p>
    <w:p>
      <w:pPr>
        <w:pStyle w:val="Heading2"/>
        <w:spacing w:after="120" w:before="240"/>
      </w:pPr>
      <w:r>
        <w:t xml:space="preserve">7.5 Virtual Agent Conversation Design</w:t>
      </w:r>
    </w:p>
    <w:p>
      <w:pPr>
        <w:spacing w:after="160"/>
      </w:pPr>
      <w:r>
        <w:rPr>
          <w:rFonts w:ascii="Calibri" w:cs="Calibri" w:eastAsia="Calibri" w:hAnsi="Calibri"/>
          <w:sz w:val="22"/>
          <w:szCs w:val="22"/>
        </w:rPr>
        <w:t xml:space="preserve">The Virtual Agent topic, 'SLA Breach Awareness &amp; Justification', follows a five-step conversational flow:</w:t>
      </w:r>
    </w:p>
    <w:p>
      <w:pPr>
        <w:pStyle w:val="ListParagraph"/>
        <w:numPr>
          <w:ilvl w:val="0"/>
          <w:numId w:val="1"/>
        </w:numPr>
        <w:spacing w:after="100"/>
      </w:pPr>
      <w:r>
        <w:t xml:space="preserve">Step 1 — Trigger: The topic activates when a user opens the relevant conversation from the Service Portal chat widget, or is proactively surfaced when an incident owned by the user is flagged at risk.</w:t>
      </w:r>
    </w:p>
    <w:p>
      <w:pPr>
        <w:pStyle w:val="ListParagraph"/>
        <w:numPr>
          <w:ilvl w:val="0"/>
          <w:numId w:val="1"/>
        </w:numPr>
        <w:spacing w:after="100"/>
      </w:pPr>
      <w:r>
        <w:t xml:space="preserve">Step 2 — Awareness Message: The bot informs the user that a specific incident is approaching or has breached its SLA, referencing the incident number.</w:t>
      </w:r>
    </w:p>
    <w:p>
      <w:pPr>
        <w:pStyle w:val="ListParagraph"/>
        <w:numPr>
          <w:ilvl w:val="0"/>
          <w:numId w:val="1"/>
        </w:numPr>
        <w:spacing w:after="100"/>
      </w:pPr>
      <w:r>
        <w:t xml:space="preserve">Step 3 — Guidance Message: The bot explains the required corrective action — acknowledging the risk and providing a breach reason and justification.</w:t>
      </w:r>
    </w:p>
    <w:p>
      <w:pPr>
        <w:pStyle w:val="ListParagraph"/>
        <w:numPr>
          <w:ilvl w:val="0"/>
          <w:numId w:val="1"/>
        </w:numPr>
        <w:spacing w:after="100"/>
      </w:pPr>
      <w:r>
        <w:t xml:space="preserve">Step 4 — Decision Block: The bot asks the user to confirm acknowledgement (Yes/No).</w:t>
      </w:r>
    </w:p>
    <w:p>
      <w:pPr>
        <w:pStyle w:val="ListParagraph"/>
        <w:numPr>
          <w:ilvl w:val="0"/>
          <w:numId w:val="1"/>
        </w:numPr>
        <w:spacing w:after="100"/>
      </w:pPr>
      <w:r>
        <w:t xml:space="preserve">Step 5 — Action: On 'Yes', a script step sets u_sla_acknowledged to true on the incident record and the bot directs the user to complete the remaining fields on the incident form; on 'No', the bot re-prompts, explaining that acknowledgement is mandatory for governance compliance.</w:t>
      </w:r>
    </w:p>
    <w:p>
      <w:pPr>
        <w:pStyle w:val="Heading2"/>
        <w:spacing w:after="120" w:before="240"/>
      </w:pPr>
      <w:r>
        <w:t xml:space="preserve">7.6 Access Control Design</w:t>
      </w:r>
    </w:p>
    <w:p>
      <w:pPr>
        <w:spacing w:after="160"/>
      </w:pPr>
      <w:r>
        <w:rPr>
          <w:rFonts w:ascii="Calibri" w:cs="Calibri" w:eastAsia="Calibri" w:hAnsi="Calibri"/>
          <w:sz w:val="22"/>
          <w:szCs w:val="22"/>
        </w:rPr>
        <w:t xml:space="preserve">Access Control Lists (ACLs) are configured on the three SLA governance fields such that the itil role (assignee) has both read and write access, while the manager role is restricted to read-only. This prevents unauthorized parties from altering breach justifications after they are submitted, preserving the integrity of the audit trail.</w:t>
      </w:r>
    </w:p>
    <w:p>
      <w:pPr>
        <w:pStyle w:val="Heading2"/>
        <w:spacing w:after="120" w:before="240"/>
      </w:pPr>
      <w:r>
        <w:t xml:space="preserve">7.7 Reporting &amp; Dashboard Design</w:t>
      </w:r>
    </w:p>
    <w:p>
      <w:pPr>
        <w:spacing w:after="160"/>
      </w:pPr>
      <w:r>
        <w:rPr>
          <w:rFonts w:ascii="Calibri" w:cs="Calibri" w:eastAsia="Calibri" w:hAnsi="Calibri"/>
          <w:sz w:val="22"/>
          <w:szCs w:val="22"/>
        </w:rPr>
        <w:t xml:space="preserve">Three reports are built directly from the Incident table:</w:t>
      </w:r>
    </w:p>
    <w:p>
      <w:pPr>
        <w:pStyle w:val="ListParagraph"/>
        <w:numPr>
          <w:ilvl w:val="0"/>
          <w:numId w:val="1"/>
        </w:numPr>
        <w:spacing w:after="100"/>
      </w:pPr>
      <w:r>
        <w:t xml:space="preserve">SLA Breach Reasons — a bar chart grouping incidents by u_sla_breach_reason, showing the most common causes of breach.</w:t>
      </w:r>
    </w:p>
    <w:p>
      <w:pPr>
        <w:pStyle w:val="ListParagraph"/>
        <w:numPr>
          <w:ilvl w:val="0"/>
          <w:numId w:val="1"/>
        </w:numPr>
        <w:spacing w:after="100"/>
      </w:pPr>
      <w:r>
        <w:t xml:space="preserve">Acknowledgement Status — a pie chart showing the proportion of at-risk incidents that have been acknowledged versus not yet acknowledged.</w:t>
      </w:r>
    </w:p>
    <w:p>
      <w:pPr>
        <w:pStyle w:val="ListParagraph"/>
        <w:numPr>
          <w:ilvl w:val="0"/>
          <w:numId w:val="1"/>
        </w:numPr>
        <w:spacing w:after="100"/>
      </w:pPr>
      <w:r>
        <w:t xml:space="preserve">Assignee Performance — a bar chart grouping at-risk/breached incidents by assigned_to, highlighting individual accountability trends.</w:t>
      </w:r>
    </w:p>
    <w:p>
      <w:pPr>
        <w:spacing w:after="160"/>
      </w:pPr>
      <w:r>
        <w:rPr>
          <w:rFonts w:ascii="Calibri" w:cs="Calibri" w:eastAsia="Calibri" w:hAnsi="Calibri"/>
          <w:sz w:val="22"/>
          <w:szCs w:val="22"/>
        </w:rPr>
        <w:t xml:space="preserve">These three reports are combined into a single 'SLA Governance &amp; Accountability Dashboard', accessible to managers and administrators, giving leadership a real-time, consolidated view of SLA health across the team.</w:t>
      </w:r>
    </w:p>
    <w:p>
      <w:pPr>
        <w:pStyle w:val="Heading1"/>
        <w:spacing w:after="150" w:before="300"/>
      </w:pPr>
      <w:r>
        <w:t xml:space="preserve">8. Testing &amp; Validation Plan</w:t>
      </w:r>
    </w:p>
    <w:p>
      <w:pPr>
        <w:spacing w:after="160"/>
      </w:pPr>
      <w:r>
        <w:rPr>
          <w:rFonts w:ascii="Calibri" w:cs="Calibri" w:eastAsia="Calibri" w:hAnsi="Calibri"/>
          <w:sz w:val="22"/>
          <w:szCs w:val="22"/>
        </w:rPr>
        <w:t xml:space="preserve">The following end-to-end scenario is used to validate the complete system and forms the basis of the demo recording:</w:t>
      </w:r>
    </w:p>
    <w:p>
      <w:pPr>
        <w:pStyle w:val="ListParagraph"/>
        <w:numPr>
          <w:ilvl w:val="0"/>
          <w:numId w:val="3"/>
        </w:numPr>
        <w:spacing w:after="100"/>
      </w:pPr>
      <w:r>
        <w:t xml:space="preserve">Log in to the ServiceNow instance using a valid ITIL user account.</w:t>
      </w:r>
    </w:p>
    <w:p>
      <w:pPr>
        <w:pStyle w:val="ListParagraph"/>
        <w:numPr>
          <w:ilvl w:val="0"/>
          <w:numId w:val="3"/>
        </w:numPr>
        <w:spacing w:after="100"/>
      </w:pPr>
      <w:r>
        <w:t xml:space="preserve">Create a new Incident and assign it to a user or assignment group.</w:t>
      </w:r>
    </w:p>
    <w:p>
      <w:pPr>
        <w:pStyle w:val="ListParagraph"/>
        <w:numPr>
          <w:ilvl w:val="0"/>
          <w:numId w:val="3"/>
        </w:numPr>
        <w:spacing w:after="100"/>
      </w:pPr>
      <w:r>
        <w:t xml:space="preserve">Verify that the Incident Resolution SLA automatically attaches and begins running.</w:t>
      </w:r>
    </w:p>
    <w:p>
      <w:pPr>
        <w:pStyle w:val="ListParagraph"/>
        <w:numPr>
          <w:ilvl w:val="0"/>
          <w:numId w:val="3"/>
        </w:numPr>
        <w:spacing w:after="100"/>
      </w:pPr>
      <w:r>
        <w:t xml:space="preserve">Allow (or simulate) the SLA to progress until the business percentage crosses the configured risk threshold.</w:t>
      </w:r>
    </w:p>
    <w:p>
      <w:pPr>
        <w:pStyle w:val="ListParagraph"/>
        <w:numPr>
          <w:ilvl w:val="0"/>
          <w:numId w:val="3"/>
        </w:numPr>
        <w:spacing w:after="100"/>
      </w:pPr>
      <w:r>
        <w:t xml:space="preserve">Confirm the incident is automatically flagged as 'SLA At Risk'.</w:t>
      </w:r>
    </w:p>
    <w:p>
      <w:pPr>
        <w:pStyle w:val="ListParagraph"/>
        <w:numPr>
          <w:ilvl w:val="0"/>
          <w:numId w:val="3"/>
        </w:numPr>
        <w:spacing w:after="100"/>
      </w:pPr>
      <w:r>
        <w:t xml:space="preserve">Confirm the Flow Designer flow sends an SLA warning email notification to the assigned user.</w:t>
      </w:r>
    </w:p>
    <w:p>
      <w:pPr>
        <w:pStyle w:val="ListParagraph"/>
        <w:numPr>
          <w:ilvl w:val="0"/>
          <w:numId w:val="3"/>
        </w:numPr>
        <w:spacing w:after="100"/>
      </w:pPr>
      <w:r>
        <w:t xml:space="preserve">Confirm the UI Policy makes the breach reason, justification, and acknowledgement fields mandatory on the form.</w:t>
      </w:r>
    </w:p>
    <w:p>
      <w:pPr>
        <w:pStyle w:val="ListParagraph"/>
        <w:numPr>
          <w:ilvl w:val="0"/>
          <w:numId w:val="3"/>
        </w:numPr>
        <w:spacing w:after="100"/>
      </w:pPr>
      <w:r>
        <w:t xml:space="preserve">Open the Service Portal and launch the Virtual Agent chatbot.</w:t>
      </w:r>
    </w:p>
    <w:p>
      <w:pPr>
        <w:pStyle w:val="ListParagraph"/>
        <w:numPr>
          <w:ilvl w:val="0"/>
          <w:numId w:val="3"/>
        </w:numPr>
        <w:spacing w:after="100"/>
      </w:pPr>
      <w:r>
        <w:t xml:space="preserve">Select or trigger the 'SLA Breach Awareness &amp; Justification' topic and complete the conversation, acknowledging the risk.</w:t>
      </w:r>
    </w:p>
    <w:p>
      <w:pPr>
        <w:pStyle w:val="ListParagraph"/>
        <w:numPr>
          <w:ilvl w:val="0"/>
          <w:numId w:val="3"/>
        </w:numPr>
        <w:spacing w:after="100"/>
      </w:pPr>
      <w:r>
        <w:t xml:space="preserve">Confirm u_sla_acknowledged is set to true on the incident record.</w:t>
      </w:r>
    </w:p>
    <w:p>
      <w:pPr>
        <w:pStyle w:val="ListParagraph"/>
        <w:numPr>
          <w:ilvl w:val="0"/>
          <w:numId w:val="3"/>
        </w:numPr>
        <w:spacing w:after="100"/>
      </w:pPr>
      <w:r>
        <w:t xml:space="preserve">As the assignee, complete the breach reason and justification fields on the incident form.</w:t>
      </w:r>
    </w:p>
    <w:p>
      <w:pPr>
        <w:pStyle w:val="ListParagraph"/>
        <w:numPr>
          <w:ilvl w:val="0"/>
          <w:numId w:val="3"/>
        </w:numPr>
        <w:spacing w:after="100"/>
      </w:pPr>
      <w:r>
        <w:t xml:space="preserve">Log in as a manager-role user and confirm read-only access to the SLA governance fields.</w:t>
      </w:r>
    </w:p>
    <w:p>
      <w:pPr>
        <w:pStyle w:val="ListParagraph"/>
        <w:numPr>
          <w:ilvl w:val="0"/>
          <w:numId w:val="3"/>
        </w:numPr>
        <w:spacing w:after="100"/>
      </w:pPr>
      <w:r>
        <w:t xml:space="preserve">Open the SLA Governance &amp; Accountability Dashboard and confirm the new record is reflected in all three reports.</w:t>
      </w:r>
    </w:p>
    <w:p>
      <w:pPr>
        <w:pStyle w:val="Heading1"/>
        <w:spacing w:after="150" w:before="300"/>
      </w:pPr>
      <w:r>
        <w:t xml:space="preserve">9. Conclusion</w:t>
      </w:r>
    </w:p>
    <w:p>
      <w:pPr>
        <w:spacing w:after="160"/>
      </w:pPr>
      <w:r>
        <w:rPr>
          <w:rFonts w:ascii="Calibri" w:cs="Calibri" w:eastAsia="Calibri" w:hAnsi="Calibri"/>
          <w:sz w:val="22"/>
          <w:szCs w:val="22"/>
        </w:rPr>
        <w:t xml:space="preserve">The Virtual Agent–Driven SLA Breach Awareness &amp; Justification System demonstrates how native ServiceNow capabilities — SLA definitions, Business Rules, Flow Designer, UI Policies, Virtual Agent, ACLs, and Reporting — can be combined into a single, zero-code governance solution. By shifting SLA management from reactive to proactive, adding a conversational acknowledgement layer, and enforcing structured accountability, the system improves both the user experience for agents and the audit-readiness demanded by IT service management best practices. The modular design also means each component (notification, UI Policy, Virtual Agent, reporting) can be extended or reused independently for other governance use cases beyond SLA management.</w:t>
      </w:r>
    </w:p>
    <w:p>
      <w:pPr>
        <w:pStyle w:val="Heading1"/>
        <w:spacing w:after="150" w:before="300"/>
      </w:pPr>
      <w:r>
        <w:t xml:space="preserve">10. Appendix — Skills Demonstrated</w:t>
      </w:r>
    </w:p>
    <w:p>
      <w:pPr>
        <w:pStyle w:val="ListParagraph"/>
        <w:numPr>
          <w:ilvl w:val="0"/>
          <w:numId w:val="1"/>
        </w:numPr>
        <w:spacing w:after="100"/>
      </w:pPr>
      <w:r>
        <w:t xml:space="preserve">ServiceNow Platform Administration (CSA scope)</w:t>
      </w:r>
    </w:p>
    <w:p>
      <w:pPr>
        <w:pStyle w:val="ListParagraph"/>
        <w:numPr>
          <w:ilvl w:val="0"/>
          <w:numId w:val="1"/>
        </w:numPr>
        <w:spacing w:after="100"/>
      </w:pPr>
      <w:r>
        <w:t xml:space="preserve">SLA configuration and Task SLA data model</w:t>
      </w:r>
    </w:p>
    <w:p>
      <w:pPr>
        <w:pStyle w:val="ListParagraph"/>
        <w:numPr>
          <w:ilvl w:val="0"/>
          <w:numId w:val="1"/>
        </w:numPr>
        <w:spacing w:after="100"/>
      </w:pPr>
      <w:r>
        <w:t xml:space="preserve">Flow Designer automation</w:t>
      </w:r>
    </w:p>
    <w:p>
      <w:pPr>
        <w:pStyle w:val="ListParagraph"/>
        <w:numPr>
          <w:ilvl w:val="0"/>
          <w:numId w:val="1"/>
        </w:numPr>
        <w:spacing w:after="100"/>
      </w:pPr>
      <w:r>
        <w:t xml:space="preserve">UI Policies and Data Policies</w:t>
      </w:r>
    </w:p>
    <w:p>
      <w:pPr>
        <w:pStyle w:val="ListParagraph"/>
        <w:numPr>
          <w:ilvl w:val="0"/>
          <w:numId w:val="1"/>
        </w:numPr>
        <w:spacing w:after="100"/>
      </w:pPr>
      <w:r>
        <w:t xml:space="preserve">Notification design</w:t>
      </w:r>
    </w:p>
    <w:p>
      <w:pPr>
        <w:pStyle w:val="ListParagraph"/>
        <w:numPr>
          <w:ilvl w:val="0"/>
          <w:numId w:val="1"/>
        </w:numPr>
        <w:spacing w:after="100"/>
      </w:pPr>
      <w:r>
        <w:t xml:space="preserve">Virtual Agent Designer (conversational design)</w:t>
      </w:r>
    </w:p>
    <w:p>
      <w:pPr>
        <w:pStyle w:val="ListParagraph"/>
        <w:numPr>
          <w:ilvl w:val="0"/>
          <w:numId w:val="1"/>
        </w:numPr>
        <w:spacing w:after="100"/>
      </w:pPr>
      <w:r>
        <w:t xml:space="preserve">Role-based Access Control (ACLs)</w:t>
      </w:r>
    </w:p>
    <w:p>
      <w:pPr>
        <w:pStyle w:val="ListParagraph"/>
        <w:numPr>
          <w:ilvl w:val="0"/>
          <w:numId w:val="1"/>
        </w:numPr>
        <w:spacing w:after="100"/>
      </w:pPr>
      <w:r>
        <w:t xml:space="preserve">Reporting and Performance Dashboards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2026-07-03T05:03:47.284Z</dcterms:created>
  <dcterms:modified xsi:type="dcterms:W3CDTF">2026-07-03T05:03:47.284Z</dcterms:modified>
</cp:coreProperties>
</file>

<file path=docProps/custom.xml><?xml version="1.0" encoding="utf-8"?>
<Properties xmlns="http://schemas.openxmlformats.org/officeDocument/2006/custom-properties" xmlns:vt="http://schemas.openxmlformats.org/officeDocument/2006/docPropsVTypes"/>
</file>