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100" w:after="100"/>
        <w:rPr/>
      </w:pPr>
      <w:r>
        <w:rPr/>
        <w:t>Beyond Accuracy: Duplicates, Strong Baselines and Explanation Faithfulness in Transformer-Based Phishing Email Detection</w:t>
      </w:r>
    </w:p>
    <w:p>
      <w:pPr>
        <w:sectPr>
          <w:footerReference w:type="default" r:id="rId2"/>
          <w:footerReference w:type="first" r:id="rId3"/>
          <w:footerReference w:type="even" r:id="rId13"/>
          <w:type w:val="nextPage"/>
          <w:pgSz w:w="11906" w:h="16838"/>
          <w:pgMar w:left="893" w:right="893" w:gutter="0" w:header="0" w:top="540" w:footer="720" w:bottom="1440"/>
          <w:pgNumType w:fmt="decimal"/>
          <w:formProt w:val="false"/>
          <w:titlePg/>
          <w:textDirection w:val="lrTb"/>
          <w:docGrid w:type="default" w:linePitch="360" w:charSpace="0"/>
        </w:sectPr>
      </w:pPr>
    </w:p>
    <w:p>
      <w:pPr>
        <w:pStyle w:val="Author"/>
        <w:spacing w:before="100" w:after="40"/>
        <w:rPr>
          <w:sz w:val="18"/>
          <w:szCs w:val="18"/>
        </w:rPr>
      </w:pPr>
      <w:r>
        <w:rPr>
          <w:sz w:val="18"/>
        </w:rPr>
        <w:t xml:space="preserve">Ammireddy Guru Naga Ajay Reddy</w:t>
      </w:r>
      <w:r>
        <w:rPr>
          <w:sz w:val="18"/>
        </w:rPr>
        <w:br/>
      </w:r>
      <w:r>
        <w:rPr>
          <w:i/>
          <w:sz w:val="18"/>
        </w:rPr>
        <w:t xml:space="preserve">Department of Computer Science and Engineering</w:t>
      </w:r>
      <w:r>
        <w:rPr>
          <w:sz w:val="18"/>
        </w:rPr>
        <w:br/>
      </w:r>
      <w:r>
        <w:rPr>
          <w:i/>
          <w:sz w:val="18"/>
        </w:rPr>
        <w:t xml:space="preserve">Santhiram Engineering College (Autonomous)</w:t>
      </w:r>
      <w:r>
        <w:rPr>
          <w:sz w:val="18"/>
        </w:rPr>
        <w:br/>
      </w:r>
      <w:r>
        <w:rPr>
          <w:sz w:val="18"/>
        </w:rPr>
        <w:t xml:space="preserve">Nandyal, Andhra Pradesh, India</w:t>
      </w:r>
      <w:r>
        <w:rPr>
          <w:sz w:val="18"/>
        </w:rPr>
        <w:br/>
      </w:r>
      <w:r>
        <w:rPr>
          <w:sz w:val="18"/>
        </w:rPr>
        <w:t xml:space="preserve">ajayreddy190805@gmail.com</w:t>
      </w:r>
    </w:p>
    <w:p>
      <w:pPr>
        <w:sectPr>
          <w:type w:val="continuous"/>
          <w:pgSz w:w="11906" w:h="16838"/>
          <w:pgMar w:left="893" w:right="893" w:gutter="0" w:header="0" w:top="540" w:footer="720" w:bottom="1440"/>
          <w:cols w:num="1"/>
          <w:formProt w:val="false"/>
          <w:titlePg/>
          <w:textDirection w:val="lrTb"/>
          <w:docGrid w:type="default" w:linePitch="360" w:charSpace="0"/>
        </w:sectPr>
      </w:pPr>
    </w:p>
    <w:p>
      <w:pPr>
        <w:pStyle w:val="Normal"/>
        <w:numPr>
          <w:ilvl w:val="0"/>
          <w:numId w:val="0"/>
        </w:numPr>
        <w:rPr/>
      </w:pPr>
      <w:r>
        <w:rPr/>
      </w:r>
    </w:p>
    <w:p>
      <w:pPr>
        <w:sectPr>
          <w:type w:val="continuous"/>
          <w:pgSz w:w="11906" w:h="16838"/>
          <w:pgMar w:left="893" w:right="893" w:gutter="0" w:header="0" w:top="540" w:footer="720" w:bottom="1440"/>
          <w:cols w:num="1"/>
          <w:formProt w:val="false"/>
          <w:titlePg/>
          <w:textDirection w:val="lrTb"/>
          <w:docGrid w:type="default" w:linePitch="360" w:charSpace="0"/>
        </w:sectPr>
      </w:pPr>
    </w:p>
    <w:p>
      <w:pPr>
        <w:pStyle w:val="Abstract"/>
        <w:rPr>
          <w:i/>
          <w:i/>
          <w:iCs/>
        </w:rPr>
      </w:pPr>
      <w:r>
        <w:rPr>
          <w:i/>
        </w:rPr>
        <w:t xml:space="preserve">Abstract</w:t>
      </w:r>
      <w:r>
        <w:t xml:space="preserve">—Transformer classifiers report near-perfect accuracy on public phishing-email corpora, but two questions that matter for deployment are not examined in the report we build on: whether the benchmark contains duplicated emails, and whether the word-level explanations shown to users are faithful and consistent. Starting from a recent RoBERTa detector with a hybrid LIME/Transformers-Interpret explanation (LITA), we audit the 18,631-email Kaggle Phishing Email corpus. Duplicate groups cover 8.8% of the emails and 6.9% of a random test split also occurs in training; those overlapping emails reached only 84.5% accuracy, against 98.1–98.6% on unseen ones. After deduplication, DistilRoBERTa and RoBERTa-base (one run) reach 98.7% and 98.9% accuracy, while a bigram TF-IDF linear SVM with fixed hyper-parameters reaches 98.6%; McNemar tests show no significant difference from the linear models (p = 0.25 and 0.43). Using deletion-based faithfulness tests on 100 emails per model, we compare LIME, SHAP, Integrated Gradients (IG) and a LITA-style LIME–IG hybrid. For DistilRoBERTa the fixed α = 0.5 hybrid had the highest comprehensiveness, although the tuned variant was not significantly better than LIME. For RoBERTa-base, IG under our settings scored at or below random order, the hybrid was worse than LIME, and a validation-selected α reduced it to LIME alone. The explainers also disagreed: the Spearman correlation between LIME and IG was 0.38 for DistilRoBERTa and −0.01 for RoBERTa-base. In a single-seed test, homoglyph obfuscation raised the false-positive rate of both transformers roughly threefold. Explanation methods should be validated for each model before analysts rely on them.</w:t>
      </w:r>
    </w:p>
    <w:p>
      <w:pPr>
        <w:pStyle w:val="Keywords"/>
        <w:rPr/>
      </w:pPr>
      <w:r>
        <w:rPr>
          <w:i/>
        </w:rPr>
        <w:t xml:space="preserve">Keywords</w:t>
      </w:r>
      <w:r>
        <w:t xml:space="preserve">—phishing email detection, explainable AI, transformers, LIME, SHAP, Integrated Gradients, faithfulness, duplicate data</w:t>
      </w:r>
    </w:p>
    <w:p>
      <w:pPr>
        <w:pStyle w:val="Heading1"/>
        <w:rPr/>
      </w:pPr>
      <w:r>
        <w:t xml:space="preserve">Introduction</w:t>
      </w:r>
    </w:p>
    <w:p>
      <w:pPr>
        <w:pStyle w:val="BodyText"/>
        <w:rPr/>
      </w:pPr>
      <w:r>
        <w:t xml:space="preserve">Phishing email remains a common route for credential theft and fraud. Transformer-based detectors have been applied to it [1], [2], with accuracy above 98% reported on a public corpus [1], and post-hoc explanations such as LIME and SHAP are increasingly attached to them so that an analyst can see why a message was flagged [1], [3]. Two assumptions behind such reports deserve explicit tests.</w:t>
      </w:r>
    </w:p>
    <w:p>
      <w:pPr>
        <w:pStyle w:val="BodyText"/>
        <w:rPr/>
      </w:pPr>
      <w:r>
        <w:t xml:space="preserve">The first is that the benchmark is clean. Corpora assembled from several sources can contain identical or near-identical emails on both sides of a random split, and duplicated data is known to distort evaluation in other domains [4]–[6]. The second is that the explanation is trustworthy. Explainers differ in how faithfully they reflect the model [7], a claim of faithfulness needs an explicit test [8], and explainers often disagree with each other [9]. Uddin et al. [1] proposed LITA, which averages min-max-normalised LIME and Transformers Interpret scores with α = 0.5, and illustrated it with word-level scores for two emails; no deletion-based or other quantitative faithfulness test was reported there, and its TF-IDF baselines used default unigram features.</w:t>
      </w:r>
    </w:p>
    <w:p>
      <w:pPr>
        <w:pStyle w:val="BodyText"/>
        <w:rPr/>
      </w:pPr>
      <w:r>
        <w:t xml:space="preserve">This paper audits both assumptions on the same corpus and model family. Our contributions are:</w:t>
      </w:r>
    </w:p>
    <w:p>
      <w:pPr>
        <w:pStyle w:val="bulletlist"/>
        <w:numPr>
          <w:ilvl w:val="0"/>
          <w:numId w:val="3"/>
        </w:numPr>
        <w:rPr/>
      </w:pPr>
      <w:r>
        <w:t xml:space="preserve">A duplicate audit of the corpus (exact duplicates after normalisation), with the effect of train–test overlap measured separately on seen and unseen test emails.</w:t>
      </w:r>
    </w:p>
    <w:p>
      <w:pPr>
        <w:pStyle w:val="bulletlist"/>
        <w:numPr>
          <w:ilvl w:val="0"/>
          <w:numId w:val="3"/>
        </w:numPr>
        <w:rPr/>
      </w:pPr>
      <w:r>
        <w:t xml:space="preserve">A baseline check showing that linear TF-IDF models with fixed hyper-parameters are not significantly different from fine-tuned transformers on the deduplicated corpus.</w:t>
      </w:r>
    </w:p>
    <w:p>
      <w:pPr>
        <w:pStyle w:val="bulletlist"/>
        <w:numPr>
          <w:ilvl w:val="0"/>
          <w:numId w:val="3"/>
        </w:numPr>
        <w:rPr/>
      </w:pPr>
      <w:r>
        <w:t xml:space="preserve">A quantitative comparison of LIME, SHAP, Integrated Gradients (IG) and a LITA-style LIME–IG hybrid using deletion-based comprehensiveness and sufficiency [10], with α selected on validation emails, plus measures of agreement between explainers, on two transformers.</w:t>
      </w:r>
    </w:p>
    <w:p>
      <w:pPr>
        <w:pStyle w:val="bulletlist"/>
        <w:numPr>
          <w:ilvl w:val="0"/>
          <w:numId w:val="3"/>
        </w:numPr>
        <w:rPr/>
      </w:pPr>
      <w:r>
        <w:t xml:space="preserve">A robustness test with homoglyph, typo and zero-width perturbations [11].</w:t>
      </w:r>
    </w:p>
    <w:p>
      <w:pPr>
        <w:pStyle w:val="BodyText"/>
        <w:rPr/>
      </w:pPr>
      <w:r>
        <w:t xml:space="preserve">Section II reviews related work, Section III describes the protocol, Section IV reports results, and Sections V and VI discuss implications and limitations.</w:t>
      </w:r>
    </w:p>
    <w:p>
      <w:pPr>
        <w:pStyle w:val="Heading1"/>
        <w:rPr/>
      </w:pPr>
      <w:r>
        <w:t xml:space="preserve">Related Work</w:t>
      </w:r>
    </w:p>
    <w:p>
      <w:pPr>
        <w:pStyle w:val="Heading2"/>
        <w:ind w:hanging="0" w:start="0"/>
        <w:rPr/>
      </w:pPr>
      <w:r>
        <w:t xml:space="preserve">Phishing Email Detection</w:t>
      </w:r>
    </w:p>
    <w:p>
      <w:pPr>
        <w:pStyle w:val="BodyText"/>
        <w:rPr/>
      </w:pPr>
      <w:r>
        <w:t xml:space="preserve">Classical and deep-learning approaches to phishing email detection are surveyed in [12]. Transformer encoders are now common: Jamal et al. [2] fine-tuned BERT-family models for phishing and spam email, Uddin et al. [1] fine-tuned RoBERTa [13] on the Kaggle Phishing Email corpus [14], reporting 98.45% accuracy and comparing against TF-IDF models, and Sajad [3] combined DistilBERT with adversarial training and random character noise and explained it with LIME, SHAP and IG. We study RoBERTa-base [13] and DistilRoBERTa, a RoBERTa model distilled with the procedure of [15].</w:t>
      </w:r>
    </w:p>
    <w:p>
      <w:pPr>
        <w:pStyle w:val="Heading2"/>
        <w:ind w:hanging="0" w:start="0"/>
        <w:rPr/>
      </w:pPr>
      <w:r>
        <w:t xml:space="preserve">Explanations and Their Evaluation</w:t>
      </w:r>
    </w:p>
    <w:p>
      <w:pPr>
        <w:pStyle w:val="BodyText"/>
        <w:rPr/>
      </w:pPr>
      <w:r>
        <w:t xml:space="preserve">LIME [16] fits a local surrogate on perturbed inputs, SHAP [17] assigns Shapley-value attributions, and IG [18] integrates gradients along a path from a baseline input (implemented in Captum [19]); Ancona et al. [20] compare gradient-based attribution methods. Faithfulness is commonly tested by erasure: comprehensiveness measures the drop in the predicted probability when the highlighted words are removed, and sufficiency the drop when only they are kept [10]. Removal-based tests have their own confound, because the erased inputs are off-distribution [21]. Atanasova et al. [7] compared gradient- and perturbation-based explainers on text classifiers, Jacovi and Goldberg [8] discuss what a faithfulness claim requires, Adebayo et al. [22] show that some saliency methods for image classifiers ignore the model, and Krishna et al. [9] document that practitioners meet conflicting explanations in practice.</w:t>
      </w:r>
    </w:p>
    <w:p>
      <w:pPr>
        <w:pStyle w:val="Heading2"/>
        <w:ind w:hanging="0" w:start="0"/>
        <w:rPr/>
      </w:pPr>
      <w:r>
        <w:t xml:space="preserve">Leakage, Duplicates and Robustness</w:t>
      </w:r>
    </w:p>
    <w:p>
      <w:pPr>
        <w:pStyle w:val="BodyText"/>
        <w:rPr/>
      </w:pPr>
      <w:r>
        <w:t xml:space="preserve">Lee et al. [4] show that duplicated training text affects language-model behaviour, Allamanis [6] shows that code duplication inflates the measured performance of code models, Northcutt et al. [23] show that label errors in widely used benchmark test sets can change model rankings, and Kapoor and Narayanan [5] identify leakage as a cause of irreproducible machine-learning results. Boucher et al. [11] show that imperceptible character-level changes, including homoglyphs and zero-width characters, can mislead text classifiers.</w:t>
      </w:r>
    </w:p>
    <w:p>
      <w:pPr>
        <w:pStyle w:val="Heading1"/>
        <w:rPr/>
      </w:pPr>
      <w:r>
        <w:t xml:space="preserve">Methodology</w:t>
      </w:r>
    </w:p>
    <w:p>
      <w:pPr>
        <w:pStyle w:val="BodyText"/>
        <w:keepNext/>
        <w:rPr/>
        <w:ind w:firstLine="0" w:start="0"/>
        <w:spacing w:before="0" w:after="40" w:line="240" w:lineRule="auto"/>
        <w:jc w:val="center"/>
      </w:pPr>
      <w:r>
        <w:drawing>
          <wp:inline xmlns:a="http://schemas.openxmlformats.org/drawingml/2006/main" xmlns:pic="http://schemas.openxmlformats.org/drawingml/2006/picture">
            <wp:extent cx="2331720" cy="2418294"/>
            <wp:docPr id="3" name="Picture 3"/>
            <wp:cNvGraphicFramePr>
              <a:graphicFrameLocks noChangeAspect="1"/>
            </wp:cNvGraphicFramePr>
            <a:graphic>
              <a:graphicData uri="http://schemas.openxmlformats.org/drawingml/2006/picture">
                <pic:pic>
                  <pic:nvPicPr>
                    <pic:cNvPr id="0" name="fig1_pipeline.png"/>
                    <pic:cNvPicPr/>
                  </pic:nvPicPr>
                  <pic:blipFill>
                    <a:blip r:embed="rId8"/>
                    <a:stretch>
                      <a:fillRect/>
                    </a:stretch>
                  </pic:blipFill>
                  <pic:spPr>
                    <a:xfrm>
                      <a:off x="0" y="0"/>
                      <a:ext cx="2331720" cy="2418294"/>
                    </a:xfrm>
                    <a:prstGeom prst="rect"/>
                  </pic:spPr>
                </pic:pic>
              </a:graphicData>
            </a:graphic>
          </wp:inline>
        </w:drawing>
      </w:r>
    </w:p>
    <w:p>
      <w:pPr>
        <w:pStyle w:val="figurecaption"/>
        <w:numPr>
          <w:ilvl w:val="0"/>
          <w:numId w:val="6"/>
        </w:numPr>
        <w:rPr/>
      </w:pPr>
      <w:r>
        <w:t xml:space="preserve">Study pipeline. The LIME–IG hybrid is evaluated against its component explainers on the same emails.</w:t>
      </w:r>
    </w:p>
    <w:p>
      <w:pPr>
        <w:pStyle w:val="Heading2"/>
        <w:ind w:hanging="0" w:start="0"/>
        <w:rPr/>
      </w:pPr>
      <w:r>
        <w:t xml:space="preserve">Data and Duplicate Audit</w:t>
      </w:r>
    </w:p>
    <w:p>
      <w:pPr>
        <w:pStyle w:val="BodyText"/>
        <w:rPr/>
      </w:pPr>
      <w:r>
        <w:t xml:space="preserve">We use the public Kaggle Phishing Email corpus [14], which [1] also uses. It lists 18,650 emails; after removing rows with missing or empty text and stripping HTML tags and extra whitespace, 18,631 remain (7,309 phishing, 11,322 safe). Two emails are treated as exact duplicates if their text is identical after lower-casing and replacing every run of non-alphanumeric characters by one space; near-duplicates were not examined. We evaluate two protocols: </w:t>
      </w:r>
      <w:r>
        <w:rPr>
          <w:i/>
        </w:rPr>
        <w:t xml:space="preserve">raw</w:t>
      </w:r>
      <w:r>
        <w:t xml:space="preserve">, a stratified random split of all emails (seed 42), and </w:t>
      </w:r>
      <w:r>
        <w:rPr>
          <w:i/>
        </w:rPr>
        <w:t xml:space="preserve">dedup</w:t>
      </w:r>
      <w:r>
        <w:t xml:space="preserve">, where only the first copy of each duplicate group is kept (the one group with conflicting labels keeps the label of its first copy; 17,491 emails, 6,518 phishing) and splits are repeated for seeds 42, 43 and 44. Splits are stratified 70/10/20 into training, validation and test; the raw test set has 3,727 emails and each dedup test set 3,499.</w:t>
      </w:r>
    </w:p>
    <w:p>
      <w:pPr>
        <w:pStyle w:val="Heading2"/>
        <w:ind w:hanging="0" w:start="0"/>
        <w:rPr/>
      </w:pPr>
      <w:r>
        <w:t xml:space="preserve">Detectors</w:t>
      </w:r>
    </w:p>
    <w:p>
      <w:pPr>
        <w:pStyle w:val="BodyText"/>
        <w:rPr/>
      </w:pPr>
      <w:r>
        <w:t xml:space="preserve">The TF-IDF baselines use word 1–2-grams (50,000 features, sublinear term frequency, minimum document frequency 2) with logistic regression (LR, C = 10), a linear SVM (C = 1) and a random forest (RF, 300 trees), all class-balanced and implemented with scikit-learn [24]; their hyper-parameters were fixed in advance and not tuned on the validation split. DistilRoBERTa and RoBERTa-base are fine-tuned from the distilroberta-base and roberta-base checkpoints with the Transformers library [25] using AdamW [26] (learning rate 2×10</w:t>
      </w:r>
      <w:r>
        <w:rPr>
          <w:vertAlign w:val="superscript"/>
        </w:rPr>
        <w:t xml:space="preserve">−5</w:t>
      </w:r>
      <w:r>
        <w:t xml:space="preserve">, weight decay 0.01, batch size 32) for three epochs with 10% warm-up and linear decay, mixed precision [27], gradient-norm clipping at 1.0, class-weighted cross-entropy and inputs truncated to the first 256 tokens; the epoch with the best validation F1 is kept. DistilRoBERTa is trained for each of three seeds and RoBERTa-base once (seed 42) because of compute limits. We use no oversampling or text augmentation, unlike [1]. All runs used one NVIDIA T4 GPU (PyTorch 2.11.0, Transformers 5.18.0, scikit-learn 1.6.1, SHAP 0.52.0).</w:t>
      </w:r>
    </w:p>
    <w:p>
      <w:pPr>
        <w:pStyle w:val="Heading2"/>
        <w:ind w:hanging="0" w:start="0"/>
        <w:rPr/>
      </w:pPr>
      <w:r>
        <w:t xml:space="preserve">Explainers and the LIME–IG Hybrid</w:t>
      </w:r>
    </w:p>
    <w:p>
      <w:pPr>
        <w:pStyle w:val="BodyText"/>
        <w:rPr/>
      </w:pPr>
      <w:r>
        <w:t xml:space="preserve">All explainers attribute the predicted-phishing probability to words. LIME [16] uses 500 perturbed samples per email. SHAP [17] uses the Partition explainer with a text masker and at most 300 model evaluations. IG [18] uses Captum’s layer integrated gradients [19] at the embedding layer with 30 steps and a pad-token baseline; attributions are summed over embedding dimensions and over the sub-words of each word. Transformers Interpret [28], used in [1], is also a gradient-based attribution tool; we call IG directly instead of the wrapper, so “IG” stands in for its scores and we call the combination a LITA-style hybrid. The hybrid combines word scores </w:t>
      </w:r>
      <w:r>
        <w:rPr>
          <w:i/>
        </w:rPr>
        <w:t xml:space="preserve">L</w:t>
      </w:r>
      <w:r>
        <w:rPr>
          <w:i/>
          <w:vertAlign w:val="subscript"/>
        </w:rPr>
        <w:t xml:space="preserve">i</w:t>
      </w:r>
      <w:r>
        <w:t xml:space="preserve"> (LIME) and </w:t>
      </w:r>
      <w:r>
        <w:rPr>
          <w:i/>
        </w:rPr>
        <w:t xml:space="preserve">T</w:t>
      </w:r>
      <w:r>
        <w:rPr>
          <w:i/>
          <w:vertAlign w:val="subscript"/>
        </w:rPr>
        <w:t xml:space="preserve">i</w:t>
      </w:r>
      <w:r>
        <w:t xml:space="preserve"> (IG) as</w:t>
      </w:r>
    </w:p>
    <w:p>
      <w:pPr>
        <w:pStyle w:val="equation"/>
        <w:rPr/>
      </w:pPr>
      <w:r>
        <w:tab/>
      </w:r>
      <w:r>
        <w:rPr>
          <w:rFonts w:ascii="Times New Roman" w:hAnsi="Times New Roman" w:cs="Times New Roman" w:eastAsia="Times New Roman"/>
          <w:i/>
        </w:rPr>
        <w:t xml:space="preserve">H</w:t>
      </w:r>
      <w:r>
        <w:rPr>
          <w:rFonts w:ascii="Times New Roman" w:hAnsi="Times New Roman" w:cs="Times New Roman" w:eastAsia="Times New Roman"/>
          <w:i/>
          <w:vertAlign w:val="subscript"/>
        </w:rPr>
        <w:t xml:space="preserve">i</w:t>
      </w:r>
      <w:r>
        <w:rPr>
          <w:rFonts w:ascii="Times New Roman" w:hAnsi="Times New Roman" w:cs="Times New Roman" w:eastAsia="Times New Roman"/>
        </w:rPr>
        <w:t xml:space="preserve"> = </w:t>
      </w:r>
      <w:r>
        <w:rPr>
          <w:rFonts w:ascii="Times New Roman" w:hAnsi="Times New Roman" w:cs="Times New Roman" w:eastAsia="Times New Roman"/>
          <w:i/>
        </w:rPr>
        <w:t xml:space="preserve">α L</w:t>
      </w:r>
      <w:r>
        <w:rPr>
          <w:rFonts w:ascii="Times New Roman" w:hAnsi="Times New Roman" w:cs="Times New Roman" w:eastAsia="Times New Roman"/>
          <w:i/>
          <w:vertAlign w:val="subscript"/>
        </w:rPr>
        <w:t xml:space="preserve">i</w:t>
      </w:r>
      <w:r>
        <w:rPr>
          <w:rFonts w:ascii="Times New Roman" w:hAnsi="Times New Roman" w:cs="Times New Roman" w:eastAsia="Times New Roman"/>
          <w:vertAlign w:val="superscript"/>
        </w:rPr>
        <w:t xml:space="preserve">norm</w:t>
      </w:r>
      <w:r>
        <w:rPr>
          <w:rFonts w:ascii="Times New Roman" w:hAnsi="Times New Roman" w:cs="Times New Roman" w:eastAsia="Times New Roman"/>
        </w:rPr>
        <w:t xml:space="preserve"> + (1 − </w:t>
      </w:r>
      <w:r>
        <w:rPr>
          <w:rFonts w:ascii="Times New Roman" w:hAnsi="Times New Roman" w:cs="Times New Roman" w:eastAsia="Times New Roman"/>
          <w:i/>
        </w:rPr>
        <w:t xml:space="preserve">α</w:t>
      </w:r>
      <w:r>
        <w:rPr>
          <w:rFonts w:ascii="Times New Roman" w:hAnsi="Times New Roman" w:cs="Times New Roman" w:eastAsia="Times New Roman"/>
        </w:rPr>
        <w:t xml:space="preserve">) </w:t>
      </w:r>
      <w:r>
        <w:rPr>
          <w:rFonts w:ascii="Times New Roman" w:hAnsi="Times New Roman" w:cs="Times New Roman" w:eastAsia="Times New Roman"/>
          <w:i/>
        </w:rPr>
        <w:t xml:space="preserve">T</w:t>
      </w:r>
      <w:r>
        <w:rPr>
          <w:rFonts w:ascii="Times New Roman" w:hAnsi="Times New Roman" w:cs="Times New Roman" w:eastAsia="Times New Roman"/>
          <w:i/>
          <w:vertAlign w:val="subscript"/>
        </w:rPr>
        <w:t xml:space="preserve">i</w:t>
      </w:r>
      <w:r>
        <w:rPr>
          <w:rFonts w:ascii="Times New Roman" w:hAnsi="Times New Roman" w:cs="Times New Roman" w:eastAsia="Times New Roman"/>
          <w:vertAlign w:val="superscript"/>
        </w:rPr>
        <w:t xml:space="preserve">norm</w:t>
      </w:r>
      <w:r>
        <w:tab/>
      </w:r>
      <w:r>
        <w:rPr>
          <w:rFonts w:ascii="Times New Roman" w:hAnsi="Times New Roman" w:cs="Times New Roman" w:eastAsia="Times New Roman"/>
        </w:rPr>
        <w:t xml:space="preserve">(1)</w:t>
      </w:r>
    </w:p>
    <w:p>
      <w:pPr>
        <w:pStyle w:val="BodyText"/>
        <w:rPr/>
      </w:pPr>
      <w:r>
        <w:t xml:space="preserve">with </w:t>
      </w:r>
      <w:r>
        <w:rPr>
          <w:i/>
        </w:rPr>
        <w:t xml:space="preserve">α</w:t>
      </w:r>
      <w:r>
        <w:t xml:space="preserve"> ∈ [0, 1]. Reference [1] fixes </w:t>
      </w:r>
      <w:r>
        <w:rPr>
          <w:i/>
        </w:rPr>
        <w:t xml:space="preserve">α</w:t>
      </w:r>
      <w:r>
        <w:t xml:space="preserve"> = 0.5 and normalises each method to [−1, 1] by min-max scaling,</w:t>
      </w:r>
    </w:p>
    <w:p>
      <w:pPr>
        <w:pStyle w:val="equation"/>
        <w:rPr/>
      </w:pPr>
      <w:r>
        <w:tab/>
      </w:r>
      <w:r>
        <w:rPr>
          <w:rFonts w:ascii="Times New Roman" w:hAnsi="Times New Roman" w:cs="Times New Roman" w:eastAsia="Times New Roman"/>
          <w:i/>
        </w:rPr>
        <w:t xml:space="preserve">x</w:t>
      </w:r>
      <w:r>
        <w:rPr>
          <w:rFonts w:ascii="Times New Roman" w:hAnsi="Times New Roman" w:cs="Times New Roman" w:eastAsia="Times New Roman"/>
          <w:i/>
          <w:vertAlign w:val="subscript"/>
        </w:rPr>
        <w:t xml:space="preserve">i</w:t>
      </w:r>
      <w:r>
        <w:rPr>
          <w:rFonts w:ascii="Times New Roman" w:hAnsi="Times New Roman" w:cs="Times New Roman" w:eastAsia="Times New Roman"/>
          <w:vertAlign w:val="superscript"/>
        </w:rPr>
        <w:t xml:space="preserve">mm</w:t>
      </w:r>
      <w:r>
        <w:rPr>
          <w:rFonts w:ascii="Times New Roman" w:hAnsi="Times New Roman" w:cs="Times New Roman" w:eastAsia="Times New Roman"/>
        </w:rPr>
        <w:t xml:space="preserve"> = 2(</w:t>
      </w:r>
      <w:r>
        <w:rPr>
          <w:rFonts w:ascii="Times New Roman" w:hAnsi="Times New Roman" w:cs="Times New Roman" w:eastAsia="Times New Roman"/>
          <w:i/>
        </w:rPr>
        <w:t xml:space="preserve">x</w:t>
      </w:r>
      <w:r>
        <w:rPr>
          <w:rFonts w:ascii="Times New Roman" w:hAnsi="Times New Roman" w:cs="Times New Roman" w:eastAsia="Times New Roman"/>
          <w:i/>
          <w:vertAlign w:val="subscript"/>
        </w:rPr>
        <w:t xml:space="preserve">i</w:t>
      </w:r>
      <w:r>
        <w:rPr>
          <w:rFonts w:ascii="Times New Roman" w:hAnsi="Times New Roman" w:cs="Times New Roman" w:eastAsia="Times New Roman"/>
        </w:rPr>
        <w:t xml:space="preserve"> − </w:t>
      </w:r>
      <w:r>
        <w:rPr>
          <w:rFonts w:ascii="Times New Roman" w:hAnsi="Times New Roman" w:cs="Times New Roman" w:eastAsia="Times New Roman"/>
          <w:i/>
        </w:rPr>
        <w:t xml:space="preserve">x</w:t>
      </w:r>
      <w:r>
        <w:rPr>
          <w:rFonts w:ascii="Times New Roman" w:hAnsi="Times New Roman" w:cs="Times New Roman" w:eastAsia="Times New Roman"/>
          <w:vertAlign w:val="subscript"/>
        </w:rPr>
        <w:t xml:space="preserve">min</w:t>
      </w:r>
      <w:r>
        <w:rPr>
          <w:rFonts w:ascii="Times New Roman" w:hAnsi="Times New Roman" w:cs="Times New Roman" w:eastAsia="Times New Roman"/>
        </w:rPr>
        <w:t xml:space="preserve">)/(</w:t>
      </w:r>
      <w:r>
        <w:rPr>
          <w:rFonts w:ascii="Times New Roman" w:hAnsi="Times New Roman" w:cs="Times New Roman" w:eastAsia="Times New Roman"/>
          <w:i/>
        </w:rPr>
        <w:t xml:space="preserve">x</w:t>
      </w:r>
      <w:r>
        <w:rPr>
          <w:rFonts w:ascii="Times New Roman" w:hAnsi="Times New Roman" w:cs="Times New Roman" w:eastAsia="Times New Roman"/>
          <w:vertAlign w:val="subscript"/>
        </w:rPr>
        <w:t xml:space="preserve">max</w:t>
      </w:r>
      <w:r>
        <w:rPr>
          <w:rFonts w:ascii="Times New Roman" w:hAnsi="Times New Roman" w:cs="Times New Roman" w:eastAsia="Times New Roman"/>
        </w:rPr>
        <w:t xml:space="preserve"> − </w:t>
      </w:r>
      <w:r>
        <w:rPr>
          <w:rFonts w:ascii="Times New Roman" w:hAnsi="Times New Roman" w:cs="Times New Roman" w:eastAsia="Times New Roman"/>
          <w:i/>
        </w:rPr>
        <w:t xml:space="preserve">x</w:t>
      </w:r>
      <w:r>
        <w:rPr>
          <w:rFonts w:ascii="Times New Roman" w:hAnsi="Times New Roman" w:cs="Times New Roman" w:eastAsia="Times New Roman"/>
          <w:vertAlign w:val="subscript"/>
        </w:rPr>
        <w:t xml:space="preserve">min</w:t>
      </w:r>
      <w:r>
        <w:rPr>
          <w:rFonts w:ascii="Times New Roman" w:hAnsi="Times New Roman" w:cs="Times New Roman" w:eastAsia="Times New Roman"/>
        </w:rPr>
        <w:t xml:space="preserve">) − 1</w:t>
      </w:r>
      <w:r>
        <w:tab/>
      </w:r>
      <w:r>
        <w:rPr>
          <w:rFonts w:ascii="Times New Roman" w:hAnsi="Times New Roman" w:cs="Times New Roman" w:eastAsia="Times New Roman"/>
        </w:rPr>
        <w:t xml:space="preserve">(2)</w:t>
      </w:r>
    </w:p>
    <w:p>
      <w:pPr>
        <w:pStyle w:val="BodyText"/>
        <w:rPr/>
      </w:pPr>
      <w:r>
        <w:t xml:space="preserve">which shifts a zero (neutral) score to a non-zero value. We also test a sign-preserving alternative,</w:t>
      </w:r>
    </w:p>
    <w:p>
      <w:pPr>
        <w:pStyle w:val="equation"/>
        <w:rPr/>
      </w:pPr>
      <w:r>
        <w:tab/>
      </w:r>
      <w:r>
        <w:rPr>
          <w:rFonts w:ascii="Times New Roman" w:hAnsi="Times New Roman" w:cs="Times New Roman" w:eastAsia="Times New Roman"/>
          <w:i/>
        </w:rPr>
        <w:t xml:space="preserve">x</w:t>
      </w:r>
      <w:r>
        <w:rPr>
          <w:rFonts w:ascii="Times New Roman" w:hAnsi="Times New Roman" w:cs="Times New Roman" w:eastAsia="Times New Roman"/>
          <w:i/>
          <w:vertAlign w:val="subscript"/>
        </w:rPr>
        <w:t xml:space="preserve">i</w:t>
      </w:r>
      <w:r>
        <w:rPr>
          <w:rFonts w:ascii="Times New Roman" w:hAnsi="Times New Roman" w:cs="Times New Roman" w:eastAsia="Times New Roman"/>
          <w:vertAlign w:val="superscript"/>
        </w:rPr>
        <w:t xml:space="preserve">am</w:t>
      </w:r>
      <w:r>
        <w:rPr>
          <w:rFonts w:ascii="Times New Roman" w:hAnsi="Times New Roman" w:cs="Times New Roman" w:eastAsia="Times New Roman"/>
        </w:rPr>
        <w:t xml:space="preserve"> = </w:t>
      </w:r>
      <w:r>
        <w:rPr>
          <w:rFonts w:ascii="Times New Roman" w:hAnsi="Times New Roman" w:cs="Times New Roman" w:eastAsia="Times New Roman"/>
          <w:i/>
        </w:rPr>
        <w:t xml:space="preserve">x</w:t>
      </w:r>
      <w:r>
        <w:rPr>
          <w:rFonts w:ascii="Times New Roman" w:hAnsi="Times New Roman" w:cs="Times New Roman" w:eastAsia="Times New Roman"/>
          <w:i/>
          <w:vertAlign w:val="subscript"/>
        </w:rPr>
        <w:t xml:space="preserve">i</w:t>
      </w:r>
      <w:r>
        <w:rPr>
          <w:rFonts w:ascii="Times New Roman" w:hAnsi="Times New Roman" w:cs="Times New Roman" w:eastAsia="Times New Roman"/>
        </w:rPr>
        <w:t xml:space="preserve"> / max</w:t>
      </w:r>
      <w:r>
        <w:rPr>
          <w:rFonts w:ascii="Times New Roman" w:hAnsi="Times New Roman" w:cs="Times New Roman" w:eastAsia="Times New Roman"/>
          <w:i/>
          <w:vertAlign w:val="subscript"/>
        </w:rPr>
        <w:t xml:space="preserve">j</w:t>
      </w:r>
      <w:r>
        <w:rPr>
          <w:rFonts w:ascii="Times New Roman" w:hAnsi="Times New Roman" w:cs="Times New Roman" w:eastAsia="Times New Roman"/>
        </w:rPr>
        <w:t xml:space="preserve"> |</w:t>
      </w:r>
      <w:r>
        <w:rPr>
          <w:rFonts w:ascii="Times New Roman" w:hAnsi="Times New Roman" w:cs="Times New Roman" w:eastAsia="Times New Roman"/>
          <w:i/>
        </w:rPr>
        <w:t xml:space="preserve">x</w:t>
      </w:r>
      <w:r>
        <w:rPr>
          <w:rFonts w:ascii="Times New Roman" w:hAnsi="Times New Roman" w:cs="Times New Roman" w:eastAsia="Times New Roman"/>
          <w:i/>
          <w:vertAlign w:val="subscript"/>
        </w:rPr>
        <w:t xml:space="preserve">j</w:t>
      </w:r>
      <w:r>
        <w:rPr>
          <w:rFonts w:ascii="Times New Roman" w:hAnsi="Times New Roman" w:cs="Times New Roman" w:eastAsia="Times New Roman"/>
        </w:rPr>
        <w:t xml:space="preserve">|</w:t>
      </w:r>
      <w:r>
        <w:tab/>
      </w:r>
      <w:r>
        <w:rPr>
          <w:rFonts w:ascii="Times New Roman" w:hAnsi="Times New Roman" w:cs="Times New Roman" w:eastAsia="Times New Roman"/>
        </w:rPr>
        <w:t xml:space="preserve">(3)</w:t>
      </w:r>
    </w:p>
    <w:p>
      <w:pPr>
        <w:pStyle w:val="BodyText"/>
        <w:rPr/>
      </w:pPr>
      <w:r>
        <w:t xml:space="preserve">and select </w:t>
      </w:r>
      <w:r>
        <w:rPr>
          <w:i/>
        </w:rPr>
        <w:t xml:space="preserve">α</w:t>
      </w:r>
      <w:r>
        <w:t xml:space="preserve"> on validation emails by maximising mean comprehensiveness over a grid of 0, 0.1, …, 1; the tuned hybrid uses the sign-preserving normalisation.</w:t>
      </w:r>
    </w:p>
    <w:p>
      <w:pPr>
        <w:pStyle w:val="Heading2"/>
        <w:ind w:hanging="0" w:start="0"/>
        <w:rPr/>
      </w:pPr>
      <w:r>
        <w:t xml:space="preserve">Faithfulness and Agreement Metrics</w:t>
      </w:r>
    </w:p>
    <w:p>
      <w:pPr>
        <w:pStyle w:val="BodyText"/>
        <w:rPr/>
      </w:pPr>
      <w:r>
        <w:t xml:space="preserve">Words are alphanumeric tokens, compared case-insensitively. Let </w:t>
      </w:r>
      <w:r>
        <w:rPr>
          <w:i/>
        </w:rPr>
        <w:t xml:space="preserve">p</w:t>
      </w:r>
      <w:r>
        <w:t xml:space="preserve">(</w:t>
      </w:r>
      <w:r>
        <w:rPr>
          <w:i/>
        </w:rPr>
        <w:t xml:space="preserve">x</w:t>
      </w:r>
      <w:r>
        <w:t xml:space="preserve">) be the predicted-phishing probability of email </w:t>
      </w:r>
      <w:r>
        <w:rPr>
          <w:i/>
        </w:rPr>
        <w:t xml:space="preserve">x</w:t>
      </w:r>
      <w:r>
        <w:t xml:space="preserve">, </w:t>
      </w:r>
      <w:r>
        <w:rPr>
          <w:i/>
        </w:rPr>
        <w:t xml:space="preserve">S</w:t>
      </w:r>
      <w:r>
        <w:rPr>
          <w:i/>
          <w:vertAlign w:val="subscript"/>
        </w:rPr>
        <w:t xml:space="preserve">k</w:t>
      </w:r>
      <w:r>
        <w:t xml:space="preserve"> its </w:t>
      </w:r>
      <w:r>
        <w:rPr>
          <w:i/>
        </w:rPr>
        <w:t xml:space="preserve">k</w:t>
      </w:r>
      <w:r>
        <w:t xml:space="preserve"> highest-scoring (most phishing-indicative) words, </w:t>
      </w:r>
      <w:r>
        <w:rPr>
          <w:i/>
        </w:rPr>
        <w:t xml:space="preserve">x</w:t>
      </w:r>
      <w:r>
        <w:t xml:space="preserve">\</w:t>
      </w:r>
      <w:r>
        <w:rPr>
          <w:i/>
        </w:rPr>
        <w:t xml:space="preserve">S</w:t>
      </w:r>
      <w:r>
        <w:rPr>
          <w:i/>
          <w:vertAlign w:val="subscript"/>
        </w:rPr>
        <w:t xml:space="preserve">k</w:t>
      </w:r>
      <w:r>
        <w:t xml:space="preserve"> the email with every occurrence of those words deleted and </w:t>
      </w:r>
      <w:r>
        <w:rPr>
          <w:i/>
        </w:rPr>
        <w:t xml:space="preserve">x</w:t>
      </w:r>
      <w:r>
        <w:t xml:space="preserve">|</w:t>
      </w:r>
      <w:r>
        <w:rPr>
          <w:i/>
        </w:rPr>
        <w:t xml:space="preserve">S</w:t>
      </w:r>
      <w:r>
        <w:rPr>
          <w:i/>
          <w:vertAlign w:val="subscript"/>
        </w:rPr>
        <w:t xml:space="preserve">k</w:t>
      </w:r>
      <w:r>
        <w:t xml:space="preserve"> the email reduced to those words in their original order. Following [10],</w:t>
      </w:r>
    </w:p>
    <w:p>
      <w:pPr>
        <w:pStyle w:val="equation"/>
        <w:rPr/>
      </w:pPr>
      <w:r>
        <w:tab/>
      </w:r>
      <w:r>
        <w:rPr>
          <w:rFonts w:ascii="Times New Roman" w:hAnsi="Times New Roman" w:cs="Times New Roman" w:eastAsia="Times New Roman"/>
        </w:rPr>
        <w:t xml:space="preserve">Comp(</w:t>
      </w:r>
      <w:r>
        <w:rPr>
          <w:rFonts w:ascii="Times New Roman" w:hAnsi="Times New Roman" w:cs="Times New Roman" w:eastAsia="Times New Roman"/>
          <w:i/>
        </w:rPr>
        <w:t xml:space="preserve">k</w:t>
      </w:r>
      <w:r>
        <w:rPr>
          <w:rFonts w:ascii="Times New Roman" w:hAnsi="Times New Roman" w:cs="Times New Roman" w:eastAsia="Times New Roman"/>
        </w:rPr>
        <w:t xml:space="preserve">) = </w:t>
      </w:r>
      <w:r>
        <w:rPr>
          <w:rFonts w:ascii="Times New Roman" w:hAnsi="Times New Roman" w:cs="Times New Roman" w:eastAsia="Times New Roman"/>
          <w:i/>
        </w:rPr>
        <w:t xml:space="preserve">p</w:t>
      </w:r>
      <w:r>
        <w:rPr>
          <w:rFonts w:ascii="Times New Roman" w:hAnsi="Times New Roman" w:cs="Times New Roman" w:eastAsia="Times New Roman"/>
        </w:rPr>
        <w:t xml:space="preserve">(</w:t>
      </w:r>
      <w:r>
        <w:rPr>
          <w:rFonts w:ascii="Times New Roman" w:hAnsi="Times New Roman" w:cs="Times New Roman" w:eastAsia="Times New Roman"/>
          <w:i/>
        </w:rPr>
        <w:t xml:space="preserve">x</w:t>
      </w:r>
      <w:r>
        <w:rPr>
          <w:rFonts w:ascii="Times New Roman" w:hAnsi="Times New Roman" w:cs="Times New Roman" w:eastAsia="Times New Roman"/>
        </w:rPr>
        <w:t xml:space="preserve">) − </w:t>
      </w:r>
      <w:r>
        <w:rPr>
          <w:rFonts w:ascii="Times New Roman" w:hAnsi="Times New Roman" w:cs="Times New Roman" w:eastAsia="Times New Roman"/>
          <w:i/>
        </w:rPr>
        <w:t xml:space="preserve">p</w:t>
      </w:r>
      <w:r>
        <w:rPr>
          <w:rFonts w:ascii="Times New Roman" w:hAnsi="Times New Roman" w:cs="Times New Roman" w:eastAsia="Times New Roman"/>
        </w:rPr>
        <w:t xml:space="preserve">(</w:t>
      </w:r>
      <w:r>
        <w:rPr>
          <w:rFonts w:ascii="Times New Roman" w:hAnsi="Times New Roman" w:cs="Times New Roman" w:eastAsia="Times New Roman"/>
          <w:i/>
        </w:rPr>
        <w:t xml:space="preserve">x</w:t>
      </w:r>
      <w:r>
        <w:rPr>
          <w:rFonts w:ascii="Times New Roman" w:hAnsi="Times New Roman" w:cs="Times New Roman" w:eastAsia="Times New Roman"/>
        </w:rPr>
        <w:t xml:space="preserve">\</w:t>
      </w:r>
      <w:r>
        <w:rPr>
          <w:rFonts w:ascii="Times New Roman" w:hAnsi="Times New Roman" w:cs="Times New Roman" w:eastAsia="Times New Roman"/>
          <w:i/>
        </w:rPr>
        <w:t xml:space="preserve">S</w:t>
      </w:r>
      <w:r>
        <w:rPr>
          <w:rFonts w:ascii="Times New Roman" w:hAnsi="Times New Roman" w:cs="Times New Roman" w:eastAsia="Times New Roman"/>
          <w:i/>
          <w:vertAlign w:val="subscript"/>
        </w:rPr>
        <w:t xml:space="preserve">k</w:t>
      </w:r>
      <w:r>
        <w:rPr>
          <w:rFonts w:ascii="Times New Roman" w:hAnsi="Times New Roman" w:cs="Times New Roman" w:eastAsia="Times New Roman"/>
        </w:rPr>
        <w:t xml:space="preserve">)</w:t>
      </w:r>
      <w:r>
        <w:tab/>
      </w:r>
      <w:r>
        <w:rPr>
          <w:rFonts w:ascii="Times New Roman" w:hAnsi="Times New Roman" w:cs="Times New Roman" w:eastAsia="Times New Roman"/>
        </w:rPr>
        <w:t xml:space="preserve">(4)</w:t>
      </w:r>
    </w:p>
    <w:p>
      <w:pPr>
        <w:pStyle w:val="equation"/>
        <w:rPr/>
      </w:pPr>
      <w:r>
        <w:tab/>
      </w:r>
      <w:r>
        <w:rPr>
          <w:rFonts w:ascii="Times New Roman" w:hAnsi="Times New Roman" w:cs="Times New Roman" w:eastAsia="Times New Roman"/>
        </w:rPr>
        <w:t xml:space="preserve">Suff(</w:t>
      </w:r>
      <w:r>
        <w:rPr>
          <w:rFonts w:ascii="Times New Roman" w:hAnsi="Times New Roman" w:cs="Times New Roman" w:eastAsia="Times New Roman"/>
          <w:i/>
        </w:rPr>
        <w:t xml:space="preserve">k</w:t>
      </w:r>
      <w:r>
        <w:rPr>
          <w:rFonts w:ascii="Times New Roman" w:hAnsi="Times New Roman" w:cs="Times New Roman" w:eastAsia="Times New Roman"/>
        </w:rPr>
        <w:t xml:space="preserve">) = </w:t>
      </w:r>
      <w:r>
        <w:rPr>
          <w:rFonts w:ascii="Times New Roman" w:hAnsi="Times New Roman" w:cs="Times New Roman" w:eastAsia="Times New Roman"/>
          <w:i/>
        </w:rPr>
        <w:t xml:space="preserve">p</w:t>
      </w:r>
      <w:r>
        <w:rPr>
          <w:rFonts w:ascii="Times New Roman" w:hAnsi="Times New Roman" w:cs="Times New Roman" w:eastAsia="Times New Roman"/>
        </w:rPr>
        <w:t xml:space="preserve">(</w:t>
      </w:r>
      <w:r>
        <w:rPr>
          <w:rFonts w:ascii="Times New Roman" w:hAnsi="Times New Roman" w:cs="Times New Roman" w:eastAsia="Times New Roman"/>
          <w:i/>
        </w:rPr>
        <w:t xml:space="preserve">x</w:t>
      </w:r>
      <w:r>
        <w:rPr>
          <w:rFonts w:ascii="Times New Roman" w:hAnsi="Times New Roman" w:cs="Times New Roman" w:eastAsia="Times New Roman"/>
        </w:rPr>
        <w:t xml:space="preserve">) − </w:t>
      </w:r>
      <w:r>
        <w:rPr>
          <w:rFonts w:ascii="Times New Roman" w:hAnsi="Times New Roman" w:cs="Times New Roman" w:eastAsia="Times New Roman"/>
          <w:i/>
        </w:rPr>
        <w:t xml:space="preserve">p</w:t>
      </w:r>
      <w:r>
        <w:rPr>
          <w:rFonts w:ascii="Times New Roman" w:hAnsi="Times New Roman" w:cs="Times New Roman" w:eastAsia="Times New Roman"/>
        </w:rPr>
        <w:t xml:space="preserve">(</w:t>
      </w:r>
      <w:r>
        <w:rPr>
          <w:rFonts w:ascii="Times New Roman" w:hAnsi="Times New Roman" w:cs="Times New Roman" w:eastAsia="Times New Roman"/>
          <w:i/>
        </w:rPr>
        <w:t xml:space="preserve">x</w:t>
      </w:r>
      <w:r>
        <w:rPr>
          <w:rFonts w:ascii="Times New Roman" w:hAnsi="Times New Roman" w:cs="Times New Roman" w:eastAsia="Times New Roman"/>
        </w:rPr>
        <w:t xml:space="preserve">|</w:t>
      </w:r>
      <w:r>
        <w:rPr>
          <w:rFonts w:ascii="Times New Roman" w:hAnsi="Times New Roman" w:cs="Times New Roman" w:eastAsia="Times New Roman"/>
          <w:i/>
        </w:rPr>
        <w:t xml:space="preserve">S</w:t>
      </w:r>
      <w:r>
        <w:rPr>
          <w:rFonts w:ascii="Times New Roman" w:hAnsi="Times New Roman" w:cs="Times New Roman" w:eastAsia="Times New Roman"/>
          <w:i/>
          <w:vertAlign w:val="subscript"/>
        </w:rPr>
        <w:t xml:space="preserve">k</w:t>
      </w:r>
      <w:r>
        <w:rPr>
          <w:rFonts w:ascii="Times New Roman" w:hAnsi="Times New Roman" w:cs="Times New Roman" w:eastAsia="Times New Roman"/>
        </w:rPr>
        <w:t xml:space="preserve">)</w:t>
      </w:r>
      <w:r>
        <w:tab/>
      </w:r>
      <w:r>
        <w:rPr>
          <w:rFonts w:ascii="Times New Roman" w:hAnsi="Times New Roman" w:cs="Times New Roman" w:eastAsia="Times New Roman"/>
        </w:rPr>
        <w:t xml:space="preserve">(5)</w:t>
      </w:r>
    </w:p>
    <w:p>
      <w:pPr>
        <w:pStyle w:val="BodyText"/>
        <w:rPr/>
      </w:pPr>
      <w:r>
        <w:t xml:space="preserve">We report each metric averaged over </w:t>
      </w:r>
      <w:r>
        <w:rPr>
          <w:i/>
        </w:rPr>
        <w:t xml:space="preserve">k</w:t>
      </w:r>
      <w:r>
        <w:t xml:space="preserve"> = 1, …, 10 and over emails; higher comprehensiveness and lower sufficiency are better. A random word ordering gives the reference level. The explained set is 100 test emails drawn at random (fixed seed) from the dedup seed-42 test emails that are truly phishing and that the model also classifies as phishing on their first 120 words, plus 40 such emails from the validation split for choosing </w:t>
      </w:r>
      <w:r>
        <w:rPr>
          <w:i/>
        </w:rPr>
        <w:t xml:space="preserve">α</w:t>
      </w:r>
      <w:r>
        <w:t xml:space="preserve">; each email is cut to its first 120 words, and the two models are explained on different emails. Methods are compared with paired two-sided Wilcoxon signed-rank tests [29] without correction for multiple comparisons. Agreement between two explainers is the Spearman correlation of their word scores, the Jaccard overlap of their five highest-scoring words, and the share of LIME’s ten largest-magnitude words whose sign differs from IG.</w:t>
      </w:r>
    </w:p>
    <w:p>
      <w:pPr>
        <w:pStyle w:val="Heading2"/>
        <w:ind w:hanging="0" w:start="0"/>
        <w:rPr/>
      </w:pPr>
      <w:r>
        <w:t xml:space="preserve">Robustness, Transfer and Statistics</w:t>
      </w:r>
    </w:p>
    <w:p>
      <w:pPr>
        <w:pStyle w:val="BodyText"/>
        <w:rPr/>
      </w:pPr>
      <w:r>
        <w:t xml:space="preserve">Three random, non-adaptive perturbations [11] are applied to the full text of every dedup seed-42 test email, with the same perturbed text for every model: </w:t>
      </w:r>
      <w:r>
        <w:rPr>
          <w:i/>
        </w:rPr>
        <w:t xml:space="preserve">homoglyph</w:t>
      </w:r>
      <w:r>
        <w:t xml:space="preserve"> (15% of the letters a, e, o, p, c replaced by Cyrillic look-alikes), </w:t>
      </w:r>
      <w:r>
        <w:rPr>
          <w:i/>
        </w:rPr>
        <w:t xml:space="preserve">typo</w:t>
      </w:r>
      <w:r>
        <w:t xml:space="preserve"> (an adjacent-letter swap in 10% of words longer than three letters) and </w:t>
      </w:r>
      <w:r>
        <w:rPr>
          <w:i/>
        </w:rPr>
        <w:t xml:space="preserve">zero-width</w:t>
      </w:r>
      <w:r>
        <w:t xml:space="preserve"> (a zero-width space inserted in 10% of such words). For a transfer check, 3,000 emails sampled at random from the Enron-Spam training split [30], [31] (spam mapped to the positive class) are scored by the dedup seed-42 models. F1 confidence intervals use 1,000 bootstrap resamples [32], and detectors are compared on the same test emails with the exact form of McNemar’s test [33], [34]. The notebook, split definitions and result files are available from the author on request.</w:t>
      </w:r>
    </w:p>
    <w:p>
      <w:pPr>
        <w:pStyle w:val="Heading1"/>
        <w:rPr/>
      </w:pPr>
      <w:r>
        <w:t xml:space="preserve">Results</w:t>
      </w:r>
    </w:p>
    <w:p>
      <w:pPr>
        <w:pStyle w:val="Heading2"/>
        <w:ind w:hanging="0" w:start="0"/>
        <w:rPr/>
      </w:pPr>
      <w:r>
        <w:t xml:space="preserve">Duplicate Audit</w:t>
      </w:r>
    </w:p>
    <w:p>
      <w:pPr>
        <w:pStyle w:val="tablehead"/>
        <w:keepNext/>
        <w:numPr>
          <w:ilvl w:val="0"/>
          <w:numId w:val="7"/>
        </w:numPr>
        <w:ind w:hanging="0" w:start="0"/>
        <w:rPr/>
      </w:pPr>
      <w:r>
        <w:t xml:space="preserve">Duplicate audit of the corpus</w:t>
      </w:r>
    </w:p>
    <w:tbl>
      <w:tblPr>
        <w:tblLook w:firstColumn="1" w:firstRow="1" w:lastColumn="0" w:lastRow="0" w:noHBand="0" w:noVBand="1" w:val="04A0"/>
        <w:tblW w:w="4881" w:type="dxa"/>
        <w:jc w:val="center"/>
        <w:tblBorders>
          <w:top w:val="single" w:sz="8" w:space="0" w:color="000000"/>
          <w:bottom w:val="single" w:sz="8" w:space="0" w:color="000000"/>
        </w:tblBorders>
        <w:tblLayout w:type="fixed"/>
        <w:tblCellMar>
          <w:top w:w="15" w:type="dxa"/>
          <w:left w:w="40" w:type="dxa"/>
          <w:bottom w:w="15" w:type="dxa"/>
          <w:right w:w="40" w:type="dxa"/>
        </w:tblCellMar>
      </w:tblPr>
      <w:tblGrid>
        <w:gridCol w:w="3340"/>
        <w:gridCol w:w="1540"/>
      </w:tblGrid>
      <w:tr>
        <w:trPr>
          <w:cantSplit/>
        </w:trPr>
        <w:tc>
          <w:tcPr>
            <w:tcW w:w="3340" w:type="dxa"/>
            <w:tcBorders>
              <w:bottom w:val="single" w:sz="4" w:space="0" w:color="000000"/>
            </w:tcBorders>
            <w:vAlign w:val="center"/>
          </w:tcPr>
          <w:p>
            <w:pPr>
              <w:pStyle w:val="tablecopy"/>
              <w:spacing w:before="0" w:after="0"/>
              <w:jc w:val="left"/>
            </w:pPr>
            <w:r>
              <w:rPr>
                <w:b/>
                <w:sz w:val="15"/>
              </w:rPr>
              <w:t xml:space="preserve">Item</w:t>
            </w:r>
          </w:p>
        </w:tc>
        <w:tc>
          <w:tcPr>
            <w:tcW w:w="1540" w:type="dxa"/>
            <w:tcBorders>
              <w:bottom w:val="single" w:sz="4" w:space="0" w:color="000000"/>
            </w:tcBorders>
            <w:vAlign w:val="center"/>
          </w:tcPr>
          <w:p>
            <w:pPr>
              <w:pStyle w:val="tablecopy"/>
              <w:spacing w:before="0" w:after="0"/>
              <w:jc w:val="center"/>
            </w:pPr>
            <w:r>
              <w:rPr>
                <w:b/>
                <w:sz w:val="15"/>
              </w:rPr>
              <w:t xml:space="preserve">Value</w:t>
            </w:r>
          </w:p>
        </w:tc>
      </w:tr>
      <w:tr>
        <w:tc>
          <w:tcPr>
            <w:tcW w:w="3340" w:type="dxa"/>
            <w:vAlign w:val="center"/>
          </w:tcPr>
          <w:p>
            <w:pPr>
              <w:pStyle w:val="tablecopy"/>
              <w:spacing w:before="0" w:after="0"/>
              <w:jc w:val="left"/>
            </w:pPr>
            <w:r>
              <w:rPr>
                <w:sz w:val="15"/>
              </w:rPr>
              <w:t xml:space="preserve">Emails after cleaning</w:t>
            </w:r>
          </w:p>
        </w:tc>
        <w:tc>
          <w:tcPr>
            <w:tcW w:w="1540" w:type="dxa"/>
            <w:vAlign w:val="center"/>
          </w:tcPr>
          <w:p>
            <w:pPr>
              <w:pStyle w:val="tablecopy"/>
              <w:spacing w:before="0" w:after="0"/>
              <w:jc w:val="center"/>
            </w:pPr>
            <w:r>
              <w:rPr>
                <w:sz w:val="15"/>
              </w:rPr>
              <w:t xml:space="preserve">18,631</w:t>
            </w:r>
          </w:p>
        </w:tc>
      </w:tr>
      <w:tr>
        <w:tc>
          <w:tcPr>
            <w:tcW w:w="3340" w:type="dxa"/>
            <w:vAlign w:val="center"/>
          </w:tcPr>
          <w:p>
            <w:pPr>
              <w:pStyle w:val="tablecopy"/>
              <w:spacing w:before="0" w:after="0"/>
              <w:jc w:val="left"/>
            </w:pPr>
            <w:r>
              <w:rPr>
                <w:sz w:val="15"/>
              </w:rPr>
              <w:t xml:space="preserve">Phishing / safe</w:t>
            </w:r>
          </w:p>
        </w:tc>
        <w:tc>
          <w:tcPr>
            <w:tcW w:w="1540" w:type="dxa"/>
            <w:vAlign w:val="center"/>
          </w:tcPr>
          <w:p>
            <w:pPr>
              <w:pStyle w:val="tablecopy"/>
              <w:spacing w:before="0" w:after="0"/>
              <w:jc w:val="center"/>
            </w:pPr>
            <w:r>
              <w:rPr>
                <w:sz w:val="15"/>
              </w:rPr>
              <w:t xml:space="preserve">7,309 / 11,322</w:t>
            </w:r>
          </w:p>
        </w:tc>
      </w:tr>
      <w:tr>
        <w:tc>
          <w:tcPr>
            <w:tcW w:w="3340" w:type="dxa"/>
            <w:vAlign w:val="center"/>
          </w:tcPr>
          <w:p>
            <w:pPr>
              <w:pStyle w:val="tablecopy"/>
              <w:spacing w:before="0" w:after="0"/>
              <w:jc w:val="left"/>
            </w:pPr>
            <w:r>
              <w:rPr>
                <w:sz w:val="15"/>
              </w:rPr>
              <w:t xml:space="preserve">Rows in duplicate groups</w:t>
            </w:r>
          </w:p>
        </w:tc>
        <w:tc>
          <w:tcPr>
            <w:tcW w:w="1540" w:type="dxa"/>
            <w:vAlign w:val="center"/>
          </w:tcPr>
          <w:p>
            <w:pPr>
              <w:pStyle w:val="tablecopy"/>
              <w:spacing w:before="0" w:after="0"/>
              <w:jc w:val="center"/>
            </w:pPr>
            <w:r>
              <w:rPr>
                <w:sz w:val="15"/>
              </w:rPr>
              <w:t xml:space="preserve">1,640 (8.8%)</w:t>
            </w:r>
          </w:p>
        </w:tc>
      </w:tr>
      <w:tr>
        <w:tc>
          <w:tcPr>
            <w:tcW w:w="3340" w:type="dxa"/>
            <w:vAlign w:val="center"/>
          </w:tcPr>
          <w:p>
            <w:pPr>
              <w:pStyle w:val="tablecopy"/>
              <w:spacing w:before="0" w:after="0"/>
              <w:jc w:val="left"/>
            </w:pPr>
            <w:r>
              <w:rPr>
                <w:sz w:val="15"/>
              </w:rPr>
              <w:t xml:space="preserve">Redundant copies removed</w:t>
            </w:r>
          </w:p>
        </w:tc>
        <w:tc>
          <w:tcPr>
            <w:tcW w:w="1540" w:type="dxa"/>
            <w:vAlign w:val="center"/>
          </w:tcPr>
          <w:p>
            <w:pPr>
              <w:pStyle w:val="tablecopy"/>
              <w:spacing w:before="0" w:after="0"/>
              <w:jc w:val="center"/>
            </w:pPr>
            <w:r>
              <w:rPr>
                <w:sz w:val="15"/>
              </w:rPr>
              <w:t xml:space="preserve">1,140 (6.1%)</w:t>
            </w:r>
          </w:p>
        </w:tc>
      </w:tr>
      <w:tr>
        <w:tc>
          <w:tcPr>
            <w:tcW w:w="3340" w:type="dxa"/>
            <w:vAlign w:val="center"/>
          </w:tcPr>
          <w:p>
            <w:pPr>
              <w:pStyle w:val="tablecopy"/>
              <w:spacing w:before="0" w:after="0"/>
              <w:jc w:val="left"/>
            </w:pPr>
            <w:r>
              <w:rPr>
                <w:sz w:val="15"/>
              </w:rPr>
              <w:t xml:space="preserve">Groups with conflicting labels</w:t>
            </w:r>
          </w:p>
        </w:tc>
        <w:tc>
          <w:tcPr>
            <w:tcW w:w="1540" w:type="dxa"/>
            <w:vAlign w:val="center"/>
          </w:tcPr>
          <w:p>
            <w:pPr>
              <w:pStyle w:val="tablecopy"/>
              <w:spacing w:before="0" w:after="0"/>
              <w:jc w:val="center"/>
            </w:pPr>
            <w:r>
              <w:rPr>
                <w:sz w:val="15"/>
              </w:rPr>
              <w:t xml:space="preserve">1</w:t>
            </w:r>
          </w:p>
        </w:tc>
      </w:tr>
      <w:tr>
        <w:tc>
          <w:tcPr>
            <w:tcW w:w="3340" w:type="dxa"/>
            <w:vAlign w:val="center"/>
          </w:tcPr>
          <w:p>
            <w:pPr>
              <w:pStyle w:val="tablecopy"/>
              <w:spacing w:before="0" w:after="0"/>
              <w:jc w:val="left"/>
            </w:pPr>
            <w:r>
              <w:rPr>
                <w:sz w:val="15"/>
              </w:rPr>
              <w:t xml:space="preserve">Emails after deduplication</w:t>
            </w:r>
          </w:p>
        </w:tc>
        <w:tc>
          <w:tcPr>
            <w:tcW w:w="1540" w:type="dxa"/>
            <w:vAlign w:val="center"/>
          </w:tcPr>
          <w:p>
            <w:pPr>
              <w:pStyle w:val="tablecopy"/>
              <w:spacing w:before="0" w:after="0"/>
              <w:jc w:val="center"/>
            </w:pPr>
            <w:r>
              <w:rPr>
                <w:sz w:val="15"/>
              </w:rPr>
              <w:t xml:space="preserve">17,491</w:t>
            </w:r>
          </w:p>
        </w:tc>
      </w:tr>
      <w:tr>
        <w:tc>
          <w:tcPr>
            <w:tcW w:w="3340" w:type="dxa"/>
            <w:vAlign w:val="center"/>
          </w:tcPr>
          <w:p>
            <w:pPr>
              <w:pStyle w:val="tablecopy"/>
              <w:spacing w:before="0" w:after="0"/>
              <w:jc w:val="left"/>
            </w:pPr>
            <w:r>
              <w:rPr>
                <w:sz w:val="15"/>
              </w:rPr>
              <w:t xml:space="preserve">Raw test emails also in training</w:t>
            </w:r>
          </w:p>
        </w:tc>
        <w:tc>
          <w:tcPr>
            <w:tcW w:w="1540" w:type="dxa"/>
            <w:vAlign w:val="center"/>
          </w:tcPr>
          <w:p>
            <w:pPr>
              <w:pStyle w:val="tablecopy"/>
              <w:spacing w:before="0" w:after="0"/>
              <w:jc w:val="center"/>
            </w:pPr>
            <w:r>
              <w:rPr>
                <w:sz w:val="15"/>
              </w:rPr>
              <w:t xml:space="preserve">258/3,727 (6.9%)</w:t>
            </w:r>
          </w:p>
        </w:tc>
      </w:tr>
      <w:tr>
        <w:tc>
          <w:tcPr>
            <w:tcW w:w="3340" w:type="dxa"/>
            <w:vAlign w:val="center"/>
          </w:tcPr>
          <w:p>
            <w:pPr>
              <w:pStyle w:val="tablecopy"/>
              <w:spacing w:before="0" w:after="0"/>
              <w:jc w:val="left"/>
            </w:pPr>
            <w:r>
              <w:rPr>
                <w:sz w:val="15"/>
              </w:rPr>
              <w:t xml:space="preserve">Accuracy on those emails (both models)</w:t>
            </w:r>
          </w:p>
        </w:tc>
        <w:tc>
          <w:tcPr>
            <w:tcW w:w="1540" w:type="dxa"/>
            <w:vAlign w:val="center"/>
          </w:tcPr>
          <w:p>
            <w:pPr>
              <w:pStyle w:val="tablecopy"/>
              <w:spacing w:before="0" w:after="0"/>
              <w:jc w:val="center"/>
            </w:pPr>
            <w:r>
              <w:rPr>
                <w:sz w:val="15"/>
              </w:rPr>
              <w:t xml:space="preserve">84.5%</w:t>
            </w:r>
          </w:p>
        </w:tc>
      </w:tr>
      <w:tr>
        <w:tc>
          <w:tcPr>
            <w:tcW w:w="3340" w:type="dxa"/>
            <w:vAlign w:val="center"/>
          </w:tcPr>
          <w:p>
            <w:pPr>
              <w:pStyle w:val="tablecopy"/>
              <w:spacing w:before="0" w:after="0"/>
              <w:jc w:val="left"/>
            </w:pPr>
            <w:r>
              <w:rPr>
                <w:sz w:val="15"/>
              </w:rPr>
              <w:t xml:space="preserve">Accuracy on unseen test emails (DistilRoBERTa / RoBERTa-base)</w:t>
            </w:r>
          </w:p>
        </w:tc>
        <w:tc>
          <w:tcPr>
            <w:tcW w:w="1540" w:type="dxa"/>
            <w:vAlign w:val="center"/>
          </w:tcPr>
          <w:p>
            <w:pPr>
              <w:pStyle w:val="tablecopy"/>
              <w:spacing w:before="0" w:after="0"/>
              <w:jc w:val="center"/>
            </w:pPr>
            <w:r>
              <w:rPr>
                <w:sz w:val="15"/>
              </w:rPr>
              <w:t xml:space="preserve">98.1% / 98.6%</w:t>
            </w:r>
          </w:p>
        </w:tc>
      </w:tr>
    </w:tbl>
    <w:p>
      <w:pPr>
        <w:pStyle w:val="BodyText"/>
        <w:rPr/>
        <w:ind w:firstLine="0" w:start="0"/>
        <w:spacing w:before="0" w:after="60" w:line="240" w:lineRule="auto"/>
      </w:pPr>
    </w:p>
    <w:p>
      <w:pPr>
        <w:pStyle w:val="BodyText"/>
        <w:rPr/>
      </w:pPr>
      <w:r>
        <w:t xml:space="preserve">Table I summarises the audit. 8.8% of the emails sit in groups of identical text, and one group carries both labels. In the raw split, 258 test emails (6.9%) also occur in the training set. These 258 emails (180 phishing, 78 safe) were classified with 84.5% accuracy by both transformers, which flagged 40 of the 78 safe ones and missed none of the phishing ones, against 98.1–98.6% accuracy on unseen emails. Because the overlapping emails were classified worse, not better, than unseen ones, train–test overlap did not inflate accuracy in this split. We did not establish why these emails are harder; the single conflicting-label group is one candidate explanation that we did not test. RoBERTa-base accuracy was 97.67% on the raw split and 98.86% on the dedup split, but the test sets differ, so this is not a controlled comparison.</w:t>
      </w:r>
    </w:p>
    <w:p>
      <w:pPr>
        <w:pStyle w:val="Heading2"/>
        <w:ind w:hanging="0" w:start="0"/>
        <w:rPr/>
      </w:pPr>
      <w:r>
        <w:t xml:space="preserve">Detection Performance</w:t>
      </w:r>
    </w:p>
    <w:p>
      <w:pPr>
        <w:pStyle w:val="tablehead"/>
        <w:keepNext/>
        <w:numPr>
          <w:ilvl w:val="0"/>
          <w:numId w:val="7"/>
        </w:numPr>
        <w:ind w:hanging="0" w:start="0"/>
        <w:rPr/>
      </w:pPr>
      <w:r>
        <w:t xml:space="preserve">Detection performance on deduplicated test sets (%; mean ± sd over three seeds, RoBERTa-base: single run; FPR and FNR: false-positive and false-negative rate)</w:t>
      </w:r>
    </w:p>
    <w:tbl>
      <w:tblPr>
        <w:tblLook w:firstColumn="1" w:firstRow="1" w:lastColumn="0" w:lastRow="0" w:noHBand="0" w:noVBand="1" w:val="04A0"/>
        <w:tblW w:w="4881" w:type="dxa"/>
        <w:jc w:val="center"/>
        <w:tblBorders>
          <w:top w:val="single" w:sz="8" w:space="0" w:color="000000"/>
          <w:bottom w:val="single" w:sz="8" w:space="0" w:color="000000"/>
        </w:tblBorders>
        <w:tblLayout w:type="fixed"/>
        <w:tblCellMar>
          <w:top w:w="15" w:type="dxa"/>
          <w:left w:w="40" w:type="dxa"/>
          <w:bottom w:w="15" w:type="dxa"/>
          <w:right w:w="40" w:type="dxa"/>
        </w:tblCellMar>
      </w:tblPr>
      <w:tblGrid>
        <w:gridCol w:w="1137"/>
        <w:gridCol w:w="936"/>
        <w:gridCol w:w="936"/>
        <w:gridCol w:w="936"/>
        <w:gridCol w:w="936"/>
      </w:tblGrid>
      <w:tr>
        <w:trPr>
          <w:cantSplit/>
        </w:trPr>
        <w:tc>
          <w:tcPr>
            <w:tcW w:w="1137" w:type="dxa"/>
            <w:tcBorders>
              <w:bottom w:val="single" w:sz="4" w:space="0" w:color="000000"/>
            </w:tcBorders>
            <w:vAlign w:val="center"/>
          </w:tcPr>
          <w:p>
            <w:pPr>
              <w:pStyle w:val="tablecopy"/>
              <w:spacing w:before="0" w:after="0"/>
              <w:jc w:val="left"/>
            </w:pPr>
            <w:r>
              <w:rPr>
                <w:b/>
                <w:sz w:val="14"/>
              </w:rPr>
              <w:t xml:space="preserve">Model</w:t>
            </w:r>
          </w:p>
        </w:tc>
        <w:tc>
          <w:tcPr>
            <w:tcW w:w="936" w:type="dxa"/>
            <w:tcBorders>
              <w:bottom w:val="single" w:sz="4" w:space="0" w:color="000000"/>
            </w:tcBorders>
            <w:vAlign w:val="center"/>
          </w:tcPr>
          <w:p>
            <w:pPr>
              <w:pStyle w:val="tablecopy"/>
              <w:spacing w:before="0" w:after="0"/>
              <w:jc w:val="center"/>
            </w:pPr>
            <w:r>
              <w:rPr>
                <w:b/>
                <w:sz w:val="14"/>
              </w:rPr>
              <w:t xml:space="preserve">Acc.</w:t>
            </w:r>
          </w:p>
        </w:tc>
        <w:tc>
          <w:tcPr>
            <w:tcW w:w="936" w:type="dxa"/>
            <w:tcBorders>
              <w:bottom w:val="single" w:sz="4" w:space="0" w:color="000000"/>
            </w:tcBorders>
            <w:vAlign w:val="center"/>
          </w:tcPr>
          <w:p>
            <w:pPr>
              <w:pStyle w:val="tablecopy"/>
              <w:spacing w:before="0" w:after="0"/>
              <w:jc w:val="center"/>
            </w:pPr>
            <w:r>
              <w:rPr>
                <w:b/>
                <w:sz w:val="14"/>
              </w:rPr>
              <w:t xml:space="preserve">F1</w:t>
            </w:r>
          </w:p>
        </w:tc>
        <w:tc>
          <w:tcPr>
            <w:tcW w:w="936" w:type="dxa"/>
            <w:tcBorders>
              <w:bottom w:val="single" w:sz="4" w:space="0" w:color="000000"/>
            </w:tcBorders>
            <w:vAlign w:val="center"/>
          </w:tcPr>
          <w:p>
            <w:pPr>
              <w:pStyle w:val="tablecopy"/>
              <w:spacing w:before="0" w:after="0"/>
              <w:jc w:val="center"/>
            </w:pPr>
            <w:r>
              <w:rPr>
                <w:b/>
                <w:sz w:val="14"/>
              </w:rPr>
              <w:t xml:space="preserve">FPR</w:t>
            </w:r>
          </w:p>
        </w:tc>
        <w:tc>
          <w:tcPr>
            <w:tcW w:w="936" w:type="dxa"/>
            <w:tcBorders>
              <w:bottom w:val="single" w:sz="4" w:space="0" w:color="000000"/>
            </w:tcBorders>
            <w:vAlign w:val="center"/>
          </w:tcPr>
          <w:p>
            <w:pPr>
              <w:pStyle w:val="tablecopy"/>
              <w:spacing w:before="0" w:after="0"/>
              <w:jc w:val="center"/>
            </w:pPr>
            <w:r>
              <w:rPr>
                <w:b/>
                <w:sz w:val="14"/>
              </w:rPr>
              <w:t xml:space="preserve">FNR</w:t>
            </w:r>
          </w:p>
        </w:tc>
      </w:tr>
      <w:tr>
        <w:tc>
          <w:tcPr>
            <w:tcW w:w="1137" w:type="dxa"/>
            <w:vAlign w:val="center"/>
          </w:tcPr>
          <w:p>
            <w:pPr>
              <w:pStyle w:val="tablecopy"/>
              <w:spacing w:before="0" w:after="0"/>
              <w:jc w:val="left"/>
            </w:pPr>
            <w:r>
              <w:rPr>
                <w:sz w:val="14"/>
              </w:rPr>
              <w:t xml:space="preserve">TF-IDF LR</w:t>
            </w:r>
          </w:p>
        </w:tc>
        <w:tc>
          <w:tcPr>
            <w:tcW w:w="936" w:type="dxa"/>
            <w:vAlign w:val="center"/>
          </w:tcPr>
          <w:p>
            <w:pPr>
              <w:pStyle w:val="tablecopy"/>
              <w:spacing w:before="0" w:after="0"/>
              <w:jc w:val="center"/>
            </w:pPr>
            <w:r>
              <w:rPr>
                <w:sz w:val="14"/>
              </w:rPr>
              <w:t xml:space="preserve">98.59 ± 0.20</w:t>
            </w:r>
          </w:p>
        </w:tc>
        <w:tc>
          <w:tcPr>
            <w:tcW w:w="936" w:type="dxa"/>
            <w:vAlign w:val="center"/>
          </w:tcPr>
          <w:p>
            <w:pPr>
              <w:pStyle w:val="tablecopy"/>
              <w:spacing w:before="0" w:after="0"/>
              <w:jc w:val="center"/>
            </w:pPr>
            <w:r>
              <w:rPr>
                <w:sz w:val="14"/>
              </w:rPr>
              <w:t xml:space="preserve">98.11 ± 0.27</w:t>
            </w:r>
          </w:p>
        </w:tc>
        <w:tc>
          <w:tcPr>
            <w:tcW w:w="936" w:type="dxa"/>
            <w:vAlign w:val="center"/>
          </w:tcPr>
          <w:p>
            <w:pPr>
              <w:pStyle w:val="tablecopy"/>
              <w:spacing w:before="0" w:after="0"/>
              <w:jc w:val="center"/>
            </w:pPr>
            <w:r>
              <w:rPr>
                <w:sz w:val="14"/>
              </w:rPr>
              <w:t xml:space="preserve">1.26 ± 0.03</w:t>
            </w:r>
          </w:p>
        </w:tc>
        <w:tc>
          <w:tcPr>
            <w:tcW w:w="936" w:type="dxa"/>
            <w:vAlign w:val="center"/>
          </w:tcPr>
          <w:p>
            <w:pPr>
              <w:pStyle w:val="tablecopy"/>
              <w:spacing w:before="0" w:after="0"/>
              <w:jc w:val="center"/>
            </w:pPr>
            <w:r>
              <w:rPr>
                <w:sz w:val="14"/>
              </w:rPr>
              <w:t xml:space="preserve">1.66 ± 0.54</w:t>
            </w:r>
          </w:p>
        </w:tc>
      </w:tr>
      <w:tr>
        <w:tc>
          <w:tcPr>
            <w:tcW w:w="1137" w:type="dxa"/>
            <w:vAlign w:val="center"/>
          </w:tcPr>
          <w:p>
            <w:pPr>
              <w:pStyle w:val="tablecopy"/>
              <w:spacing w:before="0" w:after="0"/>
              <w:jc w:val="left"/>
            </w:pPr>
            <w:r>
              <w:rPr>
                <w:sz w:val="14"/>
              </w:rPr>
              <w:t xml:space="preserve">TF-IDF SVM</w:t>
            </w:r>
          </w:p>
        </w:tc>
        <w:tc>
          <w:tcPr>
            <w:tcW w:w="936" w:type="dxa"/>
            <w:vAlign w:val="center"/>
          </w:tcPr>
          <w:p>
            <w:pPr>
              <w:pStyle w:val="tablecopy"/>
              <w:spacing w:before="0" w:after="0"/>
              <w:jc w:val="center"/>
            </w:pPr>
            <w:r>
              <w:rPr>
                <w:sz w:val="14"/>
              </w:rPr>
              <w:t xml:space="preserve">98.65 ± 0.16</w:t>
            </w:r>
          </w:p>
        </w:tc>
        <w:tc>
          <w:tcPr>
            <w:tcW w:w="936" w:type="dxa"/>
            <w:vAlign w:val="center"/>
          </w:tcPr>
          <w:p>
            <w:pPr>
              <w:pStyle w:val="tablecopy"/>
              <w:spacing w:before="0" w:after="0"/>
              <w:jc w:val="center"/>
            </w:pPr>
            <w:r>
              <w:rPr>
                <w:sz w:val="14"/>
              </w:rPr>
              <w:t xml:space="preserve">98.19 ± 0.22</w:t>
            </w:r>
          </w:p>
        </w:tc>
        <w:tc>
          <w:tcPr>
            <w:tcW w:w="936" w:type="dxa"/>
            <w:vAlign w:val="center"/>
          </w:tcPr>
          <w:p>
            <w:pPr>
              <w:pStyle w:val="tablecopy"/>
              <w:spacing w:before="0" w:after="0"/>
              <w:jc w:val="center"/>
            </w:pPr>
            <w:r>
              <w:rPr>
                <w:sz w:val="14"/>
              </w:rPr>
              <w:t xml:space="preserve">1.23 ± 0.09</w:t>
            </w:r>
          </w:p>
        </w:tc>
        <w:tc>
          <w:tcPr>
            <w:tcW w:w="936" w:type="dxa"/>
            <w:vAlign w:val="center"/>
          </w:tcPr>
          <w:p>
            <w:pPr>
              <w:pStyle w:val="tablecopy"/>
              <w:spacing w:before="0" w:after="0"/>
              <w:jc w:val="center"/>
            </w:pPr>
            <w:r>
              <w:rPr>
                <w:sz w:val="14"/>
              </w:rPr>
              <w:t xml:space="preserve">1.56 ± 0.51</w:t>
            </w:r>
          </w:p>
        </w:tc>
      </w:tr>
      <w:tr>
        <w:tc>
          <w:tcPr>
            <w:tcW w:w="1137" w:type="dxa"/>
            <w:vAlign w:val="center"/>
          </w:tcPr>
          <w:p>
            <w:pPr>
              <w:pStyle w:val="tablecopy"/>
              <w:spacing w:before="0" w:after="0"/>
              <w:jc w:val="left"/>
            </w:pPr>
            <w:r>
              <w:rPr>
                <w:sz w:val="14"/>
              </w:rPr>
              <w:t xml:space="preserve">TF-IDF RF</w:t>
            </w:r>
          </w:p>
        </w:tc>
        <w:tc>
          <w:tcPr>
            <w:tcW w:w="936" w:type="dxa"/>
            <w:vAlign w:val="center"/>
          </w:tcPr>
          <w:p>
            <w:pPr>
              <w:pStyle w:val="tablecopy"/>
              <w:spacing w:before="0" w:after="0"/>
              <w:jc w:val="center"/>
            </w:pPr>
            <w:r>
              <w:rPr>
                <w:sz w:val="14"/>
              </w:rPr>
              <w:t xml:space="preserve">97.02 ± 0.10</w:t>
            </w:r>
          </w:p>
        </w:tc>
        <w:tc>
          <w:tcPr>
            <w:tcW w:w="936" w:type="dxa"/>
            <w:vAlign w:val="center"/>
          </w:tcPr>
          <w:p>
            <w:pPr>
              <w:pStyle w:val="tablecopy"/>
              <w:spacing w:before="0" w:after="0"/>
              <w:jc w:val="center"/>
            </w:pPr>
            <w:r>
              <w:rPr>
                <w:sz w:val="14"/>
              </w:rPr>
              <w:t xml:space="preserve">95.99 ± 0.16</w:t>
            </w:r>
          </w:p>
        </w:tc>
        <w:tc>
          <w:tcPr>
            <w:tcW w:w="936" w:type="dxa"/>
            <w:vAlign w:val="center"/>
          </w:tcPr>
          <w:p>
            <w:pPr>
              <w:pStyle w:val="tablecopy"/>
              <w:spacing w:before="0" w:after="0"/>
              <w:jc w:val="center"/>
            </w:pPr>
            <w:r>
              <w:rPr>
                <w:sz w:val="14"/>
              </w:rPr>
              <w:t xml:space="preserve">2.20 ± 0.33</w:t>
            </w:r>
          </w:p>
        </w:tc>
        <w:tc>
          <w:tcPr>
            <w:tcW w:w="936" w:type="dxa"/>
            <w:vAlign w:val="center"/>
          </w:tcPr>
          <w:p>
            <w:pPr>
              <w:pStyle w:val="tablecopy"/>
              <w:spacing w:before="0" w:after="0"/>
              <w:jc w:val="center"/>
            </w:pPr>
            <w:r>
              <w:rPr>
                <w:sz w:val="14"/>
              </w:rPr>
              <w:t xml:space="preserve">4.29 ± 0.81</w:t>
            </w:r>
          </w:p>
        </w:tc>
      </w:tr>
      <w:tr>
        <w:tc>
          <w:tcPr>
            <w:tcW w:w="1137" w:type="dxa"/>
            <w:vAlign w:val="center"/>
          </w:tcPr>
          <w:p>
            <w:pPr>
              <w:pStyle w:val="tablecopy"/>
              <w:spacing w:before="0" w:after="0"/>
              <w:jc w:val="left"/>
            </w:pPr>
            <w:r>
              <w:rPr>
                <w:sz w:val="14"/>
              </w:rPr>
              <w:t xml:space="preserve">DistilRoBERTa</w:t>
            </w:r>
          </w:p>
        </w:tc>
        <w:tc>
          <w:tcPr>
            <w:tcW w:w="936" w:type="dxa"/>
            <w:vAlign w:val="center"/>
          </w:tcPr>
          <w:p>
            <w:pPr>
              <w:pStyle w:val="tablecopy"/>
              <w:spacing w:before="0" w:after="0"/>
              <w:jc w:val="center"/>
            </w:pPr>
            <w:r>
              <w:rPr>
                <w:sz w:val="14"/>
              </w:rPr>
              <w:t xml:space="preserve">98.67 ± 0.18</w:t>
            </w:r>
          </w:p>
        </w:tc>
        <w:tc>
          <w:tcPr>
            <w:tcW w:w="936" w:type="dxa"/>
            <w:vAlign w:val="center"/>
          </w:tcPr>
          <w:p>
            <w:pPr>
              <w:pStyle w:val="tablecopy"/>
              <w:spacing w:before="0" w:after="0"/>
              <w:jc w:val="center"/>
            </w:pPr>
            <w:r>
              <w:rPr>
                <w:sz w:val="14"/>
              </w:rPr>
              <w:t xml:space="preserve">98.21 ± 0.24</w:t>
            </w:r>
          </w:p>
        </w:tc>
        <w:tc>
          <w:tcPr>
            <w:tcW w:w="936" w:type="dxa"/>
            <w:vAlign w:val="center"/>
          </w:tcPr>
          <w:p>
            <w:pPr>
              <w:pStyle w:val="tablecopy"/>
              <w:spacing w:before="0" w:after="0"/>
              <w:jc w:val="center"/>
            </w:pPr>
            <w:r>
              <w:rPr>
                <w:sz w:val="14"/>
              </w:rPr>
              <w:t xml:space="preserve">1.14 ± 0.53</w:t>
            </w:r>
          </w:p>
        </w:tc>
        <w:tc>
          <w:tcPr>
            <w:tcW w:w="936" w:type="dxa"/>
            <w:vAlign w:val="center"/>
          </w:tcPr>
          <w:p>
            <w:pPr>
              <w:pStyle w:val="tablecopy"/>
              <w:spacing w:before="0" w:after="0"/>
              <w:jc w:val="center"/>
            </w:pPr>
            <w:r>
              <w:rPr>
                <w:sz w:val="14"/>
              </w:rPr>
              <w:t xml:space="preserve">1.66 ± 0.46</w:t>
            </w:r>
          </w:p>
        </w:tc>
      </w:tr>
      <w:tr>
        <w:tc>
          <w:tcPr>
            <w:tcW w:w="1137" w:type="dxa"/>
            <w:vAlign w:val="center"/>
          </w:tcPr>
          <w:p>
            <w:pPr>
              <w:pStyle w:val="tablecopy"/>
              <w:spacing w:before="0" w:after="0"/>
              <w:jc w:val="left"/>
            </w:pPr>
            <w:r>
              <w:rPr>
                <w:sz w:val="14"/>
              </w:rPr>
              <w:t xml:space="preserve">RoBERTa-base</w:t>
            </w:r>
          </w:p>
        </w:tc>
        <w:tc>
          <w:tcPr>
            <w:tcW w:w="936" w:type="dxa"/>
            <w:vAlign w:val="center"/>
          </w:tcPr>
          <w:p>
            <w:pPr>
              <w:pStyle w:val="tablecopy"/>
              <w:spacing w:before="0" w:after="0"/>
              <w:jc w:val="center"/>
            </w:pPr>
            <w:r>
              <w:rPr>
                <w:sz w:val="14"/>
              </w:rPr>
              <w:t xml:space="preserve">98.86</w:t>
            </w:r>
          </w:p>
        </w:tc>
        <w:tc>
          <w:tcPr>
            <w:tcW w:w="936" w:type="dxa"/>
            <w:vAlign w:val="center"/>
          </w:tcPr>
          <w:p>
            <w:pPr>
              <w:pStyle w:val="tablecopy"/>
              <w:spacing w:before="0" w:after="0"/>
              <w:jc w:val="center"/>
            </w:pPr>
            <w:r>
              <w:rPr>
                <w:sz w:val="14"/>
              </w:rPr>
              <w:t xml:space="preserve">98.46</w:t>
            </w:r>
          </w:p>
        </w:tc>
        <w:tc>
          <w:tcPr>
            <w:tcW w:w="936" w:type="dxa"/>
            <w:vAlign w:val="center"/>
          </w:tcPr>
          <w:p>
            <w:pPr>
              <w:pStyle w:val="tablecopy"/>
              <w:spacing w:before="0" w:after="0"/>
              <w:jc w:val="center"/>
            </w:pPr>
            <w:r>
              <w:rPr>
                <w:sz w:val="14"/>
              </w:rPr>
              <w:t xml:space="preserve">0.68</w:t>
            </w:r>
          </w:p>
        </w:tc>
        <w:tc>
          <w:tcPr>
            <w:tcW w:w="936" w:type="dxa"/>
            <w:vAlign w:val="center"/>
          </w:tcPr>
          <w:p>
            <w:pPr>
              <w:pStyle w:val="tablecopy"/>
              <w:spacing w:before="0" w:after="0"/>
              <w:jc w:val="center"/>
            </w:pPr>
            <w:r>
              <w:rPr>
                <w:sz w:val="14"/>
              </w:rPr>
              <w:t xml:space="preserve">1.92</w:t>
            </w:r>
          </w:p>
        </w:tc>
      </w:tr>
    </w:tbl>
    <w:p>
      <w:pPr>
        <w:pStyle w:val="BodyText"/>
        <w:rPr/>
        <w:ind w:firstLine="0" w:start="0"/>
        <w:spacing w:before="0" w:after="60" w:line="240" w:lineRule="auto"/>
      </w:pPr>
    </w:p>
    <w:p>
      <w:pPr>
        <w:pStyle w:val="BodyText"/>
        <w:rPr/>
      </w:pPr>
      <w:r>
        <w:t xml:space="preserve">Table II gives the results. The class-balanced bigram TF-IDF LR and SVM reach 98.59% and 98.65% accuracy, above the 97.24% and 97.90% reported in [1] for tuned LR and SVM on default unigram features (a different split and preprocessing). DistilRoBERTa (98.67%) matches them within seed variation, and RoBERTa-base reaches 98.86% with the lowest false-positive rate (0.68%, single run); the Matthews correlation coefficient [35] is 97.11, 97.15 and 97.55 for SVM, DistilRoBERTa and RoBERTa-base. Only the random forest is clearly worse. Bootstrap 95% intervals for F1 on seed 42 overlap heavily (RoBERTa-base 0.9798–0.9893, SVM 0.9765–0.9869). McNemar tests on the same 3,499 test emails give </w:t>
      </w:r>
      <w:r>
        <w:rPr>
          <w:i/>
        </w:rPr>
        <w:t xml:space="preserve">p</w:t>
      </w:r>
      <w:r>
        <w:t xml:space="preserve"> = 0.25 against LR (36 versus 26 discordant emails), </w:t>
      </w:r>
      <w:r>
        <w:rPr>
          <w:i/>
        </w:rPr>
        <w:t xml:space="preserve">p</w:t>
      </w:r>
      <w:r>
        <w:t xml:space="preserve"> = 0.43 against SVM, and </w:t>
      </w:r>
      <w:r>
        <w:rPr>
          <w:i/>
        </w:rPr>
        <w:t xml:space="preserve">p</w:t>
      </w:r>
      <w:r>
        <w:t xml:space="preserve"> &lt; 0.001 against RF. On this corpus we found no significant accuracy difference between the transformers and the fixed-hyper-parameter linear models; with so few discordant emails the test has limited power to detect small differences, and this is not evidence of equivalence.</w:t>
      </w:r>
    </w:p>
    <w:p>
      <w:pPr>
        <w:pStyle w:val="Heading2"/>
        <w:ind w:hanging="0" w:start="0"/>
        <w:rPr/>
      </w:pPr>
      <w:r>
        <w:t xml:space="preserve">Explanation Faithfulness</w:t>
      </w:r>
    </w:p>
    <w:p>
      <w:pPr>
        <w:pStyle w:val="tablehead"/>
        <w:keepNext/>
        <w:numPr>
          <w:ilvl w:val="0"/>
          <w:numId w:val="7"/>
        </w:numPr>
        <w:ind w:hanging="0" w:start="0"/>
        <w:rPr/>
      </w:pPr>
      <w:r>
        <w:t xml:space="preserve">Faithfulness of word-level explanations (mean over 100 emails; bold = best method in a column; the tuned hybrid uses the validation-selected LIME weight, 0.6 for DistilRoBERTa and 1.0 for RoBERTa-base, where it equals LIME)</w:t>
      </w:r>
    </w:p>
    <w:tbl>
      <w:tblPr>
        <w:tblLook w:firstColumn="1" w:firstRow="1" w:lastColumn="0" w:lastRow="0" w:noHBand="0" w:noVBand="1" w:val="04A0"/>
        <w:tblW w:w="4881" w:type="dxa"/>
        <w:jc w:val="center"/>
        <w:tblBorders>
          <w:top w:val="single" w:sz="8" w:space="0" w:color="000000"/>
          <w:bottom w:val="single" w:sz="8" w:space="0" w:color="000000"/>
        </w:tblBorders>
        <w:tblLayout w:type="fixed"/>
        <w:tblCellMar>
          <w:top w:w="15" w:type="dxa"/>
          <w:left w:w="40" w:type="dxa"/>
          <w:bottom w:w="15" w:type="dxa"/>
          <w:right w:w="40" w:type="dxa"/>
        </w:tblCellMar>
      </w:tblPr>
      <w:tblGrid>
        <w:gridCol w:w="2001"/>
        <w:gridCol w:w="720"/>
        <w:gridCol w:w="720"/>
        <w:gridCol w:w="720"/>
        <w:gridCol w:w="720"/>
      </w:tblGrid>
      <w:tr>
        <w:trPr>
          <w:cantSplit/>
        </w:trPr>
        <w:tc>
          <w:tcPr>
            <w:tcW w:w="2001" w:type="dxa"/>
            <w:vMerge w:val="restart"/>
            <w:vAlign w:val="center"/>
            <w:tcBorders>
              <w:bottom w:val="single" w:sz="4" w:space="0" w:color="000000"/>
            </w:tcBorders>
            <w:vAlign w:val="center"/>
          </w:tcPr>
          <w:p>
            <w:pPr>
              <w:pStyle w:val="tablecopy"/>
              <w:spacing w:before="0" w:after="0"/>
              <w:jc w:val="left"/>
            </w:pPr>
            <w:r>
              <w:rPr>
                <w:b/>
                <w:sz w:val="14"/>
              </w:rPr>
              <w:t xml:space="preserve">Method</w:t>
            </w:r>
          </w:p>
        </w:tc>
        <w:tc>
          <w:tcPr>
            <w:tcW w:w="1440" w:type="dxa"/>
            <w:gridSpan w:val="2"/>
            <w:tcBorders>
              <w:bottom w:val="single" w:sz="4" w:space="0" w:color="000000"/>
            </w:tcBorders>
            <w:vAlign w:val="center"/>
          </w:tcPr>
          <w:p>
            <w:pPr>
              <w:pStyle w:val="tablecopy"/>
              <w:spacing w:before="0" w:after="0"/>
              <w:jc w:val="center"/>
            </w:pPr>
            <w:r>
              <w:rPr>
                <w:b/>
                <w:sz w:val="14"/>
              </w:rPr>
              <w:t xml:space="preserve">DistilRoBERTa</w:t>
            </w:r>
          </w:p>
        </w:tc>
        <w:tc>
          <w:tcPr>
            <w:tcW w:w="1440" w:type="dxa"/>
            <w:gridSpan w:val="2"/>
            <w:tcBorders>
              <w:bottom w:val="single" w:sz="4" w:space="0" w:color="000000"/>
            </w:tcBorders>
            <w:vAlign w:val="center"/>
          </w:tcPr>
          <w:p>
            <w:pPr>
              <w:pStyle w:val="tablecopy"/>
              <w:spacing w:before="0" w:after="0"/>
              <w:jc w:val="center"/>
            </w:pPr>
            <w:r>
              <w:rPr>
                <w:b/>
                <w:sz w:val="14"/>
              </w:rPr>
              <w:t xml:space="preserve">RoBERTa-base</w:t>
            </w:r>
          </w:p>
        </w:tc>
      </w:tr>
      <w:tr>
        <w:trPr>
          <w:cantSplit/>
        </w:trPr>
        <w:tc>
          <w:tcPr>
            <w:tcW w:type="dxa" w:w="2024"/>
            <w:vMerge/>
          </w:tcPr>
          <w:p/>
        </w:tc>
        <w:tc>
          <w:tcPr>
            <w:tcW w:w="720" w:type="dxa"/>
            <w:tcBorders>
              <w:bottom w:val="single" w:sz="4" w:space="0" w:color="000000"/>
            </w:tcBorders>
            <w:vAlign w:val="center"/>
          </w:tcPr>
          <w:p>
            <w:pPr>
              <w:pStyle w:val="tablecopy"/>
              <w:spacing w:before="0" w:after="0"/>
              <w:jc w:val="center"/>
            </w:pPr>
            <w:r>
              <w:rPr>
                <w:b/>
                <w:sz w:val="14"/>
              </w:rPr>
              <w:t xml:space="preserve">Comp. ↑</w:t>
            </w:r>
          </w:p>
        </w:tc>
        <w:tc>
          <w:tcPr>
            <w:tcW w:w="720" w:type="dxa"/>
            <w:tcBorders>
              <w:bottom w:val="single" w:sz="4" w:space="0" w:color="000000"/>
            </w:tcBorders>
            <w:vAlign w:val="center"/>
          </w:tcPr>
          <w:p>
            <w:pPr>
              <w:pStyle w:val="tablecopy"/>
              <w:spacing w:before="0" w:after="0"/>
              <w:jc w:val="center"/>
            </w:pPr>
            <w:r>
              <w:rPr>
                <w:b/>
                <w:sz w:val="14"/>
              </w:rPr>
              <w:t xml:space="preserve">Suff. ↓</w:t>
            </w:r>
          </w:p>
        </w:tc>
        <w:tc>
          <w:tcPr>
            <w:tcW w:w="720" w:type="dxa"/>
            <w:tcBorders>
              <w:bottom w:val="single" w:sz="4" w:space="0" w:color="000000"/>
            </w:tcBorders>
            <w:vAlign w:val="center"/>
          </w:tcPr>
          <w:p>
            <w:pPr>
              <w:pStyle w:val="tablecopy"/>
              <w:spacing w:before="0" w:after="0"/>
              <w:jc w:val="center"/>
            </w:pPr>
            <w:r>
              <w:rPr>
                <w:b/>
                <w:sz w:val="14"/>
              </w:rPr>
              <w:t xml:space="preserve">Comp. ↑</w:t>
            </w:r>
          </w:p>
        </w:tc>
        <w:tc>
          <w:tcPr>
            <w:tcW w:w="720" w:type="dxa"/>
            <w:tcBorders>
              <w:bottom w:val="single" w:sz="4" w:space="0" w:color="000000"/>
            </w:tcBorders>
            <w:vAlign w:val="center"/>
          </w:tcPr>
          <w:p>
            <w:pPr>
              <w:pStyle w:val="tablecopy"/>
              <w:spacing w:before="0" w:after="0"/>
              <w:jc w:val="center"/>
            </w:pPr>
            <w:r>
              <w:rPr>
                <w:b/>
                <w:sz w:val="14"/>
              </w:rPr>
              <w:t xml:space="preserve">Suff. ↓</w:t>
            </w:r>
          </w:p>
        </w:tc>
      </w:tr>
      <w:tr>
        <w:tc>
          <w:tcPr>
            <w:tcW w:w="2001" w:type="dxa"/>
            <w:vAlign w:val="center"/>
          </w:tcPr>
          <w:p>
            <w:pPr>
              <w:pStyle w:val="tablecopy"/>
              <w:spacing w:before="0" w:after="0"/>
              <w:jc w:val="left"/>
            </w:pPr>
            <w:r>
              <w:rPr>
                <w:sz w:val="14"/>
              </w:rPr>
              <w:t xml:space="preserve">LIME</w:t>
            </w:r>
          </w:p>
        </w:tc>
        <w:tc>
          <w:tcPr>
            <w:tcW w:w="720" w:type="dxa"/>
            <w:vAlign w:val="center"/>
          </w:tcPr>
          <w:p>
            <w:pPr>
              <w:pStyle w:val="tablecopy"/>
              <w:spacing w:before="0" w:after="0"/>
              <w:jc w:val="center"/>
            </w:pPr>
            <w:r>
              <w:rPr>
                <w:sz w:val="14"/>
              </w:rPr>
              <w:t xml:space="preserve">0.061</w:t>
            </w:r>
          </w:p>
        </w:tc>
        <w:tc>
          <w:tcPr>
            <w:tcW w:w="720" w:type="dxa"/>
            <w:vAlign w:val="center"/>
          </w:tcPr>
          <w:p>
            <w:pPr>
              <w:pStyle w:val="tablecopy"/>
              <w:spacing w:before="0" w:after="0"/>
              <w:jc w:val="center"/>
            </w:pPr>
            <w:r>
              <w:rPr>
                <w:b/>
                <w:sz w:val="14"/>
              </w:rPr>
              <w:t xml:space="preserve">0.002</w:t>
            </w:r>
          </w:p>
        </w:tc>
        <w:tc>
          <w:tcPr>
            <w:tcW w:w="720" w:type="dxa"/>
            <w:vAlign w:val="center"/>
          </w:tcPr>
          <w:p>
            <w:pPr>
              <w:pStyle w:val="tablecopy"/>
              <w:spacing w:before="0" w:after="0"/>
              <w:jc w:val="center"/>
            </w:pPr>
            <w:r>
              <w:rPr>
                <w:b/>
                <w:sz w:val="14"/>
              </w:rPr>
              <w:t xml:space="preserve">0.042</w:t>
            </w:r>
          </w:p>
        </w:tc>
        <w:tc>
          <w:tcPr>
            <w:tcW w:w="720" w:type="dxa"/>
            <w:vAlign w:val="center"/>
          </w:tcPr>
          <w:p>
            <w:pPr>
              <w:pStyle w:val="tablecopy"/>
              <w:spacing w:before="0" w:after="0"/>
              <w:jc w:val="center"/>
            </w:pPr>
            <w:r>
              <w:rPr>
                <w:sz w:val="14"/>
              </w:rPr>
              <w:t xml:space="preserve">0.034</w:t>
            </w:r>
          </w:p>
        </w:tc>
      </w:tr>
      <w:tr>
        <w:tc>
          <w:tcPr>
            <w:tcW w:w="2001" w:type="dxa"/>
            <w:vAlign w:val="center"/>
          </w:tcPr>
          <w:p>
            <w:pPr>
              <w:pStyle w:val="tablecopy"/>
              <w:spacing w:before="0" w:after="0"/>
              <w:jc w:val="left"/>
            </w:pPr>
            <w:r>
              <w:rPr>
                <w:sz w:val="14"/>
              </w:rPr>
              <w:t xml:space="preserve">SHAP</w:t>
            </w:r>
          </w:p>
        </w:tc>
        <w:tc>
          <w:tcPr>
            <w:tcW w:w="720" w:type="dxa"/>
            <w:vAlign w:val="center"/>
          </w:tcPr>
          <w:p>
            <w:pPr>
              <w:pStyle w:val="tablecopy"/>
              <w:spacing w:before="0" w:after="0"/>
              <w:jc w:val="center"/>
            </w:pPr>
            <w:r>
              <w:rPr>
                <w:sz w:val="14"/>
              </w:rPr>
              <w:t xml:space="preserve">0.034</w:t>
            </w:r>
          </w:p>
        </w:tc>
        <w:tc>
          <w:tcPr>
            <w:tcW w:w="720" w:type="dxa"/>
            <w:vAlign w:val="center"/>
          </w:tcPr>
          <w:p>
            <w:pPr>
              <w:pStyle w:val="tablecopy"/>
              <w:spacing w:before="0" w:after="0"/>
              <w:jc w:val="center"/>
            </w:pPr>
            <w:r>
              <w:rPr>
                <w:sz w:val="14"/>
              </w:rPr>
              <w:t xml:space="preserve">0.007</w:t>
            </w:r>
          </w:p>
        </w:tc>
        <w:tc>
          <w:tcPr>
            <w:tcW w:w="720" w:type="dxa"/>
            <w:vAlign w:val="center"/>
          </w:tcPr>
          <w:p>
            <w:pPr>
              <w:pStyle w:val="tablecopy"/>
              <w:spacing w:before="0" w:after="0"/>
              <w:jc w:val="center"/>
            </w:pPr>
            <w:r>
              <w:rPr>
                <w:sz w:val="14"/>
              </w:rPr>
              <w:t xml:space="preserve">0.036</w:t>
            </w:r>
          </w:p>
        </w:tc>
        <w:tc>
          <w:tcPr>
            <w:tcW w:w="720" w:type="dxa"/>
            <w:vAlign w:val="center"/>
          </w:tcPr>
          <w:p>
            <w:pPr>
              <w:pStyle w:val="tablecopy"/>
              <w:spacing w:before="0" w:after="0"/>
              <w:jc w:val="center"/>
            </w:pPr>
            <w:r>
              <w:rPr>
                <w:b/>
                <w:sz w:val="14"/>
              </w:rPr>
              <w:t xml:space="preserve">0.006</w:t>
            </w:r>
          </w:p>
        </w:tc>
      </w:tr>
      <w:tr>
        <w:tc>
          <w:tcPr>
            <w:tcW w:w="2001" w:type="dxa"/>
            <w:vAlign w:val="center"/>
          </w:tcPr>
          <w:p>
            <w:pPr>
              <w:pStyle w:val="tablecopy"/>
              <w:spacing w:before="0" w:after="0"/>
              <w:jc w:val="left"/>
            </w:pPr>
            <w:r>
              <w:rPr>
                <w:sz w:val="14"/>
              </w:rPr>
              <w:t xml:space="preserve">IG</w:t>
            </w:r>
          </w:p>
        </w:tc>
        <w:tc>
          <w:tcPr>
            <w:tcW w:w="720" w:type="dxa"/>
            <w:vAlign w:val="center"/>
          </w:tcPr>
          <w:p>
            <w:pPr>
              <w:pStyle w:val="tablecopy"/>
              <w:spacing w:before="0" w:after="0"/>
              <w:jc w:val="center"/>
            </w:pPr>
            <w:r>
              <w:rPr>
                <w:sz w:val="14"/>
              </w:rPr>
              <w:t xml:space="preserve">0.064</w:t>
            </w:r>
          </w:p>
        </w:tc>
        <w:tc>
          <w:tcPr>
            <w:tcW w:w="720" w:type="dxa"/>
            <w:vAlign w:val="center"/>
          </w:tcPr>
          <w:p>
            <w:pPr>
              <w:pStyle w:val="tablecopy"/>
              <w:spacing w:before="0" w:after="0"/>
              <w:jc w:val="center"/>
            </w:pPr>
            <w:r>
              <w:rPr>
                <w:sz w:val="14"/>
              </w:rPr>
              <w:t xml:space="preserve">0.009</w:t>
            </w:r>
          </w:p>
        </w:tc>
        <w:tc>
          <w:tcPr>
            <w:tcW w:w="720" w:type="dxa"/>
            <w:vAlign w:val="center"/>
          </w:tcPr>
          <w:p>
            <w:pPr>
              <w:pStyle w:val="tablecopy"/>
              <w:spacing w:before="0" w:after="0"/>
              <w:jc w:val="center"/>
            </w:pPr>
            <w:r>
              <w:rPr>
                <w:sz w:val="14"/>
              </w:rPr>
              <w:t xml:space="preserve">0.014</w:t>
            </w:r>
          </w:p>
        </w:tc>
        <w:tc>
          <w:tcPr>
            <w:tcW w:w="720" w:type="dxa"/>
            <w:vAlign w:val="center"/>
          </w:tcPr>
          <w:p>
            <w:pPr>
              <w:pStyle w:val="tablecopy"/>
              <w:spacing w:before="0" w:after="0"/>
              <w:jc w:val="center"/>
            </w:pPr>
            <w:r>
              <w:rPr>
                <w:sz w:val="14"/>
              </w:rPr>
              <w:t xml:space="preserve">0.154</w:t>
            </w:r>
          </w:p>
        </w:tc>
      </w:tr>
      <w:tr>
        <w:tc>
          <w:tcPr>
            <w:tcW w:w="2001" w:type="dxa"/>
            <w:vAlign w:val="center"/>
          </w:tcPr>
          <w:p>
            <w:pPr>
              <w:pStyle w:val="tablecopy"/>
              <w:spacing w:before="0" w:after="0"/>
              <w:jc w:val="left"/>
            </w:pPr>
            <w:r>
              <w:rPr>
                <w:sz w:val="14"/>
              </w:rPr>
              <w:t xml:space="preserve">Hybrid, α = 0.5, min-max [1]</w:t>
            </w:r>
          </w:p>
        </w:tc>
        <w:tc>
          <w:tcPr>
            <w:tcW w:w="720" w:type="dxa"/>
            <w:vAlign w:val="center"/>
          </w:tcPr>
          <w:p>
            <w:pPr>
              <w:pStyle w:val="tablecopy"/>
              <w:spacing w:before="0" w:after="0"/>
              <w:jc w:val="center"/>
            </w:pPr>
            <w:r>
              <w:rPr>
                <w:sz w:val="14"/>
              </w:rPr>
              <w:t xml:space="preserve">0.079</w:t>
            </w:r>
          </w:p>
        </w:tc>
        <w:tc>
          <w:tcPr>
            <w:tcW w:w="720" w:type="dxa"/>
            <w:vAlign w:val="center"/>
          </w:tcPr>
          <w:p>
            <w:pPr>
              <w:pStyle w:val="tablecopy"/>
              <w:spacing w:before="0" w:after="0"/>
              <w:jc w:val="center"/>
            </w:pPr>
            <w:r>
              <w:rPr>
                <w:sz w:val="14"/>
              </w:rPr>
              <w:t xml:space="preserve">0.003</w:t>
            </w:r>
          </w:p>
        </w:tc>
        <w:tc>
          <w:tcPr>
            <w:tcW w:w="720" w:type="dxa"/>
            <w:vAlign w:val="center"/>
          </w:tcPr>
          <w:p>
            <w:pPr>
              <w:pStyle w:val="tablecopy"/>
              <w:spacing w:before="0" w:after="0"/>
              <w:jc w:val="center"/>
            </w:pPr>
            <w:r>
              <w:rPr>
                <w:sz w:val="14"/>
              </w:rPr>
              <w:t xml:space="preserve">0.024</w:t>
            </w:r>
          </w:p>
        </w:tc>
        <w:tc>
          <w:tcPr>
            <w:tcW w:w="720" w:type="dxa"/>
            <w:vAlign w:val="center"/>
          </w:tcPr>
          <w:p>
            <w:pPr>
              <w:pStyle w:val="tablecopy"/>
              <w:spacing w:before="0" w:after="0"/>
              <w:jc w:val="center"/>
            </w:pPr>
            <w:r>
              <w:rPr>
                <w:sz w:val="14"/>
              </w:rPr>
              <w:t xml:space="preserve">0.062</w:t>
            </w:r>
          </w:p>
        </w:tc>
      </w:tr>
      <w:tr>
        <w:tc>
          <w:tcPr>
            <w:tcW w:w="2001" w:type="dxa"/>
            <w:vAlign w:val="center"/>
          </w:tcPr>
          <w:p>
            <w:pPr>
              <w:pStyle w:val="tablecopy"/>
              <w:spacing w:before="0" w:after="0"/>
              <w:jc w:val="left"/>
            </w:pPr>
            <w:r>
              <w:rPr>
                <w:sz w:val="14"/>
              </w:rPr>
              <w:t xml:space="preserve">Hybrid, α = 0.5, abs-max</w:t>
            </w:r>
          </w:p>
        </w:tc>
        <w:tc>
          <w:tcPr>
            <w:tcW w:w="720" w:type="dxa"/>
            <w:vAlign w:val="center"/>
          </w:tcPr>
          <w:p>
            <w:pPr>
              <w:pStyle w:val="tablecopy"/>
              <w:spacing w:before="0" w:after="0"/>
              <w:jc w:val="center"/>
            </w:pPr>
            <w:r>
              <w:rPr>
                <w:b/>
                <w:sz w:val="14"/>
              </w:rPr>
              <w:t xml:space="preserve">0.080</w:t>
            </w:r>
          </w:p>
        </w:tc>
        <w:tc>
          <w:tcPr>
            <w:tcW w:w="720" w:type="dxa"/>
            <w:vAlign w:val="center"/>
          </w:tcPr>
          <w:p>
            <w:pPr>
              <w:pStyle w:val="tablecopy"/>
              <w:spacing w:before="0" w:after="0"/>
              <w:jc w:val="center"/>
            </w:pPr>
            <w:r>
              <w:rPr>
                <w:sz w:val="14"/>
              </w:rPr>
              <w:t xml:space="preserve">0.003</w:t>
            </w:r>
          </w:p>
        </w:tc>
        <w:tc>
          <w:tcPr>
            <w:tcW w:w="720" w:type="dxa"/>
            <w:vAlign w:val="center"/>
          </w:tcPr>
          <w:p>
            <w:pPr>
              <w:pStyle w:val="tablecopy"/>
              <w:spacing w:before="0" w:after="0"/>
              <w:jc w:val="center"/>
            </w:pPr>
            <w:r>
              <w:rPr>
                <w:sz w:val="14"/>
              </w:rPr>
              <w:t xml:space="preserve">0.024</w:t>
            </w:r>
          </w:p>
        </w:tc>
        <w:tc>
          <w:tcPr>
            <w:tcW w:w="720" w:type="dxa"/>
            <w:vAlign w:val="center"/>
          </w:tcPr>
          <w:p>
            <w:pPr>
              <w:pStyle w:val="tablecopy"/>
              <w:spacing w:before="0" w:after="0"/>
              <w:jc w:val="center"/>
            </w:pPr>
            <w:r>
              <w:rPr>
                <w:sz w:val="14"/>
              </w:rPr>
              <w:t xml:space="preserve">0.058</w:t>
            </w:r>
          </w:p>
        </w:tc>
      </w:tr>
      <w:tr>
        <w:tc>
          <w:tcPr>
            <w:tcW w:w="2001" w:type="dxa"/>
            <w:vAlign w:val="center"/>
          </w:tcPr>
          <w:p>
            <w:pPr>
              <w:pStyle w:val="tablecopy"/>
              <w:spacing w:before="0" w:after="0"/>
              <w:jc w:val="left"/>
            </w:pPr>
            <w:r>
              <w:rPr>
                <w:sz w:val="14"/>
              </w:rPr>
              <w:t xml:space="preserve">Hybrid, tuned α*, abs-max</w:t>
            </w:r>
          </w:p>
        </w:tc>
        <w:tc>
          <w:tcPr>
            <w:tcW w:w="720" w:type="dxa"/>
            <w:vAlign w:val="center"/>
          </w:tcPr>
          <w:p>
            <w:pPr>
              <w:pStyle w:val="tablecopy"/>
              <w:spacing w:before="0" w:after="0"/>
              <w:jc w:val="center"/>
            </w:pPr>
            <w:r>
              <w:rPr>
                <w:sz w:val="14"/>
              </w:rPr>
              <w:t xml:space="preserve">0.077</w:t>
            </w:r>
          </w:p>
        </w:tc>
        <w:tc>
          <w:tcPr>
            <w:tcW w:w="720" w:type="dxa"/>
            <w:vAlign w:val="center"/>
          </w:tcPr>
          <w:p>
            <w:pPr>
              <w:pStyle w:val="tablecopy"/>
              <w:spacing w:before="0" w:after="0"/>
              <w:jc w:val="center"/>
            </w:pPr>
            <w:r>
              <w:rPr>
                <w:sz w:val="14"/>
              </w:rPr>
              <w:t xml:space="preserve">0.003</w:t>
            </w:r>
          </w:p>
        </w:tc>
        <w:tc>
          <w:tcPr>
            <w:tcW w:w="720" w:type="dxa"/>
            <w:vAlign w:val="center"/>
          </w:tcPr>
          <w:p>
            <w:pPr>
              <w:pStyle w:val="tablecopy"/>
              <w:spacing w:before="0" w:after="0"/>
              <w:jc w:val="center"/>
            </w:pPr>
            <w:r>
              <w:rPr>
                <w:b/>
                <w:sz w:val="14"/>
              </w:rPr>
              <w:t xml:space="preserve">0.042</w:t>
            </w:r>
          </w:p>
        </w:tc>
        <w:tc>
          <w:tcPr>
            <w:tcW w:w="720" w:type="dxa"/>
            <w:vAlign w:val="center"/>
          </w:tcPr>
          <w:p>
            <w:pPr>
              <w:pStyle w:val="tablecopy"/>
              <w:spacing w:before="0" w:after="0"/>
              <w:jc w:val="center"/>
            </w:pPr>
            <w:r>
              <w:rPr>
                <w:sz w:val="14"/>
              </w:rPr>
              <w:t xml:space="preserve">0.034</w:t>
            </w:r>
          </w:p>
        </w:tc>
      </w:tr>
      <w:tr>
        <w:tc>
          <w:tcPr>
            <w:tcW w:w="2001" w:type="dxa"/>
            <w:vAlign w:val="center"/>
          </w:tcPr>
          <w:p>
            <w:pPr>
              <w:pStyle w:val="tablecopy"/>
              <w:spacing w:before="0" w:after="0"/>
              <w:jc w:val="left"/>
            </w:pPr>
            <w:r>
              <w:rPr>
                <w:sz w:val="14"/>
              </w:rPr>
              <w:t xml:space="preserve">Random order</w:t>
            </w:r>
          </w:p>
        </w:tc>
        <w:tc>
          <w:tcPr>
            <w:tcW w:w="720" w:type="dxa"/>
            <w:vAlign w:val="center"/>
          </w:tcPr>
          <w:p>
            <w:pPr>
              <w:pStyle w:val="tablecopy"/>
              <w:spacing w:before="0" w:after="0"/>
              <w:jc w:val="center"/>
            </w:pPr>
            <w:r>
              <w:rPr>
                <w:sz w:val="14"/>
              </w:rPr>
              <w:t xml:space="preserve">0.012</w:t>
            </w:r>
          </w:p>
        </w:tc>
        <w:tc>
          <w:tcPr>
            <w:tcW w:w="720" w:type="dxa"/>
            <w:vAlign w:val="center"/>
          </w:tcPr>
          <w:p>
            <w:pPr>
              <w:pStyle w:val="tablecopy"/>
              <w:spacing w:before="0" w:after="0"/>
              <w:jc w:val="center"/>
            </w:pPr>
            <w:r>
              <w:rPr>
                <w:sz w:val="14"/>
              </w:rPr>
              <w:t xml:space="preserve">0.091</w:t>
            </w:r>
          </w:p>
        </w:tc>
        <w:tc>
          <w:tcPr>
            <w:tcW w:w="720" w:type="dxa"/>
            <w:vAlign w:val="center"/>
          </w:tcPr>
          <w:p>
            <w:pPr>
              <w:pStyle w:val="tablecopy"/>
              <w:spacing w:before="0" w:after="0"/>
              <w:jc w:val="center"/>
            </w:pPr>
            <w:r>
              <w:rPr>
                <w:sz w:val="14"/>
              </w:rPr>
              <w:t xml:space="preserve">0.016</w:t>
            </w:r>
          </w:p>
        </w:tc>
        <w:tc>
          <w:tcPr>
            <w:tcW w:w="720" w:type="dxa"/>
            <w:vAlign w:val="center"/>
          </w:tcPr>
          <w:p>
            <w:pPr>
              <w:pStyle w:val="tablecopy"/>
              <w:spacing w:before="0" w:after="0"/>
              <w:jc w:val="center"/>
            </w:pPr>
            <w:r>
              <w:rPr>
                <w:sz w:val="14"/>
              </w:rPr>
              <w:t xml:space="preserve">0.146</w:t>
            </w:r>
          </w:p>
        </w:tc>
      </w:tr>
    </w:tbl>
    <w:p>
      <w:pPr>
        <w:pStyle w:val="BodyText"/>
        <w:rPr/>
        <w:ind w:firstLine="0" w:start="0"/>
        <w:spacing w:before="0" w:after="60" w:line="240" w:lineRule="auto"/>
      </w:pPr>
    </w:p>
    <w:p>
      <w:pPr>
        <w:pStyle w:val="BodyText"/>
        <w:rPr/>
      </w:pPr>
      <w:r>
        <w:t xml:space="preserve">Table III and Fig. 2 report faithfulness (Comp. is comprehensiveness and Suff. is sufficiency). For DistilRoBERTa, the fixed α = 0.5 hybrid has the numerically highest comprehensiveness (0.080 with abs-max, 0.079 with min-max), ahead of IG (0.064), LIME (0.061) and SHAP (0.034); a random ordering gives 0.012. All methods have low sufficiency (0.002–0.009) against 0.091 for random order. The validation sweep (Fig. 3) is flat between α = 0.5 and 0.8 and selected α* = 0.6, which scored 0.077 on the test emails, slightly below the fixed α = 0.5. We ran paired tests only for the tuned hybrid: it is not significantly better than LIME (Wilcoxon </w:t>
      </w:r>
      <w:r>
        <w:rPr>
          <w:i/>
        </w:rPr>
        <w:t xml:space="preserve">p</w:t>
      </w:r>
      <w:r>
        <w:t xml:space="preserve"> = 0.116) but is better than SHAP and IG (</w:t>
      </w:r>
      <w:r>
        <w:rPr>
          <w:i/>
        </w:rPr>
        <w:t xml:space="preserve">p</w:t>
      </w:r>
      <w:r>
        <w:t xml:space="preserve"> &lt; 0.001).</w:t>
      </w:r>
    </w:p>
    <w:p>
      <w:pPr>
        <w:pStyle w:val="BodyText"/>
        <w:rPr/>
      </w:pPr>
      <w:r>
        <w:t xml:space="preserve">For RoBERTa-base the picture reverses. LIME (0.042) and SHAP (0.036) have the highest comprehensiveness, and the tuned hybrid, which equals LIME, does not differ significantly from SHAP (</w:t>
      </w:r>
      <w:r>
        <w:rPr>
          <w:i/>
        </w:rPr>
        <w:t xml:space="preserve">p</w:t>
      </w:r>
      <w:r>
        <w:t xml:space="preserve"> = 0.124). IG (0.014) is at or below random order (0.016) and has sufficiency 0.154 against 0.146 for random; we did not test this difference. The α = 0.5 hybrid (0.024) is therefore worse than LIME alone, and validation selects α* = 1.0, i.e. LIME only. SHAP has the best sufficiency (0.006). Absolute effects are small: Table III averages over </w:t>
      </w:r>
      <w:r>
        <w:rPr>
          <w:i/>
        </w:rPr>
        <w:t xml:space="preserve">k</w:t>
      </w:r>
      <w:r>
        <w:t xml:space="preserve"> = 1–10, and even the best methods lower the probability by only about 0.15 at </w:t>
      </w:r>
      <w:r>
        <w:rPr>
          <w:i/>
        </w:rPr>
        <w:t xml:space="preserve">k</w:t>
      </w:r>
      <w:r>
        <w:t xml:space="preserve"> = 10 (Fig. 2). This may reflect redundant cues or predictions saturated near 1; we did not test either. Relative to random order, the best method is 6.8 times better for DistilRoBERTa and 2.7 times for RoBERTa-base (ratios of unrounded means). The choice between min-max and abs-max normalisation changed the hybrid’s comprehensiveness by at most 0.0004. Per email on a T4, LIME, SHAP and IG took 0.56, 0.72 and 0.21 s for DistilRoBERTa and 0.87, 1.05 and 0.41 s for RoBERTa-base, with different budgets (500 samples, 300 evaluations and 30 steps).</w:t>
      </w:r>
    </w:p>
    <w:p>
      <w:pPr>
        <w:pStyle w:val="BodyText"/>
        <w:keepNext/>
        <w:rPr/>
        <w:ind w:firstLine="0" w:start="0"/>
        <w:spacing w:before="0" w:after="40" w:line="240" w:lineRule="auto"/>
        <w:jc w:val="center"/>
      </w:pPr>
      <w:r>
        <w:drawing>
          <wp:inline xmlns:a="http://schemas.openxmlformats.org/drawingml/2006/main" xmlns:pic="http://schemas.openxmlformats.org/drawingml/2006/picture">
            <wp:extent cx="2788920" cy="3869917"/>
            <wp:docPr id="3" name="Picture 3"/>
            <wp:cNvGraphicFramePr>
              <a:graphicFrameLocks noChangeAspect="1"/>
            </wp:cNvGraphicFramePr>
            <a:graphic>
              <a:graphicData uri="http://schemas.openxmlformats.org/drawingml/2006/picture">
                <pic:pic>
                  <pic:nvPicPr>
                    <pic:cNvPr id="0" name="fig2_curves.png"/>
                    <pic:cNvPicPr/>
                  </pic:nvPicPr>
                  <pic:blipFill>
                    <a:blip r:embed="rId9"/>
                    <a:stretch>
                      <a:fillRect/>
                    </a:stretch>
                  </pic:blipFill>
                  <pic:spPr>
                    <a:xfrm>
                      <a:off x="0" y="0"/>
                      <a:ext cx="2788920" cy="3869917"/>
                    </a:xfrm>
                    <a:prstGeom prst="rect"/>
                  </pic:spPr>
                </pic:pic>
              </a:graphicData>
            </a:graphic>
          </wp:inline>
        </w:drawing>
      </w:r>
    </w:p>
    <w:p>
      <w:pPr>
        <w:pStyle w:val="figurecaption"/>
        <w:numPr>
          <w:ilvl w:val="0"/>
          <w:numId w:val="6"/>
        </w:numPr>
        <w:rPr/>
      </w:pPr>
      <w:r>
        <w:t xml:space="preserve">Comprehensiveness (top) and sufficiency (bottom) against the number of top-ranked words </w:t>
      </w:r>
      <w:r>
        <w:rPr>
          <w:i/>
        </w:rPr>
        <w:t xml:space="preserve">k</w:t>
      </w:r>
      <w:r>
        <w:t xml:space="preserve"> for DistilRoBERTa, averaged over 100 emails.</w:t>
      </w:r>
    </w:p>
    <w:p>
      <w:pPr>
        <w:pStyle w:val="BodyText"/>
        <w:keepNext/>
        <w:rPr/>
        <w:ind w:firstLine="0" w:start="0"/>
        <w:spacing w:before="0" w:after="40" w:line="240" w:lineRule="auto"/>
        <w:jc w:val="center"/>
      </w:pPr>
      <w:r>
        <w:drawing>
          <wp:inline xmlns:a="http://schemas.openxmlformats.org/drawingml/2006/main" xmlns:pic="http://schemas.openxmlformats.org/drawingml/2006/picture">
            <wp:extent cx="2926080" cy="1850315"/>
            <wp:docPr id="3" name="Picture 3"/>
            <wp:cNvGraphicFramePr>
              <a:graphicFrameLocks noChangeAspect="1"/>
            </wp:cNvGraphicFramePr>
            <a:graphic>
              <a:graphicData uri="http://schemas.openxmlformats.org/drawingml/2006/picture">
                <pic:pic>
                  <pic:nvPicPr>
                    <pic:cNvPr id="0" name="fig3_alpha.png"/>
                    <pic:cNvPicPr/>
                  </pic:nvPicPr>
                  <pic:blipFill>
                    <a:blip r:embed="rId10"/>
                    <a:stretch>
                      <a:fillRect/>
                    </a:stretch>
                  </pic:blipFill>
                  <pic:spPr>
                    <a:xfrm>
                      <a:off x="0" y="0"/>
                      <a:ext cx="2926080" cy="1850315"/>
                    </a:xfrm>
                    <a:prstGeom prst="rect"/>
                  </pic:spPr>
                </pic:pic>
              </a:graphicData>
            </a:graphic>
          </wp:inline>
        </w:drawing>
      </w:r>
    </w:p>
    <w:p>
      <w:pPr>
        <w:pStyle w:val="figurecaption"/>
        <w:numPr>
          <w:ilvl w:val="0"/>
          <w:numId w:val="6"/>
        </w:numPr>
        <w:rPr/>
      </w:pPr>
      <w:r>
        <w:t xml:space="preserve">Validation comprehensiveness against the LIME weight α for both models and both normalisations (40 validation emails, no confidence bands). RoBERTa-base peaks at α = 1.</w:t>
      </w:r>
    </w:p>
    <w:p>
      <w:pPr>
        <w:pStyle w:val="Heading2"/>
        <w:ind w:hanging="0" w:start="0"/>
        <w:rPr/>
      </w:pPr>
      <w:r>
        <w:t xml:space="preserve">Agreement Between Explainers</w:t>
      </w:r>
    </w:p>
    <w:p>
      <w:pPr>
        <w:pStyle w:val="tablehead"/>
        <w:keepNext/>
        <w:numPr>
          <w:ilvl w:val="0"/>
          <w:numId w:val="7"/>
        </w:numPr>
        <w:ind w:hanging="0" w:start="0"/>
        <w:rPr/>
      </w:pPr>
      <w:r>
        <w:t xml:space="preserve">Agreement between explainers (mean ± sd over 100 emails)</w:t>
      </w:r>
    </w:p>
    <w:tbl>
      <w:tblPr>
        <w:tblLook w:firstColumn="1" w:firstRow="1" w:lastColumn="0" w:lastRow="0" w:noHBand="0" w:noVBand="1" w:val="04A0"/>
        <w:tblW w:w="4881" w:type="dxa"/>
        <w:jc w:val="center"/>
        <w:tblBorders>
          <w:top w:val="single" w:sz="8" w:space="0" w:color="000000"/>
          <w:bottom w:val="single" w:sz="8" w:space="0" w:color="000000"/>
        </w:tblBorders>
        <w:tblLayout w:type="fixed"/>
        <w:tblCellMar>
          <w:top w:w="15" w:type="dxa"/>
          <w:left w:w="40" w:type="dxa"/>
          <w:bottom w:w="15" w:type="dxa"/>
          <w:right w:w="40" w:type="dxa"/>
        </w:tblCellMar>
      </w:tblPr>
      <w:tblGrid>
        <w:gridCol w:w="2520"/>
        <w:gridCol w:w="1180"/>
        <w:gridCol w:w="1180"/>
      </w:tblGrid>
      <w:tr>
        <w:trPr>
          <w:cantSplit/>
        </w:trPr>
        <w:tc>
          <w:tcPr>
            <w:tcW w:w="2520" w:type="dxa"/>
            <w:tcBorders>
              <w:bottom w:val="single" w:sz="4" w:space="0" w:color="000000"/>
            </w:tcBorders>
            <w:vAlign w:val="center"/>
          </w:tcPr>
          <w:p>
            <w:pPr>
              <w:pStyle w:val="tablecopy"/>
              <w:spacing w:before="0" w:after="0"/>
              <w:jc w:val="left"/>
            </w:pPr>
            <w:r>
              <w:rPr>
                <w:b/>
                <w:sz w:val="14"/>
              </w:rPr>
              <w:t xml:space="preserve">Measure</w:t>
            </w:r>
          </w:p>
        </w:tc>
        <w:tc>
          <w:tcPr>
            <w:tcW w:w="1180" w:type="dxa"/>
            <w:tcBorders>
              <w:bottom w:val="single" w:sz="4" w:space="0" w:color="000000"/>
            </w:tcBorders>
            <w:vAlign w:val="center"/>
          </w:tcPr>
          <w:p>
            <w:pPr>
              <w:pStyle w:val="tablecopy"/>
              <w:spacing w:before="0" w:after="0"/>
              <w:jc w:val="center"/>
            </w:pPr>
            <w:r>
              <w:rPr>
                <w:b/>
                <w:sz w:val="14"/>
              </w:rPr>
              <w:t xml:space="preserve">DistilRoBERTa</w:t>
            </w:r>
          </w:p>
        </w:tc>
        <w:tc>
          <w:tcPr>
            <w:tcW w:w="1180" w:type="dxa"/>
            <w:tcBorders>
              <w:bottom w:val="single" w:sz="4" w:space="0" w:color="000000"/>
            </w:tcBorders>
            <w:vAlign w:val="center"/>
          </w:tcPr>
          <w:p>
            <w:pPr>
              <w:pStyle w:val="tablecopy"/>
              <w:spacing w:before="0" w:after="0"/>
              <w:jc w:val="center"/>
            </w:pPr>
            <w:r>
              <w:rPr>
                <w:b/>
                <w:sz w:val="14"/>
              </w:rPr>
              <w:t xml:space="preserve">RoBERTa-base</w:t>
            </w:r>
          </w:p>
        </w:tc>
      </w:tr>
      <w:tr>
        <w:tc>
          <w:tcPr>
            <w:tcW w:w="2520" w:type="dxa"/>
            <w:vAlign w:val="center"/>
          </w:tcPr>
          <w:p>
            <w:pPr>
              <w:pStyle w:val="tablecopy"/>
              <w:spacing w:before="0" w:after="0"/>
              <w:jc w:val="left"/>
            </w:pPr>
            <w:r>
              <w:rPr>
                <w:sz w:val="14"/>
              </w:rPr>
              <w:t xml:space="preserve">Spearman, LIME vs. IG</w:t>
            </w:r>
          </w:p>
        </w:tc>
        <w:tc>
          <w:tcPr>
            <w:tcW w:w="1180" w:type="dxa"/>
            <w:vAlign w:val="center"/>
          </w:tcPr>
          <w:p>
            <w:pPr>
              <w:pStyle w:val="tablecopy"/>
              <w:spacing w:before="0" w:after="0"/>
              <w:jc w:val="center"/>
            </w:pPr>
            <w:r>
              <w:rPr>
                <w:sz w:val="14"/>
              </w:rPr>
              <w:t xml:space="preserve">0.38 ± 0.19</w:t>
            </w:r>
          </w:p>
        </w:tc>
        <w:tc>
          <w:tcPr>
            <w:tcW w:w="1180" w:type="dxa"/>
            <w:vAlign w:val="center"/>
          </w:tcPr>
          <w:p>
            <w:pPr>
              <w:pStyle w:val="tablecopy"/>
              <w:spacing w:before="0" w:after="0"/>
              <w:jc w:val="center"/>
            </w:pPr>
            <w:r>
              <w:rPr>
                <w:sz w:val="14"/>
              </w:rPr>
              <w:t xml:space="preserve">−0.01 ± 0.19</w:t>
            </w:r>
          </w:p>
        </w:tc>
      </w:tr>
      <w:tr>
        <w:tc>
          <w:tcPr>
            <w:tcW w:w="2520" w:type="dxa"/>
            <w:vAlign w:val="center"/>
          </w:tcPr>
          <w:p>
            <w:pPr>
              <w:pStyle w:val="tablecopy"/>
              <w:spacing w:before="0" w:after="0"/>
              <w:jc w:val="left"/>
            </w:pPr>
            <w:r>
              <w:rPr>
                <w:sz w:val="14"/>
              </w:rPr>
              <w:t xml:space="preserve">Spearman, LIME vs. SHAP</w:t>
            </w:r>
          </w:p>
        </w:tc>
        <w:tc>
          <w:tcPr>
            <w:tcW w:w="1180" w:type="dxa"/>
            <w:vAlign w:val="center"/>
          </w:tcPr>
          <w:p>
            <w:pPr>
              <w:pStyle w:val="tablecopy"/>
              <w:spacing w:before="0" w:after="0"/>
              <w:jc w:val="center"/>
            </w:pPr>
            <w:r>
              <w:rPr>
                <w:sz w:val="14"/>
              </w:rPr>
              <w:t xml:space="preserve">0.29 ± 0.17</w:t>
            </w:r>
          </w:p>
        </w:tc>
        <w:tc>
          <w:tcPr>
            <w:tcW w:w="1180" w:type="dxa"/>
            <w:vAlign w:val="center"/>
          </w:tcPr>
          <w:p>
            <w:pPr>
              <w:pStyle w:val="tablecopy"/>
              <w:spacing w:before="0" w:after="0"/>
              <w:jc w:val="center"/>
            </w:pPr>
            <w:r>
              <w:rPr>
                <w:sz w:val="14"/>
              </w:rPr>
              <w:t xml:space="preserve">0.19 ± 0.15</w:t>
            </w:r>
          </w:p>
        </w:tc>
      </w:tr>
      <w:tr>
        <w:tc>
          <w:tcPr>
            <w:tcW w:w="2520" w:type="dxa"/>
            <w:vAlign w:val="center"/>
          </w:tcPr>
          <w:p>
            <w:pPr>
              <w:pStyle w:val="tablecopy"/>
              <w:spacing w:before="0" w:after="0"/>
              <w:jc w:val="left"/>
            </w:pPr>
            <w:r>
              <w:rPr>
                <w:sz w:val="14"/>
              </w:rPr>
              <w:t xml:space="preserve">Spearman, SHAP vs. IG</w:t>
            </w:r>
          </w:p>
        </w:tc>
        <w:tc>
          <w:tcPr>
            <w:tcW w:w="1180" w:type="dxa"/>
            <w:vAlign w:val="center"/>
          </w:tcPr>
          <w:p>
            <w:pPr>
              <w:pStyle w:val="tablecopy"/>
              <w:spacing w:before="0" w:after="0"/>
              <w:jc w:val="center"/>
            </w:pPr>
            <w:r>
              <w:rPr>
                <w:sz w:val="14"/>
              </w:rPr>
              <w:t xml:space="preserve">0.22 ± 0.17</w:t>
            </w:r>
          </w:p>
        </w:tc>
        <w:tc>
          <w:tcPr>
            <w:tcW w:w="1180" w:type="dxa"/>
            <w:vAlign w:val="center"/>
          </w:tcPr>
          <w:p>
            <w:pPr>
              <w:pStyle w:val="tablecopy"/>
              <w:spacing w:before="0" w:after="0"/>
              <w:jc w:val="center"/>
            </w:pPr>
            <w:r>
              <w:rPr>
                <w:sz w:val="14"/>
              </w:rPr>
              <w:t xml:space="preserve">−0.03 ± 0.17</w:t>
            </w:r>
          </w:p>
        </w:tc>
      </w:tr>
      <w:tr>
        <w:tc>
          <w:tcPr>
            <w:tcW w:w="2520" w:type="dxa"/>
            <w:vAlign w:val="center"/>
          </w:tcPr>
          <w:p>
            <w:pPr>
              <w:pStyle w:val="tablecopy"/>
              <w:spacing w:before="0" w:after="0"/>
              <w:jc w:val="left"/>
            </w:pPr>
            <w:r>
              <w:rPr>
                <w:sz w:val="14"/>
              </w:rPr>
              <w:t xml:space="preserve">Top-5 Jaccard, LIME vs. IG</w:t>
            </w:r>
          </w:p>
        </w:tc>
        <w:tc>
          <w:tcPr>
            <w:tcW w:w="1180" w:type="dxa"/>
            <w:vAlign w:val="center"/>
          </w:tcPr>
          <w:p>
            <w:pPr>
              <w:pStyle w:val="tablecopy"/>
              <w:spacing w:before="0" w:after="0"/>
              <w:jc w:val="center"/>
            </w:pPr>
            <w:r>
              <w:rPr>
                <w:sz w:val="14"/>
              </w:rPr>
              <w:t xml:space="preserve">0.23 ± 0.20</w:t>
            </w:r>
          </w:p>
        </w:tc>
        <w:tc>
          <w:tcPr>
            <w:tcW w:w="1180" w:type="dxa"/>
            <w:vAlign w:val="center"/>
          </w:tcPr>
          <w:p>
            <w:pPr>
              <w:pStyle w:val="tablecopy"/>
              <w:spacing w:before="0" w:after="0"/>
              <w:jc w:val="center"/>
            </w:pPr>
            <w:r>
              <w:rPr>
                <w:sz w:val="14"/>
              </w:rPr>
              <w:t xml:space="preserve">0.08 ± 0.16</w:t>
            </w:r>
          </w:p>
        </w:tc>
      </w:tr>
      <w:tr>
        <w:tc>
          <w:tcPr>
            <w:tcW w:w="2520" w:type="dxa"/>
            <w:vAlign w:val="center"/>
          </w:tcPr>
          <w:p>
            <w:pPr>
              <w:pStyle w:val="tablecopy"/>
              <w:spacing w:before="0" w:after="0"/>
              <w:jc w:val="left"/>
            </w:pPr>
            <w:r>
              <w:rPr>
                <w:sz w:val="14"/>
              </w:rPr>
              <w:t xml:space="preserve">Sign disagreement, LIME top-10 vs. IG (%)</w:t>
            </w:r>
          </w:p>
        </w:tc>
        <w:tc>
          <w:tcPr>
            <w:tcW w:w="1180" w:type="dxa"/>
            <w:vAlign w:val="center"/>
          </w:tcPr>
          <w:p>
            <w:pPr>
              <w:pStyle w:val="tablecopy"/>
              <w:spacing w:before="0" w:after="0"/>
              <w:jc w:val="center"/>
            </w:pPr>
            <w:r>
              <w:rPr>
                <w:sz w:val="14"/>
              </w:rPr>
              <w:t xml:space="preserve">17.1 ± 16.1</w:t>
            </w:r>
          </w:p>
        </w:tc>
        <w:tc>
          <w:tcPr>
            <w:tcW w:w="1180" w:type="dxa"/>
            <w:vAlign w:val="center"/>
          </w:tcPr>
          <w:p>
            <w:pPr>
              <w:pStyle w:val="tablecopy"/>
              <w:spacing w:before="0" w:after="0"/>
              <w:jc w:val="center"/>
            </w:pPr>
            <w:r>
              <w:rPr>
                <w:sz w:val="14"/>
              </w:rPr>
              <w:t xml:space="preserve">52.0 ± 16.9</w:t>
            </w:r>
          </w:p>
        </w:tc>
      </w:tr>
    </w:tbl>
    <w:p>
      <w:pPr>
        <w:pStyle w:val="BodyText"/>
        <w:rPr/>
        <w:ind w:firstLine="0" w:start="0"/>
        <w:spacing w:before="0" w:after="60" w:line="240" w:lineRule="auto"/>
      </w:pPr>
    </w:p>
    <w:p>
      <w:pPr>
        <w:pStyle w:val="BodyText"/>
        <w:rPr/>
      </w:pPr>
      <w:r>
        <w:t xml:space="preserve">Table IV shows weak agreement even for the smaller model (LIME–IG ρ = 0.38) and none between LIME and IG for RoBERTa-base (ρ = −0.01; unrelated rankings give ρ near 0), where LIME and IG disagree on the sign of 52% of LIME’s top-10 words, about what chance would give. Fig. 4 shows the first email of the DistilRoBERTa sample, which was not hand-picked. IG gives the word “medsavenow” its largest positive score while LIME gives it a negative one, and SHAP gives a negative score to “rescription”, a fragment of the obfuscated “p ) rescription” in the email text that LIME and IG rate as phishing evidence. Depending on the explainer, an analyst would therefore be pointed to different words for the same prediction.</w:t>
      </w:r>
    </w:p>
    <w:p>
      <w:pPr>
        <w:pStyle w:val="BodyText"/>
        <w:keepNext/>
        <w:rPr/>
        <w:ind w:firstLine="0" w:start="0"/>
        <w:spacing w:before="0" w:after="40" w:line="240" w:lineRule="auto"/>
        <w:jc w:val="center"/>
      </w:pPr>
      <w:r>
        <w:drawing>
          <wp:inline xmlns:a="http://schemas.openxmlformats.org/drawingml/2006/main" xmlns:pic="http://schemas.openxmlformats.org/drawingml/2006/picture">
            <wp:extent cx="2834640" cy="3084755"/>
            <wp:docPr id="3" name="Picture 3"/>
            <wp:cNvGraphicFramePr>
              <a:graphicFrameLocks noChangeAspect="1"/>
            </wp:cNvGraphicFramePr>
            <a:graphic>
              <a:graphicData uri="http://schemas.openxmlformats.org/drawingml/2006/picture">
                <pic:pic>
                  <pic:nvPicPr>
                    <pic:cNvPr id="0" name="fig4_example.png"/>
                    <pic:cNvPicPr/>
                  </pic:nvPicPr>
                  <pic:blipFill>
                    <a:blip r:embed="rId11"/>
                    <a:stretch>
                      <a:fillRect/>
                    </a:stretch>
                  </pic:blipFill>
                  <pic:spPr>
                    <a:xfrm>
                      <a:off x="0" y="0"/>
                      <a:ext cx="2834640" cy="3084755"/>
                    </a:xfrm>
                    <a:prstGeom prst="rect"/>
                  </pic:spPr>
                </pic:pic>
              </a:graphicData>
            </a:graphic>
          </wp:inline>
        </w:drawing>
      </w:r>
    </w:p>
    <w:p>
      <w:pPr>
        <w:pStyle w:val="figurecaption"/>
        <w:numPr>
          <w:ilvl w:val="0"/>
          <w:numId w:val="6"/>
        </w:numPr>
        <w:rPr/>
      </w:pPr>
      <w:r>
        <w:t xml:space="preserve">Attributions of the four methods for the first email of the explained DistilRoBERTa sample (not hand-picked); ten words with the largest hybrid magnitude; each panel scaled to its maximum.</w:t>
      </w:r>
    </w:p>
    <w:p>
      <w:pPr>
        <w:pStyle w:val="Heading2"/>
        <w:ind w:hanging="0" w:start="0"/>
        <w:rPr/>
      </w:pPr>
      <w:r>
        <w:t xml:space="preserve">Robustness and Transfer</w:t>
      </w:r>
    </w:p>
    <w:p>
      <w:pPr>
        <w:pStyle w:val="BodyText"/>
        <w:rPr/>
      </w:pPr>
      <w:r>
        <w:t xml:space="preserve">Fig. 5 shows the change in F1 and false-positive rate under perturbation for the seed-42 models, so the unperturbed FPR values differ from the three-seed means in Table II. Homoglyph substitution lowers F1 by 2.20 points for DistilRoBERTa, 0.50 for RoBERTa-base and 0.46 for TF-IDF LR. For the transformers the loss comes from new false alarms: FPR rises from 1.73% to 4.78% (DistilRoBERTa) and from 0.68% to 2.14% (RoBERTa-base), while LR’s FPR moves from 1.23% to 1.41% and its misses rise instead (FNR 1.76% to 2.38%). We did not test why. Homoglyphs and zero-width characters lengthen the byte-level token sequence, so the 256-token limit may cut more of each email, and mixed-script text may simply be out of distribution; both are uncontrolled here. Typo and zero-width perturbations changed F1 by at most 0.52 points for every model. On 3,000 Enron-Spam emails the dedup seed-42 models reached 99.07% (DistilRoBERTa), 99.47% (RoBERTa-base) and 98.97% (TF-IDF LR) accuracy. A second public corpus (zefang-liu/phishing-email-dataset, 3,000 emails) was also scored (98.0%, 98.5% and 98.5%) but is not analysed because its relation to the training corpus is unverified. The Enron figures are high for every model, and because the provenance of the Kaggle corpus is not documented, overlap with Enron-Spam cannot be excluded, and spam is not phishing, we treat them as weak evidence of transfer and not as a model comparison.</w:t>
      </w:r>
    </w:p>
    <w:p>
      <w:pPr>
        <w:pStyle w:val="BodyText"/>
        <w:keepNext/>
        <w:rPr/>
        <w:ind w:firstLine="0" w:start="0"/>
        <w:spacing w:before="0" w:after="40" w:line="240" w:lineRule="auto"/>
        <w:jc w:val="center"/>
      </w:pPr>
      <w:r>
        <w:drawing>
          <wp:inline xmlns:a="http://schemas.openxmlformats.org/drawingml/2006/main" xmlns:pic="http://schemas.openxmlformats.org/drawingml/2006/picture">
            <wp:extent cx="2788920" cy="2804979"/>
            <wp:docPr id="3" name="Picture 3"/>
            <wp:cNvGraphicFramePr>
              <a:graphicFrameLocks noChangeAspect="1"/>
            </wp:cNvGraphicFramePr>
            <a:graphic>
              <a:graphicData uri="http://schemas.openxmlformats.org/drawingml/2006/picture">
                <pic:pic>
                  <pic:nvPicPr>
                    <pic:cNvPr id="0" name="fig5_robust.png"/>
                    <pic:cNvPicPr/>
                  </pic:nvPicPr>
                  <pic:blipFill>
                    <a:blip r:embed="rId12"/>
                    <a:stretch>
                      <a:fillRect/>
                    </a:stretch>
                  </pic:blipFill>
                  <pic:spPr>
                    <a:xfrm>
                      <a:off x="0" y="0"/>
                      <a:ext cx="2788920" cy="2804979"/>
                    </a:xfrm>
                    <a:prstGeom prst="rect"/>
                  </pic:spPr>
                </pic:pic>
              </a:graphicData>
            </a:graphic>
          </wp:inline>
        </w:drawing>
      </w:r>
    </w:p>
    <w:p>
      <w:pPr>
        <w:pStyle w:val="figurecaption"/>
        <w:numPr>
          <w:ilvl w:val="0"/>
          <w:numId w:val="6"/>
        </w:numPr>
        <w:rPr/>
      </w:pPr>
      <w:r>
        <w:t xml:space="preserve">Change in F1 (top) and false-positive rate (bottom) under three perturbations, relative to unperturbed test emails (dedup, seed 42, single run per model).</w:t>
      </w:r>
    </w:p>
    <w:p>
      <w:pPr>
        <w:pStyle w:val="Heading1"/>
        <w:rPr/>
      </w:pPr>
      <w:r>
        <w:t xml:space="preserve">Discussion</w:t>
      </w:r>
    </w:p>
    <w:p>
      <w:pPr>
        <w:pStyle w:val="BodyText"/>
        <w:rPr/>
      </w:pPr>
      <w:r>
        <w:rPr>
          <w:b/>
        </w:rPr>
        <w:t xml:space="preserve">Benchmark saturation.</w:t>
      </w:r>
      <w:r>
        <w:t xml:space="preserve"> On this corpus we found no significant accuracy difference between fine-tuned transformers and linear models with fixed hyper-parameters, and the audit shows that the corpus itself contains duplicated and partly ambiguous content. Reports of a transformer’s advantage should therefore include strong baselines, confidence intervals and paired tests, and should say how duplicates were handled. The result does not show that transformers are no better in general; it shows that this benchmark, with one run of the larger model, did not tell them apart.</w:t>
      </w:r>
    </w:p>
    <w:p>
      <w:pPr>
        <w:pStyle w:val="BodyText"/>
        <w:rPr/>
      </w:pPr>
      <w:r>
        <w:rPr>
          <w:b/>
        </w:rPr>
        <w:t xml:space="preserve">Explanations need per-model validation.</w:t>
      </w:r>
      <w:r>
        <w:t xml:space="preserve"> A hybrid with a fixed weight helped DistilRoBERTa and hurt RoBERTa-base; under our settings IG scored at or below random order on RoBERTa-base, which is consistent with the hybrid’s failure there. Because IG explained a saturated probability with 30 steps and no convergence check, this finding concerns our configuration and not IG in general. A deletion test with a random reference, as used here, is cheap relative to training and would expose such a case. Where an explainer is near random, it should be dropped or down-weighted, which is what validation-based selection of α did for RoBERTa-base.</w:t>
      </w:r>
    </w:p>
    <w:p>
      <w:pPr>
        <w:pStyle w:val="BodyText"/>
        <w:rPr/>
      </w:pPr>
      <w:r>
        <w:rPr>
          <w:b/>
        </w:rPr>
        <w:t xml:space="preserve">Disagreement.</w:t>
      </w:r>
      <w:r>
        <w:t xml:space="preserve"> Because explainers disagreed on both ranking and sign, we suggest that an interface that fuses them into one score should also report this uncertainty, for example by flagging emails where the explainers conflict; we did not test such an interface with users.</w:t>
      </w:r>
    </w:p>
    <w:p>
      <w:pPr>
        <w:pStyle w:val="BodyText"/>
        <w:rPr/>
      </w:pPr>
      <w:r>
        <w:rPr>
          <w:b/>
        </w:rPr>
        <w:t xml:space="preserve">Relation to the base work.</w:t>
      </w:r>
      <w:r>
        <w:t xml:space="preserve"> We do not dispute that LITA can make explanations easier to read. Faithfulness was not measured in [1]; in our re-implementation, a LIME–IG hybrid of the same form had model-dependent faithfulness. Our setup is not an exact replication of [1]: we use shorter inputs, fewer epochs, class weights instead of augmentation, and direct IG, and our RoBERTa-base accuracy on the raw split (97.67%) is below the 98.45% reported there.</w:t>
      </w:r>
    </w:p>
    <w:p>
      <w:pPr>
        <w:pStyle w:val="Heading1"/>
        <w:rPr/>
      </w:pPr>
      <w:r>
        <w:t xml:space="preserve">Limitations</w:t>
      </w:r>
    </w:p>
    <w:p>
      <w:pPr>
        <w:pStyle w:val="BodyText"/>
        <w:rPr/>
      </w:pPr>
      <w:r>
        <w:t xml:space="preserve">Results come from a single corpus whose provenance is not documented, and the Enron-Spam check may overlap with it and measures spam rather than phishing. Only exact duplicates were examined, and the linear baselines were not tuned. RoBERTa-base was trained once, so its comparisons rest on one split, whereas DistilRoBERTa and the linear models use three; the transformer compared in the McNemar tests was also the one with the higher mean test F1. Faithfulness is measured by deletion, which favours perturbation-based explainers and creates off-distribution inputs; it measures fidelity to the model, not usefulness to people, and we ran no user study. Only 100 correctly flagged phishing emails per model, truncated to 120 words and different for the two models, were explained, and no confidence intervals or multiple-comparison corrections were computed. IG was applied to the softmax probability with 30 steps, a pad baseline and no convergence check, and SHAP used a small budget of 300 evaluations, so the weak IG and SHAP results may reflect these settings. The perturbation results are for one seed per model; the perturbations are random and non-adaptive and were applied to all emails, which an attacker would not do; and token-length and out-of-distribution effects were not separated. Finally, explanations are at word level, and results may differ for sub-word or sentence-level units.</w:t>
      </w:r>
    </w:p>
    <w:p>
      <w:pPr>
        <w:pStyle w:val="Heading1"/>
        <w:rPr/>
      </w:pPr>
      <w:r>
        <w:t xml:space="preserve">Conclusion</w:t>
      </w:r>
    </w:p>
    <w:p>
      <w:pPr>
        <w:pStyle w:val="BodyText"/>
        <w:rPr/>
      </w:pPr>
      <w:r>
        <w:t xml:space="preserve">Auditing a public phishing-email benchmark showed duplicated content, no significant accuracy difference between fixed-hyper-parameter linear baselines and fine-tuned transformers, and explanation methods whose faithfulness and agreement vary with the model. A fixed-weight LIME–IG hybrid had the highest comprehensiveness for DistilRoBERTa but not for RoBERTa-base, where IG scored at or below random order under our settings and LIME and SHAP were the most faithful. We recommend deduplicating before splitting, reporting strong baselines with paired tests, and validating each explanation method with deletion metrics and a random reference for every model before deployment. Future work should add user studies, adaptive attacks, controls for IG and SHAP settings, and corpora with documented provenance.</w:t>
      </w:r>
    </w:p>
    <w:p>
      <w:pPr>
        <w:pStyle w:val="Heading5"/>
        <w:rPr/>
      </w:pPr>
      <w:r>
        <w:t xml:space="preserve">References</w:t>
      </w:r>
    </w:p>
    <w:p>
      <w:pPr>
        <w:pStyle w:val="references"/>
        <w:numPr>
          <w:ilvl w:val="0"/>
          <w:numId w:val="5"/>
        </w:numPr>
        <w:ind w:hanging="354" w:start="354" w:end="0"/>
        <w:rPr/>
      </w:pPr>
      <w:r>
        <w:t xml:space="preserve">M. A. Uddin, M. Mahiuddin, and I. H. Sarker, “An explainable transformer-based model for phishing email detection: A large language model approach,” </w:t>
      </w:r>
      <w:r>
        <w:rPr>
          <w:i/>
        </w:rPr>
        <w:t xml:space="preserve">Comput. Netw.</w:t>
      </w:r>
      <w:r>
        <w:t xml:space="preserve">, vol. 277, Art. no. 112061, 2026, doi: 10.1016/j.comnet.2026.112061.</w:t>
      </w:r>
    </w:p>
    <w:p>
      <w:pPr>
        <w:pStyle w:val="references"/>
        <w:numPr>
          <w:ilvl w:val="0"/>
          <w:numId w:val="5"/>
        </w:numPr>
        <w:ind w:hanging="354" w:start="354" w:end="0"/>
        <w:rPr/>
      </w:pPr>
      <w:r>
        <w:t xml:space="preserve">S. Jamal, H. Wimmer, and I. H. Sarker, “An improved transformer-based model for detecting phishing, spam and ham emails: A large language model approach,” </w:t>
      </w:r>
      <w:r>
        <w:rPr>
          <w:i/>
        </w:rPr>
        <w:t xml:space="preserve">Secur. Privacy</w:t>
      </w:r>
      <w:r>
        <w:t xml:space="preserve">, vol. 7, no. 5, 2024, doi: 10.1002/spy2.402.</w:t>
      </w:r>
    </w:p>
    <w:p>
      <w:pPr>
        <w:pStyle w:val="references"/>
        <w:numPr>
          <w:ilvl w:val="0"/>
          <w:numId w:val="5"/>
        </w:numPr>
        <w:ind w:hanging="354" w:start="354" w:end="0"/>
        <w:rPr/>
      </w:pPr>
      <w:r>
        <w:t xml:space="preserve">Sajad U P, “A robust and explainable transformer-based framework for phishing email detection,” arXiv:2511.12085, 2025.</w:t>
      </w:r>
    </w:p>
    <w:p>
      <w:pPr>
        <w:pStyle w:val="references"/>
        <w:numPr>
          <w:ilvl w:val="0"/>
          <w:numId w:val="5"/>
        </w:numPr>
        <w:ind w:hanging="354" w:start="354" w:end="0"/>
        <w:rPr/>
      </w:pPr>
      <w:r>
        <w:t xml:space="preserve">K. Lee </w:t>
      </w:r>
      <w:r>
        <w:rPr>
          <w:i/>
        </w:rPr>
        <w:t xml:space="preserve">et al.</w:t>
      </w:r>
      <w:r>
        <w:t xml:space="preserve">, “Deduplicating training data makes language models better,” in </w:t>
      </w:r>
      <w:r>
        <w:rPr>
          <w:i/>
        </w:rPr>
        <w:t xml:space="preserve">Proc. 60th Annu. Meeting Assoc. Comput. Linguistics</w:t>
      </w:r>
      <w:r>
        <w:t xml:space="preserve">, 2022, pp. 8424–8445.</w:t>
      </w:r>
    </w:p>
    <w:p>
      <w:pPr>
        <w:pStyle w:val="references"/>
        <w:numPr>
          <w:ilvl w:val="0"/>
          <w:numId w:val="5"/>
        </w:numPr>
        <w:ind w:hanging="354" w:start="354" w:end="0"/>
        <w:rPr/>
      </w:pPr>
      <w:r>
        <w:t xml:space="preserve">S. Kapoor and A. Narayanan, “Leakage and the reproducibility crisis in machine-learning-based science,” </w:t>
      </w:r>
      <w:r>
        <w:rPr>
          <w:i/>
        </w:rPr>
        <w:t xml:space="preserve">Patterns</w:t>
      </w:r>
      <w:r>
        <w:t xml:space="preserve">, vol. 4, no. 9, Art. no. 100804, 2023.</w:t>
      </w:r>
    </w:p>
    <w:p>
      <w:pPr>
        <w:pStyle w:val="references"/>
        <w:numPr>
          <w:ilvl w:val="0"/>
          <w:numId w:val="5"/>
        </w:numPr>
        <w:ind w:hanging="354" w:start="354" w:end="0"/>
        <w:rPr/>
      </w:pPr>
      <w:r>
        <w:t xml:space="preserve">M. Allamanis, “The adverse effects of code duplication in machine learning models of code,” in </w:t>
      </w:r>
      <w:r>
        <w:rPr>
          <w:i/>
        </w:rPr>
        <w:t xml:space="preserve">Proc. ACM SIGPLAN Int. Symp. New Ideas, New Paradigms, Reflections Program. Softw. (Onward!)</w:t>
      </w:r>
      <w:r>
        <w:t xml:space="preserve">, 2019, pp. 143–153.</w:t>
      </w:r>
    </w:p>
    <w:p>
      <w:pPr>
        <w:pStyle w:val="references"/>
        <w:numPr>
          <w:ilvl w:val="0"/>
          <w:numId w:val="5"/>
        </w:numPr>
        <w:ind w:hanging="354" w:start="354" w:end="0"/>
        <w:rPr/>
      </w:pPr>
      <w:r>
        <w:t xml:space="preserve">P. Atanasova, J. G. Simonsen, C. Lioma, and I. Augenstein, “A diagnostic study of explainability techniques for text classification,” in </w:t>
      </w:r>
      <w:r>
        <w:rPr>
          <w:i/>
        </w:rPr>
        <w:t xml:space="preserve">Proc. Conf. Empirical Methods Natural Lang. Process. (EMNLP)</w:t>
      </w:r>
      <w:r>
        <w:t xml:space="preserve">, 2020, pp. 3256–3274.</w:t>
      </w:r>
    </w:p>
    <w:p>
      <w:pPr>
        <w:pStyle w:val="references"/>
        <w:numPr>
          <w:ilvl w:val="0"/>
          <w:numId w:val="5"/>
        </w:numPr>
        <w:ind w:hanging="354" w:start="354" w:end="0"/>
        <w:rPr/>
      </w:pPr>
      <w:r>
        <w:t xml:space="preserve">A. Jacovi and Y. Goldberg, “Towards faithfully interpretable NLP systems: How should we define and evaluate faithfulness?” in </w:t>
      </w:r>
      <w:r>
        <w:rPr>
          <w:i/>
        </w:rPr>
        <w:t xml:space="preserve">Proc. 58th Annu. Meeting Assoc. Comput. Linguistics</w:t>
      </w:r>
      <w:r>
        <w:t xml:space="preserve">, 2020, pp. 4198–4205.</w:t>
      </w:r>
    </w:p>
    <w:p>
      <w:pPr>
        <w:pStyle w:val="references"/>
        <w:numPr>
          <w:ilvl w:val="0"/>
          <w:numId w:val="5"/>
        </w:numPr>
        <w:ind w:hanging="354" w:start="354" w:end="0"/>
        <w:rPr/>
      </w:pPr>
      <w:r>
        <w:t xml:space="preserve">S. Krishna, T. Han, A. Gu, S. Wu, S. Jabbari, and H. Lakkaraju, “The disagreement problem in explainable machine learning: A practitioner’s perspective,” </w:t>
      </w:r>
      <w:r>
        <w:rPr>
          <w:i/>
        </w:rPr>
        <w:t xml:space="preserve">Trans. Mach. Learn. Res.</w:t>
      </w:r>
      <w:r>
        <w:t xml:space="preserve">, 2024.</w:t>
      </w:r>
    </w:p>
    <w:p>
      <w:pPr>
        <w:pStyle w:val="references"/>
        <w:numPr>
          <w:ilvl w:val="0"/>
          <w:numId w:val="5"/>
        </w:numPr>
        <w:ind w:hanging="354" w:start="354" w:end="0"/>
        <w:rPr/>
      </w:pPr>
      <w:r>
        <w:t xml:space="preserve">J. DeYoung </w:t>
      </w:r>
      <w:r>
        <w:rPr>
          <w:i/>
        </w:rPr>
        <w:t xml:space="preserve">et al.</w:t>
      </w:r>
      <w:r>
        <w:t xml:space="preserve">, “ERASER: A benchmark to evaluate rationalized NLP models,” in </w:t>
      </w:r>
      <w:r>
        <w:rPr>
          <w:i/>
        </w:rPr>
        <w:t xml:space="preserve">Proc. 58th Annu. Meeting Assoc. Comput. Linguistics</w:t>
      </w:r>
      <w:r>
        <w:t xml:space="preserve">, 2020, pp. 4443–4458.</w:t>
      </w:r>
    </w:p>
    <w:p>
      <w:pPr>
        <w:pStyle w:val="references"/>
        <w:numPr>
          <w:ilvl w:val="0"/>
          <w:numId w:val="5"/>
        </w:numPr>
        <w:ind w:hanging="354" w:start="354" w:end="0"/>
        <w:rPr/>
      </w:pPr>
      <w:r>
        <w:t xml:space="preserve">N. Boucher, I. Shumailov, R. Anderson, and N. Papernot, “Bad characters: Imperceptible NLP attacks,” in </w:t>
      </w:r>
      <w:r>
        <w:rPr>
          <w:i/>
        </w:rPr>
        <w:t xml:space="preserve">Proc. IEEE Symp. Secur. Privacy (SP)</w:t>
      </w:r>
      <w:r>
        <w:t xml:space="preserve">, 2022, pp. 1987–2004, doi: 10.1109/SP46214.2022.9833641.</w:t>
      </w:r>
    </w:p>
    <w:p>
      <w:pPr>
        <w:pStyle w:val="references"/>
        <w:numPr>
          <w:ilvl w:val="0"/>
          <w:numId w:val="5"/>
        </w:numPr>
        <w:ind w:hanging="354" w:start="354" w:end="0"/>
        <w:rPr/>
      </w:pPr>
      <w:r>
        <w:t xml:space="preserve">S. Salloum, T. M. A. Gaber, S. Vadera, and K. Shaalan, “A systematic literature review on phishing email detection using natural language processing techniques,” </w:t>
      </w:r>
      <w:r>
        <w:rPr>
          <w:i/>
        </w:rPr>
        <w:t xml:space="preserve">IEEE Access</w:t>
      </w:r>
      <w:r>
        <w:t xml:space="preserve">, vol. 10, pp. 65703–65727, 2022, doi: 10.1109/ACCESS.2022.3183083.</w:t>
      </w:r>
    </w:p>
    <w:p>
      <w:pPr>
        <w:pStyle w:val="references"/>
        <w:numPr>
          <w:ilvl w:val="0"/>
          <w:numId w:val="5"/>
        </w:numPr>
        <w:ind w:hanging="354" w:start="354" w:end="0"/>
        <w:rPr/>
      </w:pPr>
      <w:r>
        <w:t xml:space="preserve">Y. Liu </w:t>
      </w:r>
      <w:r>
        <w:rPr>
          <w:i/>
        </w:rPr>
        <w:t xml:space="preserve">et al.</w:t>
      </w:r>
      <w:r>
        <w:t xml:space="preserve">, “RoBERTa: A robustly optimized BERT pretraining approach,” arXiv:1907.11692, 2019.</w:t>
      </w:r>
    </w:p>
    <w:p>
      <w:pPr>
        <w:pStyle w:val="references"/>
        <w:numPr>
          <w:ilvl w:val="0"/>
          <w:numId w:val="5"/>
        </w:numPr>
        <w:ind w:hanging="354" w:start="354" w:end="0"/>
        <w:rPr/>
      </w:pPr>
      <w:r>
        <w:t xml:space="preserve">“Phishing email dataset,” Kaggle. [Online]. Available: https://www.kaggle.com/datasets/subhajournal/phishingemails (accessed Oct. 2026).</w:t>
      </w:r>
    </w:p>
    <w:p>
      <w:pPr>
        <w:pStyle w:val="references"/>
        <w:numPr>
          <w:ilvl w:val="0"/>
          <w:numId w:val="5"/>
        </w:numPr>
        <w:ind w:hanging="354" w:start="354" w:end="0"/>
        <w:rPr/>
      </w:pPr>
      <w:r>
        <w:t xml:space="preserve">V. Sanh, L. Debut, J. Chaumond, and T. Wolf, “DistilBERT, a distilled version of BERT: Smaller, faster, cheaper and lighter,” arXiv:1910.01108, 2019.</w:t>
      </w:r>
    </w:p>
    <w:p>
      <w:pPr>
        <w:pStyle w:val="references"/>
        <w:numPr>
          <w:ilvl w:val="0"/>
          <w:numId w:val="5"/>
        </w:numPr>
        <w:ind w:hanging="354" w:start="354" w:end="0"/>
        <w:rPr/>
      </w:pPr>
      <w:r>
        <w:t xml:space="preserve">M. T. Ribeiro, S. Singh, and C. Guestrin, “‘Why should I trust you?’: Explaining the predictions of any classifier,” in </w:t>
      </w:r>
      <w:r>
        <w:rPr>
          <w:i/>
        </w:rPr>
        <w:t xml:space="preserve">Proc. 22nd ACM SIGKDD Int. Conf. Knowl. Discovery Data Mining</w:t>
      </w:r>
      <w:r>
        <w:t xml:space="preserve">, 2016, pp. 1135–1144.</w:t>
      </w:r>
    </w:p>
    <w:p>
      <w:pPr>
        <w:pStyle w:val="references"/>
        <w:numPr>
          <w:ilvl w:val="0"/>
          <w:numId w:val="5"/>
        </w:numPr>
        <w:ind w:hanging="354" w:start="354" w:end="0"/>
        <w:rPr/>
      </w:pPr>
      <w:r>
        <w:t xml:space="preserve">S. M. Lundberg and S.-I. Lee, “A unified approach to interpreting model predictions,” in </w:t>
      </w:r>
      <w:r>
        <w:rPr>
          <w:i/>
        </w:rPr>
        <w:t xml:space="preserve">Adv. Neural Inf. Process. Syst.</w:t>
      </w:r>
      <w:r>
        <w:t xml:space="preserve">, vol. 30, 2017, pp. 4765–4774.</w:t>
      </w:r>
    </w:p>
    <w:p>
      <w:pPr>
        <w:pStyle w:val="references"/>
        <w:numPr>
          <w:ilvl w:val="0"/>
          <w:numId w:val="5"/>
        </w:numPr>
        <w:ind w:hanging="354" w:start="354" w:end="0"/>
        <w:rPr/>
      </w:pPr>
      <w:r>
        <w:t xml:space="preserve">M. Sundararajan, A. Taly, and Q. Yan, “Axiomatic attribution for deep networks,” in </w:t>
      </w:r>
      <w:r>
        <w:rPr>
          <w:i/>
        </w:rPr>
        <w:t xml:space="preserve">Proc. 34th Int. Conf. Mach. Learn.</w:t>
      </w:r>
      <w:r>
        <w:t xml:space="preserve">, 2017, pp. 3319–3328.</w:t>
      </w:r>
    </w:p>
    <w:p>
      <w:pPr>
        <w:pStyle w:val="references"/>
        <w:numPr>
          <w:ilvl w:val="0"/>
          <w:numId w:val="5"/>
        </w:numPr>
        <w:ind w:hanging="354" w:start="354" w:end="0"/>
        <w:rPr/>
      </w:pPr>
      <w:r>
        <w:t xml:space="preserve">N. Kokhlikyan </w:t>
      </w:r>
      <w:r>
        <w:rPr>
          <w:i/>
        </w:rPr>
        <w:t xml:space="preserve">et al.</w:t>
      </w:r>
      <w:r>
        <w:t xml:space="preserve">, “Captum: A unified and generic model interpretability library for PyTorch,” arXiv:2009.07896, 2020.</w:t>
      </w:r>
    </w:p>
    <w:p>
      <w:pPr>
        <w:pStyle w:val="references"/>
        <w:numPr>
          <w:ilvl w:val="0"/>
          <w:numId w:val="5"/>
        </w:numPr>
        <w:ind w:hanging="354" w:start="354" w:end="0"/>
        <w:rPr/>
      </w:pPr>
      <w:r>
        <w:t xml:space="preserve">M. Ancona, E. Ceolini, C. Öztireli, and M. Gross, “Towards better understanding of gradient-based attribution methods for deep neural networks,” in </w:t>
      </w:r>
      <w:r>
        <w:rPr>
          <w:i/>
        </w:rPr>
        <w:t xml:space="preserve">Proc. Int. Conf. Learn. Represent. (ICLR)</w:t>
      </w:r>
      <w:r>
        <w:t xml:space="preserve">, 2018.</w:t>
      </w:r>
    </w:p>
    <w:p>
      <w:pPr>
        <w:pStyle w:val="references"/>
        <w:numPr>
          <w:ilvl w:val="0"/>
          <w:numId w:val="5"/>
        </w:numPr>
        <w:ind w:hanging="354" w:start="354" w:end="0"/>
        <w:rPr/>
      </w:pPr>
      <w:r>
        <w:t xml:space="preserve">S. Hooker, D. Erhan, P.-J. Kindermans, and B. Kim, “A benchmark for interpretability methods in deep neural networks,” in </w:t>
      </w:r>
      <w:r>
        <w:rPr>
          <w:i/>
        </w:rPr>
        <w:t xml:space="preserve">Adv. Neural Inf. Process. Syst.</w:t>
      </w:r>
      <w:r>
        <w:t xml:space="preserve">, vol. 32, 2019.</w:t>
      </w:r>
    </w:p>
    <w:p>
      <w:pPr>
        <w:pStyle w:val="references"/>
        <w:numPr>
          <w:ilvl w:val="0"/>
          <w:numId w:val="5"/>
        </w:numPr>
        <w:ind w:hanging="354" w:start="354" w:end="0"/>
        <w:rPr/>
      </w:pPr>
      <w:r>
        <w:t xml:space="preserve">J. Adebayo, J. Gilmer, M. Muelly, I. Goodfellow, M. Hardt, and B. Kim, “Sanity checks for saliency maps,” in </w:t>
      </w:r>
      <w:r>
        <w:rPr>
          <w:i/>
        </w:rPr>
        <w:t xml:space="preserve">Adv. Neural Inf. Process. Syst.</w:t>
      </w:r>
      <w:r>
        <w:t xml:space="preserve">, vol. 31, 2018.</w:t>
      </w:r>
    </w:p>
    <w:p>
      <w:pPr>
        <w:pStyle w:val="references"/>
        <w:numPr>
          <w:ilvl w:val="0"/>
          <w:numId w:val="5"/>
        </w:numPr>
        <w:ind w:hanging="354" w:start="354" w:end="0"/>
        <w:rPr/>
      </w:pPr>
      <w:r>
        <w:t xml:space="preserve">C. G. Northcutt, A. Athalye, and J. Mueller, “Pervasive label errors in test sets destabilize machine learning benchmarks,” in </w:t>
      </w:r>
      <w:r>
        <w:rPr>
          <w:i/>
        </w:rPr>
        <w:t xml:space="preserve">Proc. NeurIPS Datasets Benchmarks Track</w:t>
      </w:r>
      <w:r>
        <w:t xml:space="preserve">, 2021.</w:t>
      </w:r>
    </w:p>
    <w:p>
      <w:pPr>
        <w:pStyle w:val="references"/>
        <w:numPr>
          <w:ilvl w:val="0"/>
          <w:numId w:val="5"/>
        </w:numPr>
        <w:ind w:hanging="354" w:start="354" w:end="0"/>
        <w:rPr/>
      </w:pPr>
      <w:r>
        <w:t xml:space="preserve">F. Pedregosa </w:t>
      </w:r>
      <w:r>
        <w:rPr>
          <w:i/>
        </w:rPr>
        <w:t xml:space="preserve">et al.</w:t>
      </w:r>
      <w:r>
        <w:t xml:space="preserve">, “Scikit-learn: Machine learning in Python,” </w:t>
      </w:r>
      <w:r>
        <w:rPr>
          <w:i/>
        </w:rPr>
        <w:t xml:space="preserve">J. Mach. Learn. Res.</w:t>
      </w:r>
      <w:r>
        <w:t xml:space="preserve">, vol. 12, pp. 2825–2830, 2011.</w:t>
      </w:r>
    </w:p>
    <w:p>
      <w:pPr>
        <w:pStyle w:val="references"/>
        <w:numPr>
          <w:ilvl w:val="0"/>
          <w:numId w:val="5"/>
        </w:numPr>
        <w:ind w:hanging="354" w:start="354" w:end="0"/>
        <w:rPr/>
      </w:pPr>
      <w:r>
        <w:t xml:space="preserve">T. Wolf </w:t>
      </w:r>
      <w:r>
        <w:rPr>
          <w:i/>
        </w:rPr>
        <w:t xml:space="preserve">et al.</w:t>
      </w:r>
      <w:r>
        <w:t xml:space="preserve">, “Transformers: State-of-the-art natural language processing,” in </w:t>
      </w:r>
      <w:r>
        <w:rPr>
          <w:i/>
        </w:rPr>
        <w:t xml:space="preserve">Proc. Conf. Empirical Methods Natural Lang. Process.: Syst. Demonstrations</w:t>
      </w:r>
      <w:r>
        <w:t xml:space="preserve">, 2020, pp. 38–45.</w:t>
      </w:r>
    </w:p>
    <w:p>
      <w:pPr>
        <w:pStyle w:val="references"/>
        <w:numPr>
          <w:ilvl w:val="0"/>
          <w:numId w:val="5"/>
        </w:numPr>
        <w:ind w:hanging="354" w:start="354" w:end="0"/>
        <w:rPr/>
      </w:pPr>
      <w:r>
        <w:t xml:space="preserve">I. Loshchilov and F. Hutter, “Decoupled weight decay regularization,” in </w:t>
      </w:r>
      <w:r>
        <w:rPr>
          <w:i/>
        </w:rPr>
        <w:t xml:space="preserve">Proc. Int. Conf. Learn. Represent. (ICLR)</w:t>
      </w:r>
      <w:r>
        <w:t xml:space="preserve">, 2019.</w:t>
      </w:r>
    </w:p>
    <w:p>
      <w:pPr>
        <w:pStyle w:val="references"/>
        <w:numPr>
          <w:ilvl w:val="0"/>
          <w:numId w:val="5"/>
        </w:numPr>
        <w:ind w:hanging="354" w:start="354" w:end="0"/>
        <w:rPr/>
      </w:pPr>
      <w:r>
        <w:t xml:space="preserve">P. Micikevicius </w:t>
      </w:r>
      <w:r>
        <w:rPr>
          <w:i/>
        </w:rPr>
        <w:t xml:space="preserve">et al.</w:t>
      </w:r>
      <w:r>
        <w:t xml:space="preserve">, “Mixed precision training,” in </w:t>
      </w:r>
      <w:r>
        <w:rPr>
          <w:i/>
        </w:rPr>
        <w:t xml:space="preserve">Proc. Int. Conf. Learn. Represent. (ICLR)</w:t>
      </w:r>
      <w:r>
        <w:t xml:space="preserve">, 2018.</w:t>
      </w:r>
    </w:p>
    <w:p>
      <w:pPr>
        <w:pStyle w:val="references"/>
        <w:numPr>
          <w:ilvl w:val="0"/>
          <w:numId w:val="5"/>
        </w:numPr>
        <w:ind w:hanging="354" w:start="354" w:end="0"/>
        <w:rPr/>
      </w:pPr>
      <w:r>
        <w:t xml:space="preserve">C. Pierse, “Transformers Interpret,” GitHub repository. [Online]. Available: https://github.com/cdpierse/transformers-interpret</w:t>
      </w:r>
    </w:p>
    <w:p>
      <w:pPr>
        <w:pStyle w:val="references"/>
        <w:numPr>
          <w:ilvl w:val="0"/>
          <w:numId w:val="5"/>
        </w:numPr>
        <w:ind w:hanging="354" w:start="354" w:end="0"/>
        <w:rPr/>
      </w:pPr>
      <w:r>
        <w:t xml:space="preserve">F. Wilcoxon, “Individual comparisons by ranking methods,” </w:t>
      </w:r>
      <w:r>
        <w:rPr>
          <w:i/>
        </w:rPr>
        <w:t xml:space="preserve">Biometrics Bull.</w:t>
      </w:r>
      <w:r>
        <w:t xml:space="preserve">, vol. 1, no. 6, pp. 80–83, 1945.</w:t>
      </w:r>
    </w:p>
    <w:p>
      <w:pPr>
        <w:pStyle w:val="references"/>
        <w:numPr>
          <w:ilvl w:val="0"/>
          <w:numId w:val="5"/>
        </w:numPr>
        <w:ind w:hanging="354" w:start="354" w:end="0"/>
        <w:rPr/>
      </w:pPr>
      <w:r>
        <w:t xml:space="preserve">V. Metsis, I. Androutsopoulos, and G. Paliouras, “Spam filtering with naive Bayes—Which naive Bayes?” in </w:t>
      </w:r>
      <w:r>
        <w:rPr>
          <w:i/>
        </w:rPr>
        <w:t xml:space="preserve">Proc. 3rd Conf. Email Anti-Spam (CEAS)</w:t>
      </w:r>
      <w:r>
        <w:t xml:space="preserve">, 2006.</w:t>
      </w:r>
    </w:p>
    <w:p>
      <w:pPr>
        <w:pStyle w:val="references"/>
        <w:numPr>
          <w:ilvl w:val="0"/>
          <w:numId w:val="5"/>
        </w:numPr>
        <w:ind w:hanging="354" w:start="354" w:end="0"/>
        <w:rPr/>
      </w:pPr>
      <w:r>
        <w:t xml:space="preserve">SetFit, “enron_spam,” Hugging Face Datasets. [Online]. Available: https://huggingface.co/datasets/SetFit/enron_spam (accessed Oct. 2026).</w:t>
      </w:r>
    </w:p>
    <w:p>
      <w:pPr>
        <w:pStyle w:val="references"/>
        <w:numPr>
          <w:ilvl w:val="0"/>
          <w:numId w:val="5"/>
        </w:numPr>
        <w:ind w:hanging="354" w:start="354" w:end="0"/>
        <w:rPr/>
      </w:pPr>
      <w:r>
        <w:t xml:space="preserve">B. Efron, “Bootstrap methods: Another look at the jackknife,” </w:t>
      </w:r>
      <w:r>
        <w:rPr>
          <w:i/>
        </w:rPr>
        <w:t xml:space="preserve">Ann. Statist.</w:t>
      </w:r>
      <w:r>
        <w:t xml:space="preserve">, vol. 7, no. 1, pp. 1–26, 1979.</w:t>
      </w:r>
    </w:p>
    <w:p>
      <w:pPr>
        <w:pStyle w:val="references"/>
        <w:numPr>
          <w:ilvl w:val="0"/>
          <w:numId w:val="5"/>
        </w:numPr>
        <w:ind w:hanging="354" w:start="354" w:end="0"/>
        <w:rPr/>
      </w:pPr>
      <w:r>
        <w:t xml:space="preserve">Q. McNemar, “Note on the sampling error of the difference between correlated proportions or percentages,” </w:t>
      </w:r>
      <w:r>
        <w:rPr>
          <w:i/>
        </w:rPr>
        <w:t xml:space="preserve">Psychometrika</w:t>
      </w:r>
      <w:r>
        <w:t xml:space="preserve">, vol. 12, no. 2, pp. 153–157, 1947.</w:t>
      </w:r>
    </w:p>
    <w:p>
      <w:pPr>
        <w:pStyle w:val="references"/>
        <w:numPr>
          <w:ilvl w:val="0"/>
          <w:numId w:val="5"/>
        </w:numPr>
        <w:ind w:hanging="354" w:start="354" w:end="0"/>
        <w:rPr/>
      </w:pPr>
      <w:r>
        <w:t xml:space="preserve">T. G. Dietterich, “Approximate statistical tests for comparing supervised classification learning algorithms,” </w:t>
      </w:r>
      <w:r>
        <w:rPr>
          <w:i/>
        </w:rPr>
        <w:t xml:space="preserve">Neural Comput.</w:t>
      </w:r>
      <w:r>
        <w:t xml:space="preserve">, vol. 10, no. 7, pp. 1895–1923, 1998.</w:t>
      </w:r>
    </w:p>
    <w:p>
      <w:pPr>
        <w:pStyle w:val="references"/>
        <w:numPr>
          <w:ilvl w:val="0"/>
          <w:numId w:val="5"/>
        </w:numPr>
        <w:ind w:hanging="354" w:start="354" w:end="0"/>
        <w:rPr/>
      </w:pPr>
      <w:r>
        <w:t xml:space="preserve">D. Chicco and G. Jurman, “The advantages of the Matthews correlation coefficient (MCC) over F1 score and accuracy in binary classification evaluation,” </w:t>
      </w:r>
      <w:r>
        <w:rPr>
          <w:i/>
        </w:rPr>
        <w:t xml:space="preserve">BMC Genomics</w:t>
      </w:r>
      <w:r>
        <w:t xml:space="preserve">, vol. 21, Art. no. 6, 2020.</w:t>
      </w:r>
    </w:p>
    <w:sectPr>
      <w:type w:val="continuous"/>
      <w:pgSz w:w="11906" w:h="16838"/>
      <w:pgMar w:left="893" w:right="893" w:gutter="0" w:header="0" w:top="540" w:footer="720" w:bottom="1440"/>
      <w:cols w:num="2" w:space="360" w:equalWidth="true" w:sep="false"/>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iso-8859-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outline w:val="false"/>
        <w:dstrike w:val="false"/>
        <w:strike w:val="false"/>
        <w:vertAlign w:val="baseline"/>
        <w:position w:val="0"/>
        <w:sz w:val="20"/>
        <w:sz w:val="20"/>
        <w:shadow w:val="false"/>
        <w:szCs w:val="20"/>
        <w:vanish w:val="false"/>
        <w:rFonts w:ascii="Times New Roman" w:hAnsi="Times New Roman" w:cs="Times New Roman"/>
        <w:color w:val="000000"/>
      </w:rPr>
    </w:lvl>
    <w:lvl w:ilvl="1">
      <w:start w:val="1"/>
      <w:pStyle w:val="Heading2"/>
      <w:numFmt w:val="upperLetter"/>
      <w:lvlText w:val="%2."/>
      <w:lvlJc w:val="start"/>
      <w:pPr>
        <w:tabs>
          <w:tab w:val="num" w:pos="360"/>
        </w:tabs>
        <w:ind w:start="288" w:hanging="288"/>
      </w:pPr>
      <w:rPr>
        <w:smallCaps w:val="false"/>
        <w:caps w:val="false"/>
        <w:outline w:val="false"/>
        <w:dstrike w:val="false"/>
        <w:strike w:val="false"/>
        <w:vertAlign w:val="baseline"/>
        <w:position w:val="0"/>
        <w:sz w:val="20"/>
        <w:sz w:val="20"/>
        <w:i/>
        <w:shadow w:val="false"/>
        <w:b w:val="false"/>
        <w:szCs w:val="20"/>
        <w:iCs/>
        <w:bCs w:val="false"/>
        <w:vanish w:val="false"/>
        <w:rFonts w:ascii="Times New Roman" w:hAnsi="Times New Roman" w:cs="Times New Roman"/>
        <w:color w:val="000000"/>
      </w:rPr>
    </w:lvl>
    <w:lvl w:ilvl="2">
      <w:start w:val="1"/>
      <w:pStyle w:val="Heading3"/>
      <w:numFmt w:val="decimal"/>
      <w:lvlText w:val="%3)"/>
      <w:lvlJc w:val="start"/>
      <w:pPr>
        <w:tabs>
          <w:tab w:val="num" w:pos="540"/>
        </w:tabs>
        <w:ind w:start="0" w:firstLine="180"/>
      </w:pPr>
      <w:rPr>
        <w:smallCaps w:val="false"/>
        <w:caps w:val="false"/>
        <w:outline w:val="false"/>
        <w:dstrike w:val="false"/>
        <w:strike w:val="false"/>
        <w:vertAlign w:val="baseline"/>
        <w:position w:val="0"/>
        <w:sz w:val="20"/>
        <w:sz w:val="20"/>
        <w:i/>
        <w:shadow w:val="false"/>
        <w:b w:val="false"/>
        <w:szCs w:val="20"/>
        <w:iCs/>
        <w:bCs w:val="false"/>
        <w:vanish w:val="false"/>
        <w:rFonts w:ascii="Times New Roman" w:hAnsi="Times New Roman" w:cs="Times New Roman"/>
        <w:color w:val="000000"/>
      </w:rPr>
    </w:lvl>
    <w:lvl w:ilvl="3">
      <w:start w:val="1"/>
      <w:pStyle w:val="Heading4"/>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decimal"/>
      <w:lvlText w:val="%1 "/>
      <w:lvlJc w:val="start"/>
      <w:pPr>
        <w:tabs>
          <w:tab w:val="num" w:pos="648"/>
        </w:tabs>
        <w:ind w:start="0" w:firstLine="288"/>
      </w:pPr>
      <w:rPr>
        <w:smallCaps w:val="false"/>
        <w:caps w:val="false"/>
        <w:outline w:val="false"/>
        <w:dstrike w:val="false"/>
        <w:strike w:val="false"/>
        <w:vertAlign w:val="superscript"/>
        <w:sz w:val="16"/>
        <w:i w:val="false"/>
        <w:shadow w:val="false"/>
        <w:b w:val="false"/>
        <w:szCs w:val="16"/>
        <w:iCs w:val="false"/>
        <w:bCs w:val="false"/>
        <w:vanish w:val="false"/>
        <w:rFonts w:ascii="Times New Roman" w:hAnsi="Times New Roman" w:cs="Times New Roman"/>
      </w:rPr>
    </w:lvl>
  </w:abstractNum>
  <w:abstractNum w:abstractNumId="3">
    <w:lvl w:ilvl="0">
      <w:start w:val="1"/>
      <w:numFmt w:val="bullet"/>
      <w:lvlText w:val=""/>
      <w:lvlJc w:val="start"/>
      <w:pPr>
        <w:tabs>
          <w:tab w:val="num" w:pos="648"/>
        </w:tabs>
        <w:ind w:start="648" w:hanging="360"/>
      </w:pPr>
      <w:rPr>
        <w:rFonts w:ascii="Symbol" w:hAnsi="Symbol" w:cs="Symbol" w:hint="default"/>
      </w:rPr>
    </w:lvl>
  </w:abstractNum>
  <w:abstractNum w:abstractNumId="4">
    <w:lvl w:ilvl="0">
      <w:start w:val="1"/>
      <w:numFmt w:val="lowerLetter"/>
      <w:lvlText w:val="%1."/>
      <w:lvlJc w:val="end"/>
      <w:pPr>
        <w:tabs>
          <w:tab w:val="num" w:pos="0"/>
        </w:tabs>
        <w:ind w:start="418" w:hanging="360"/>
      </w:pPr>
      <w:rPr>
        <w:smallCaps w:val="false"/>
        <w:caps w:val="false"/>
        <w:outline w:val="false"/>
        <w:dstrike w:val="false"/>
        <w:strike w:val="false"/>
        <w:vertAlign w:val="baseline"/>
        <w:position w:val="0"/>
        <w:sz w:val="16"/>
        <w:sz w:val="16"/>
        <w:spacing w:val="0"/>
        <w:i w:val="false"/>
        <w:shadow w:val="false"/>
        <w:b w:val="false"/>
        <w:kern w:val="0"/>
        <w:w w:val="100"/>
        <w:vanish w:val="false"/>
        <w:rFonts w:ascii="Times New Roman" w:hAnsi="Times New Roman" w:cs="Times New Roman"/>
        <w:color w:val="000000"/>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abstractNum>
  <w:abstractNum w:abstractNumId="6">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000000"/>
      </w:rPr>
    </w:lvl>
  </w:abstractNum>
  <w:abstractNum w:abstractNumId="7">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4"/>
  <w:defaultTabStop w:val="720"/>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jc w:val="center"/>
    </w:pPr>
    <w:rPr>
      <w:rFonts w:ascii="Times New Roman" w:hAnsi="Times New Roman" w:eastAsia="SimSun;宋体" w:cs="Times New Roman"/>
      <w:color w:val="auto"/>
      <w:sz w:val="20"/>
      <w:szCs w:val="20"/>
      <w:lang w:val="en-US" w:bidi="ar-SA" w:eastAsia="zh-CN"/>
    </w:rPr>
  </w:style>
  <w:style w:type="paragraph" w:styleId="Heading1">
    <w:name w:val="Heading 1"/>
    <w:basedOn w:val="Normal"/>
    <w:next w:val="Normal"/>
    <w:qFormat/>
    <w:pPr>
      <w:keepNext w:val="true"/>
      <w:keepLines/>
      <w:numPr>
        <w:ilvl w:val="0"/>
        <w:numId w:val="1"/>
      </w:numPr>
      <w:tabs>
        <w:tab w:val="clear" w:pos="720"/>
        <w:tab w:val="left" w:pos="216" w:leader="none"/>
      </w:tabs>
      <w:spacing w:before="160" w:after="80"/>
      <w:ind w:hanging="0" w:start="0" w:end="0"/>
      <w:outlineLvl w:val="0"/>
    </w:pPr>
    <w:rPr>
      <w:smallCaps/>
      <w:lang w:val="en-US" w:eastAsia="en-US"/>
    </w:rPr>
  </w:style>
  <w:style w:type="paragraph" w:styleId="Heading2">
    <w:name w:val="Heading 2"/>
    <w:basedOn w:val="Normal"/>
    <w:next w:val="Normal"/>
    <w:qFormat/>
    <w:pPr>
      <w:keepNext w:val="true"/>
      <w:keepLines/>
      <w:numPr>
        <w:ilvl w:val="1"/>
        <w:numId w:val="1"/>
      </w:numPr>
      <w:tabs>
        <w:tab w:val="clear" w:pos="720"/>
        <w:tab w:val="left" w:pos="288" w:leader="none"/>
      </w:tabs>
      <w:spacing w:before="120" w:after="60"/>
      <w:jc w:val="start"/>
      <w:outlineLvl w:val="1"/>
    </w:pPr>
    <w:rPr>
      <w:i/>
      <w:iCs/>
      <w:lang w:val="en-US" w:eastAsia="en-US"/>
    </w:rPr>
  </w:style>
  <w:style w:type="paragraph" w:styleId="Heading3">
    <w:name w:val="Heading 3"/>
    <w:basedOn w:val="Normal"/>
    <w:next w:val="Normal"/>
    <w:qFormat/>
    <w:pPr>
      <w:numPr>
        <w:ilvl w:val="2"/>
        <w:numId w:val="1"/>
      </w:numPr>
      <w:spacing w:lineRule="exact" w:line="240"/>
      <w:ind w:firstLine="288" w:start="0" w:end="0"/>
      <w:jc w:val="both"/>
      <w:outlineLvl w:val="2"/>
    </w:pPr>
    <w:rPr>
      <w:i/>
      <w:iCs/>
      <w:lang w:val="en-US" w:eastAsia="en-US"/>
    </w:rPr>
  </w:style>
  <w:style w:type="paragraph" w:styleId="Heading4">
    <w:name w:val="Heading 4"/>
    <w:basedOn w:val="Normal"/>
    <w:next w:val="Normal"/>
    <w:qFormat/>
    <w:pPr>
      <w:numPr>
        <w:ilvl w:val="3"/>
        <w:numId w:val="1"/>
      </w:numPr>
      <w:tabs>
        <w:tab w:val="left" w:pos="720" w:leader="none"/>
      </w:tabs>
      <w:spacing w:before="40" w:after="40"/>
      <w:ind w:firstLine="504" w:start="0" w:end="0"/>
      <w:jc w:val="both"/>
      <w:outlineLvl w:val="3"/>
    </w:pPr>
    <w:rPr>
      <w:i/>
      <w:iCs/>
      <w:lang w:val="en-US" w:eastAsia="en-US"/>
    </w:rPr>
  </w:style>
  <w:style w:type="paragraph" w:styleId="Heading5">
    <w:name w:val="Heading 5"/>
    <w:basedOn w:val="Normal"/>
    <w:next w:val="Normal"/>
    <w:qFormat/>
    <w:pPr>
      <w:tabs>
        <w:tab w:val="clear" w:pos="720"/>
        <w:tab w:val="left" w:pos="360" w:leader="none"/>
      </w:tabs>
      <w:spacing w:before="160" w:after="80"/>
      <w:outlineLvl w:val="4"/>
    </w:pPr>
    <w:rPr>
      <w:smallCaps/>
      <w:lang w:val="en-US" w:eastAsia="en-US"/>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3z0">
    <w:name w:val="WW8Num13z0"/>
    <w:qFormat/>
    <w:rPr>
      <w:rFonts w:cs="Times New Roman"/>
      <w:i w:val="false"/>
      <w:iCs w:val="false"/>
    </w:rPr>
  </w:style>
  <w:style w:type="character" w:styleId="WW8Num13z1">
    <w:name w:val="WW8Num13z1"/>
    <w:qFormat/>
    <w:rPr>
      <w:rFonts w:cs="Times New Roman"/>
    </w:rPr>
  </w:style>
  <w:style w:type="character" w:styleId="WW8Num14z0">
    <w:name w:val="WW8Num14z0"/>
    <w:qFormat/>
    <w:rPr>
      <w:rFonts w:ascii="Times New Roman" w:hAnsi="Times New Roman" w:cs="Times New Roman"/>
      <w:b w:val="false"/>
      <w:bCs w:val="false"/>
      <w:i w:val="false"/>
      <w:iCs w:val="false"/>
      <w:caps w:val="false"/>
      <w:smallCaps w:val="false"/>
      <w:strike w:val="false"/>
      <w:dstrike w:val="false"/>
      <w:outline w:val="false"/>
      <w:shadow w:val="false"/>
      <w:vanish w:val="false"/>
      <w:sz w:val="16"/>
      <w:szCs w:val="16"/>
      <w:vertAlign w:val="superscript"/>
    </w:rPr>
  </w:style>
  <w:style w:type="character" w:styleId="WW8Num14z1">
    <w:name w:val="WW8Num14z1"/>
    <w:qFormat/>
    <w:rPr>
      <w:rFonts w:cs="Times New Roman"/>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cs="Times New Roman"/>
    </w:rPr>
  </w:style>
  <w:style w:type="character" w:styleId="WW8Num17z0">
    <w:name w:val="WW8Num17z0"/>
    <w:qFormat/>
    <w:rPr>
      <w:rFonts w:ascii="Times New Roman" w:hAnsi="Times New Roman" w:cs="Times New Roman"/>
      <w:caps w:val="false"/>
      <w:smallCaps w:val="false"/>
      <w:strike w:val="false"/>
      <w:dstrike w:val="false"/>
      <w:outline w:val="false"/>
      <w:shadow w:val="false"/>
      <w:vanish w:val="false"/>
      <w:color w:val="000000"/>
      <w:position w:val="0"/>
      <w:sz w:val="20"/>
      <w:sz w:val="20"/>
      <w:szCs w:val="20"/>
      <w:vertAlign w:val="baseline"/>
    </w:rPr>
  </w:style>
  <w:style w:type="character" w:styleId="WW8Num17z1">
    <w:name w:val="WW8Num17z1"/>
    <w:qFormat/>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 w:val="20"/>
      <w:szCs w:val="20"/>
      <w:vertAlign w:val="baseline"/>
    </w:rPr>
  </w:style>
  <w:style w:type="character" w:styleId="WW8Num17z3">
    <w:name w:val="WW8Num17z3"/>
    <w:qFormat/>
    <w:rPr>
      <w:rFonts w:ascii="Times New Roman" w:hAnsi="Times New Roman" w:cs="Times New Roman"/>
      <w:b w:val="false"/>
      <w:bCs w:val="false"/>
      <w:i/>
      <w:iCs/>
      <w:sz w:val="20"/>
      <w:szCs w:val="20"/>
    </w:rPr>
  </w:style>
  <w:style w:type="character" w:styleId="WW8Num17z4">
    <w:name w:val="WW8Num17z4"/>
    <w:qFormat/>
    <w:rPr>
      <w:rFonts w:cs="Times New Roman"/>
    </w:rPr>
  </w:style>
  <w:style w:type="character" w:styleId="WW8Num18z0">
    <w:name w:val="WW8Num18z0"/>
    <w:qFormat/>
    <w:rPr>
      <w:rFonts w:ascii="Times New Roman" w:hAnsi="Times New Roman" w:cs="Times New Roman"/>
      <w:b w:val="false"/>
      <w:i w:val="false"/>
      <w:caps w:val="false"/>
      <w:smallCaps w:val="false"/>
      <w:strike w:val="false"/>
      <w:dstrike w:val="false"/>
      <w:outline w:val="false"/>
      <w:shadow w:val="false"/>
      <w:vanish w:val="false"/>
      <w:color w:val="000000"/>
      <w:spacing w:val="0"/>
      <w:w w:val="100"/>
      <w:kern w:val="0"/>
      <w:position w:val="0"/>
      <w:sz w:val="16"/>
      <w:sz w:val="16"/>
      <w:vertAlign w:val="baseline"/>
    </w:rPr>
  </w:style>
  <w:style w:type="character" w:styleId="WW8Num19z0">
    <w:name w:val="WW8Num19z0"/>
    <w:qFormat/>
    <w:rPr>
      <w:rFonts w:ascii="Times New Roman" w:hAnsi="Times New Roman" w:cs="Times New Roman"/>
      <w:b w:val="false"/>
      <w:bCs w:val="false"/>
      <w:i w:val="false"/>
      <w:iCs w:val="false"/>
      <w:sz w:val="16"/>
      <w:szCs w:val="16"/>
    </w:rPr>
  </w:style>
  <w:style w:type="character" w:styleId="WW8Num20z0">
    <w:name w:val="WW8Num20z0"/>
    <w:qFormat/>
    <w:rPr>
      <w:rFonts w:ascii="Times New Roman" w:hAnsi="Times New Roman" w:cs="Times New Roman"/>
      <w:b w:val="false"/>
      <w:bCs w:val="false"/>
      <w:i w:val="false"/>
      <w:iCs w:val="false"/>
      <w:color w:val="000000"/>
      <w:sz w:val="16"/>
      <w:szCs w:val="16"/>
    </w:rPr>
  </w:style>
  <w:style w:type="character" w:styleId="WW8Num20z1">
    <w:name w:val="WW8Num20z1"/>
    <w:qFormat/>
    <w:rPr>
      <w:rFonts w:cs="Times New Roman"/>
    </w:rPr>
  </w:style>
  <w:style w:type="character" w:styleId="WW8Num21z0">
    <w:name w:val="WW8Num21z0"/>
    <w:qFormat/>
    <w:rPr>
      <w:rFonts w:ascii="Times New Roman" w:hAnsi="Times New Roman" w:cs="Times New Roman"/>
      <w:b w:val="false"/>
      <w:bCs w:val="false"/>
      <w:i w:val="false"/>
      <w:iCs w:val="false"/>
      <w:sz w:val="16"/>
      <w:szCs w:val="16"/>
    </w:rPr>
  </w:style>
  <w:style w:type="character" w:styleId="DefaultParagraphFont">
    <w:name w:val="Default Paragraph Font"/>
    <w:qFormat/>
    <w:rPr/>
  </w:style>
  <w:style w:type="character" w:styleId="BodyTextChar">
    <w:name w:val="Body Text Char"/>
    <w:qFormat/>
    <w:rPr>
      <w:spacing w:val="-1"/>
      <w:lang w:val="en-US"/>
    </w:rPr>
  </w:style>
  <w:style w:type="character" w:styleId="HeaderChar">
    <w:name w:val="Header Char"/>
    <w:basedOn w:val="DefaultParagraphFont"/>
    <w:qFormat/>
    <w:rPr/>
  </w:style>
  <w:style w:type="character" w:styleId="FooterChar">
    <w:name w:val="Footer Char"/>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tabs>
        <w:tab w:val="clear" w:pos="720"/>
        <w:tab w:val="left" w:pos="288" w:leader="none"/>
      </w:tabs>
      <w:spacing w:lineRule="auto" w:line="228" w:before="0" w:after="120"/>
      <w:ind w:firstLine="288" w:start="0" w:end="0"/>
      <w:jc w:val="both"/>
    </w:pPr>
    <w:rPr>
      <w:spacing w:val="-1"/>
      <w:lang w:val="en-US"/>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Abstract">
    <w:name w:val="Abstract"/>
    <w:qFormat/>
    <w:pPr>
      <w:widowControl/>
      <w:bidi w:val="0"/>
      <w:spacing w:before="0" w:after="200"/>
      <w:ind w:firstLine="272" w:start="0" w:end="0"/>
      <w:jc w:val="both"/>
    </w:pPr>
    <w:rPr>
      <w:rFonts w:ascii="Times New Roman" w:hAnsi="Times New Roman" w:eastAsia="SimSun;宋体" w:cs="Times New Roman"/>
      <w:b/>
      <w:bCs/>
      <w:color w:val="auto"/>
      <w:sz w:val="18"/>
      <w:szCs w:val="18"/>
      <w:lang w:val="en-US" w:bidi="ar-SA" w:eastAsia="zh-CN"/>
    </w:rPr>
  </w:style>
  <w:style w:type="paragraph" w:styleId="Affiliation">
    <w:name w:val="Affiliation"/>
    <w:qFormat/>
    <w:pPr>
      <w:widowControl/>
      <w:bidi w:val="0"/>
      <w:jc w:val="center"/>
    </w:pPr>
    <w:rPr>
      <w:rFonts w:ascii="Times New Roman" w:hAnsi="Times New Roman" w:eastAsia="SimSun;宋体" w:cs="Times New Roman"/>
      <w:color w:val="auto"/>
      <w:sz w:val="20"/>
      <w:szCs w:val="20"/>
      <w:lang w:val="en-US" w:bidi="ar-SA" w:eastAsia="zh-CN"/>
    </w:rPr>
  </w:style>
  <w:style w:type="paragraph" w:styleId="Author">
    <w:name w:val="Author"/>
    <w:qFormat/>
    <w:pPr>
      <w:widowControl/>
      <w:bidi w:val="0"/>
      <w:spacing w:before="360" w:after="40"/>
      <w:jc w:val="center"/>
    </w:pPr>
    <w:rPr>
      <w:rFonts w:ascii="Times New Roman" w:hAnsi="Times New Roman" w:eastAsia="SimSun;宋体" w:cs="Times New Roman"/>
      <w:color w:val="auto"/>
      <w:sz w:val="22"/>
      <w:szCs w:val="22"/>
      <w:lang w:val="en-US" w:eastAsia="en-US" w:bidi="ar-SA"/>
    </w:rPr>
  </w:style>
  <w:style w:type="paragraph" w:styleId="bulletlist">
    <w:name w:val="bullet list"/>
    <w:basedOn w:val="BodyText"/>
    <w:qFormat/>
    <w:pPr>
      <w:numPr>
        <w:ilvl w:val="0"/>
        <w:numId w:val="3"/>
      </w:numPr>
      <w:ind w:hanging="288" w:start="576" w:end="0"/>
    </w:pPr>
    <w:rPr/>
  </w:style>
  <w:style w:type="paragraph" w:styleId="equation">
    <w:name w:val="equation"/>
    <w:basedOn w:val="Normal"/>
    <w:qFormat/>
    <w:pPr>
      <w:tabs>
        <w:tab w:val="clear" w:pos="720"/>
        <w:tab w:val="center" w:pos="2520" w:leader="none"/>
        <w:tab w:val="right" w:pos="5040" w:leader="none"/>
      </w:tabs>
      <w:spacing w:lineRule="auto" w:line="216" w:before="240" w:after="240"/>
    </w:pPr>
    <w:rPr>
      <w:rFonts w:ascii="Symbol" w:hAnsi="Symbol" w:cs="Symbol"/>
    </w:rPr>
  </w:style>
  <w:style w:type="paragraph" w:styleId="figurecaption">
    <w:name w:val="figure caption"/>
    <w:qFormat/>
    <w:pPr>
      <w:widowControl/>
      <w:numPr>
        <w:ilvl w:val="0"/>
        <w:numId w:val="6"/>
      </w:numPr>
      <w:tabs>
        <w:tab w:val="clear" w:pos="720"/>
        <w:tab w:val="left" w:pos="533" w:leader="none"/>
      </w:tabs>
      <w:bidi w:val="0"/>
      <w:spacing w:before="80" w:after="200"/>
      <w:ind w:hanging="0" w:start="0" w:end="0"/>
      <w:jc w:val="both"/>
    </w:pPr>
    <w:rPr>
      <w:rFonts w:ascii="Times New Roman" w:hAnsi="Times New Roman" w:eastAsia="SimSun;宋体" w:cs="Times New Roman"/>
      <w:color w:val="auto"/>
      <w:sz w:val="16"/>
      <w:szCs w:val="16"/>
      <w:lang w:val="en-US" w:eastAsia="en-US" w:bidi="ar-SA"/>
    </w:rPr>
  </w:style>
  <w:style w:type="paragraph" w:styleId="footnote">
    <w:name w:val="footnote"/>
    <w:qFormat/>
    <w:pPr>
      <w:widowControl/>
      <w:numPr>
        <w:ilvl w:val="0"/>
        <w:numId w:val="2"/>
      </w:numPr>
      <w:bidi w:val="0"/>
      <w:spacing w:before="0" w:after="40"/>
    </w:pPr>
    <w:rPr>
      <w:rFonts w:ascii="Times New Roman" w:hAnsi="Times New Roman" w:eastAsia="SimSun;宋体" w:cs="Times New Roman"/>
      <w:color w:val="auto"/>
      <w:sz w:val="16"/>
      <w:szCs w:val="16"/>
      <w:lang w:val="en-US" w:bidi="ar-SA" w:eastAsia="zh-CN"/>
    </w:rPr>
  </w:style>
  <w:style w:type="paragraph" w:styleId="papersubtitle">
    <w:name w:val="paper subtitle"/>
    <w:qFormat/>
    <w:pPr>
      <w:widowControl/>
      <w:bidi w:val="0"/>
      <w:spacing w:before="0" w:after="120"/>
      <w:jc w:val="center"/>
    </w:pPr>
    <w:rPr>
      <w:rFonts w:ascii="Times New Roman" w:hAnsi="Times New Roman" w:eastAsia="MS Mincho;ＭＳ 明朝" w:cs="Times New Roman"/>
      <w:color w:val="auto"/>
      <w:sz w:val="28"/>
      <w:szCs w:val="28"/>
      <w:lang w:val="en-US" w:eastAsia="en-US" w:bidi="ar-SA"/>
    </w:rPr>
  </w:style>
  <w:style w:type="paragraph" w:styleId="papertitle">
    <w:name w:val="paper title"/>
    <w:qFormat/>
    <w:pPr>
      <w:widowControl/>
      <w:bidi w:val="0"/>
      <w:spacing w:before="0" w:after="120"/>
      <w:jc w:val="center"/>
    </w:pPr>
    <w:rPr>
      <w:rFonts w:ascii="Times New Roman" w:hAnsi="Times New Roman" w:eastAsia="MS Mincho;ＭＳ 明朝" w:cs="Times New Roman"/>
      <w:color w:val="auto"/>
      <w:sz w:val="48"/>
      <w:szCs w:val="48"/>
      <w:lang w:val="en-US" w:eastAsia="en-US" w:bidi="ar-SA"/>
    </w:rPr>
  </w:style>
  <w:style w:type="paragraph" w:styleId="references">
    <w:name w:val="references"/>
    <w:qFormat/>
    <w:pPr>
      <w:widowControl/>
      <w:numPr>
        <w:ilvl w:val="0"/>
        <w:numId w:val="5"/>
      </w:numPr>
      <w:bidi w:val="0"/>
      <w:spacing w:lineRule="exact" w:line="180" w:before="0" w:after="50"/>
      <w:jc w:val="both"/>
    </w:pPr>
    <w:rPr>
      <w:rFonts w:ascii="Times New Roman" w:hAnsi="Times New Roman" w:eastAsia="MS Mincho;ＭＳ 明朝" w:cs="Times New Roman"/>
      <w:color w:val="auto"/>
      <w:sz w:val="16"/>
      <w:szCs w:val="16"/>
      <w:lang w:val="en-US" w:eastAsia="en-US" w:bidi="ar-SA"/>
    </w:rPr>
  </w:style>
  <w:style w:type="paragraph" w:styleId="sponsors">
    <w:name w:val="sponsors"/>
    <w:qFormat/>
    <w:pPr>
      <w:widowControl/>
      <w:pBdr>
        <w:top w:val="single" w:sz="4" w:space="2" w:color="000000"/>
      </w:pBdr>
      <w:bidi w:val="0"/>
      <w:ind w:firstLine="288" w:start="0" w:end="0"/>
    </w:pPr>
    <w:rPr>
      <w:rFonts w:ascii="Times New Roman" w:hAnsi="Times New Roman" w:eastAsia="SimSun;宋体" w:cs="Times New Roman"/>
      <w:color w:val="auto"/>
      <w:sz w:val="16"/>
      <w:szCs w:val="16"/>
      <w:lang w:val="en-US" w:bidi="ar-SA" w:eastAsia="zh-CN"/>
    </w:rPr>
  </w:style>
  <w:style w:type="paragraph" w:styleId="tablecolhead">
    <w:name w:val="table col head"/>
    <w:basedOn w:val="Normal"/>
    <w:qFormat/>
    <w:pPr/>
    <w:rPr>
      <w:b/>
      <w:bCs/>
      <w:sz w:val="16"/>
      <w:szCs w:val="16"/>
    </w:rPr>
  </w:style>
  <w:style w:type="paragraph" w:styleId="tablecolsubhead">
    <w:name w:val="table col subhead"/>
    <w:basedOn w:val="tablecolhead"/>
    <w:qFormat/>
    <w:pPr/>
    <w:rPr>
      <w:i/>
      <w:iCs/>
      <w:sz w:val="15"/>
      <w:szCs w:val="15"/>
    </w:rPr>
  </w:style>
  <w:style w:type="paragraph" w:styleId="tablecopy">
    <w:name w:val="table copy"/>
    <w:qFormat/>
    <w:pPr>
      <w:widowControl/>
      <w:bidi w:val="0"/>
      <w:jc w:val="both"/>
    </w:pPr>
    <w:rPr>
      <w:rFonts w:ascii="Times New Roman" w:hAnsi="Times New Roman" w:eastAsia="SimSun;宋体" w:cs="Times New Roman"/>
      <w:color w:val="auto"/>
      <w:sz w:val="16"/>
      <w:szCs w:val="16"/>
      <w:lang w:val="en-US" w:eastAsia="en-US" w:bidi="ar-SA"/>
    </w:rPr>
  </w:style>
  <w:style w:type="paragraph" w:styleId="tablefootnote">
    <w:name w:val="table footnote"/>
    <w:qFormat/>
    <w:pPr>
      <w:widowControl/>
      <w:numPr>
        <w:ilvl w:val="0"/>
        <w:numId w:val="4"/>
      </w:numPr>
      <w:bidi w:val="0"/>
      <w:spacing w:before="60" w:after="30"/>
      <w:ind w:hanging="29" w:start="58" w:end="0"/>
      <w:jc w:val="end"/>
    </w:pPr>
    <w:rPr>
      <w:rFonts w:ascii="Times New Roman" w:hAnsi="Times New Roman" w:eastAsia="SimSun;宋体" w:cs="Times New Roman"/>
      <w:color w:val="auto"/>
      <w:sz w:val="12"/>
      <w:szCs w:val="12"/>
      <w:lang w:val="en-US" w:bidi="ar-SA" w:eastAsia="zh-CN"/>
    </w:rPr>
  </w:style>
  <w:style w:type="paragraph" w:styleId="tablehead">
    <w:name w:val="table head"/>
    <w:qFormat/>
    <w:pPr>
      <w:widowControl/>
      <w:numPr>
        <w:ilvl w:val="0"/>
        <w:numId w:val="7"/>
      </w:numPr>
      <w:bidi w:val="0"/>
      <w:spacing w:lineRule="auto" w:line="216" w:before="240" w:after="120"/>
      <w:jc w:val="center"/>
    </w:pPr>
    <w:rPr>
      <w:rFonts w:ascii="Times New Roman" w:hAnsi="Times New Roman" w:eastAsia="SimSun;宋体" w:cs="Times New Roman"/>
      <w:smallCaps/>
      <w:color w:val="auto"/>
      <w:sz w:val="16"/>
      <w:szCs w:val="16"/>
      <w:lang w:val="en-US" w:eastAsia="en-US" w:bidi="ar-SA"/>
    </w:rPr>
  </w:style>
  <w:style w:type="paragraph" w:styleId="Keywords">
    <w:name w:val="Keywords"/>
    <w:basedOn w:val="Abstract"/>
    <w:qFormat/>
    <w:pPr>
      <w:spacing w:before="0" w:after="120"/>
      <w:ind w:firstLine="274" w:start="0" w:end="0"/>
    </w:pPr>
    <w:rPr>
      <w: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2017-07-26T01:29:00Z</dcterms:created>
  <dc:creator>IEEE</dc:creator>
  <dc:description/>
  <cp:keywords/>
  <dc:language>en-US</dc:language>
  <cp:lastModifiedBy>Romeo, Diana</cp:lastModifiedBy>
  <dcterms:modified xsi:type="dcterms:W3CDTF">2018-11-15T18:58:00Z</dcterms:modified>
  <cp:revision>8</cp:revision>
  <dc:subject/>
  <dc:title>Paper Title (use style: paper title)</dc:title>
</cp:coreProperties>
</file>