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276"/>
        </w:rPr>
        <w:t>📘 Friday Monitoring Summary Agent — Technical Documentation</w:t>
      </w:r>
    </w:p>
    <w:p>
      <w:pPr>
        <w:pStyle w:val="IntenseQuote"/>
      </w:pPr>
      <w:r>
        <w:rPr>
          <w:b/>
        </w:rPr>
        <w:t>Version:</w:t>
      </w:r>
      <w:r>
        <w:t xml:space="preserve"> 1.0</w:t>
      </w:r>
    </w:p>
    <w:p>
      <w:pPr>
        <w:pStyle w:val="IntenseQuote"/>
      </w:pPr>
      <w:r>
        <w:rPr>
          <w:b/>
        </w:rPr>
        <w:t>Platform:</w:t>
      </w:r>
      <w:r>
        <w:t xml:space="preserve"> Windows + Microsoft Outlook (Desktop)</w:t>
      </w:r>
    </w:p>
    <w:p>
      <w:pPr>
        <w:pStyle w:val="IntenseQuote"/>
      </w:pPr>
      <w:r>
        <w:rPr>
          <w:b/>
        </w:rPr>
        <w:t>Language:</w:t>
      </w:r>
      <w:r>
        <w:t xml:space="preserve"> Python 3.8+</w:t>
      </w:r>
    </w:p>
    <w:p>
      <w:pPr>
        <w:pStyle w:val="IntenseQuote"/>
      </w:pPr>
      <w:r>
        <w:rPr>
          <w:b/>
        </w:rPr>
        <w:t>Purpose:</w:t>
      </w:r>
      <w:r>
        <w:t xml:space="preserve"> Reads DBA monitoring emails from an Outlook folder, parses storage metrics (tablespace / ASM diskgroup / mount point), categorizes them by severity, builds a formatted Markdown report, saves it, and emails it back.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1. 📑 Table of Contents</w:t>
      </w:r>
    </w:p>
    <w:p>
      <w:pPr>
        <w:pStyle w:val="ListNumber"/>
      </w:pPr>
      <w:r>
        <w:t>[Overview](#2--overview)</w:t>
      </w:r>
    </w:p>
    <w:p>
      <w:pPr>
        <w:pStyle w:val="ListNumber"/>
      </w:pPr>
      <w:r>
        <w:t>[Architecture](#3--architecture)</w:t>
      </w:r>
    </w:p>
    <w:p>
      <w:pPr>
        <w:pStyle w:val="ListNumber"/>
      </w:pPr>
      <w:r>
        <w:t>[Data Flow](#4--data-flow)</w:t>
      </w:r>
    </w:p>
    <w:p>
      <w:pPr>
        <w:pStyle w:val="ListNumber"/>
      </w:pPr>
      <w:r>
        <w:t>[Module Reference](#5--module-reference)</w:t>
      </w:r>
    </w:p>
    <w:p>
      <w:pPr>
        <w:pStyle w:val="ListNumber"/>
      </w:pPr>
      <w:r>
        <w:t>[Data Models](#6--data-models)</w:t>
      </w:r>
    </w:p>
    <w:p>
      <w:pPr>
        <w:pStyle w:val="ListNumber"/>
      </w:pPr>
      <w:r>
        <w:t>[Severity Thresholds](#7--severity-thresholds)</w:t>
      </w:r>
    </w:p>
    <w:p>
      <w:pPr>
        <w:pStyle w:val="ListNumber"/>
      </w:pPr>
      <w:r>
        <w:t>[Command-Line Interface](#8--command-line-interface)</w:t>
      </w:r>
    </w:p>
    <w:p>
      <w:pPr>
        <w:pStyle w:val="ListNumber"/>
      </w:pPr>
      <w:r>
        <w:t>[Configuration](#9--configuration)</w:t>
      </w:r>
    </w:p>
    <w:p>
      <w:pPr>
        <w:pStyle w:val="ListNumber"/>
      </w:pPr>
      <w:r>
        <w:t>[Output Format](#10--output-format)</w:t>
      </w:r>
    </w:p>
    <w:p>
      <w:pPr>
        <w:pStyle w:val="ListNumber"/>
      </w:pPr>
      <w:r>
        <w:t>[Error Handling](#11--error-handling)</w:t>
      </w:r>
    </w:p>
    <w:p>
      <w:pPr>
        <w:pStyle w:val="ListNumber"/>
      </w:pPr>
      <w:r>
        <w:t>[Extending the Agent](#12--extending-the-agent)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2. 🎯 Overview</w:t>
      </w:r>
    </w:p>
    <w:p>
      <w:r>
        <w:t>The agent automates the weekly DBA monitoring summary. Instead of manually reading several monitoring emails and compiling a status report,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1. Connect</w:t>
            </w:r>
          </w:p>
        </w:tc>
        <w:tc>
          <w:tcPr>
            <w:tcW w:type="dxa" w:w="4320"/>
          </w:tcPr>
          <w:p>
            <w:r/>
            <w:r>
              <w:t>Attaches to the running Outlook app via Windows COM (MAPI).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2. Read</w:t>
            </w:r>
          </w:p>
        </w:tc>
        <w:tc>
          <w:tcPr>
            <w:tcW w:type="dxa" w:w="4320"/>
          </w:tcPr>
          <w:p>
            <w:r/>
            <w:r>
              <w:t>Pulls emails from a target folder, filtered by date or subject keywords.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3. Parse</w:t>
            </w:r>
          </w:p>
        </w:tc>
        <w:tc>
          <w:tcPr>
            <w:tcW w:type="dxa" w:w="4320"/>
          </w:tcPr>
          <w:p>
            <w:r/>
            <w:r>
              <w:t>Extracts tablespace, diskgroup, and mount-point usage using regex.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4. Categorize</w:t>
            </w:r>
          </w:p>
        </w:tc>
        <w:tc>
          <w:tcPr>
            <w:tcW w:type="dxa" w:w="4320"/>
          </w:tcPr>
          <w:p>
            <w:r/>
            <w:r>
              <w:t>Buckets each metric into 🔴 Critical / 🟡 Warning / ✅ Stable.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5. Report</w:t>
            </w:r>
          </w:p>
        </w:tc>
        <w:tc>
          <w:tcPr>
            <w:tcW w:type="dxa" w:w="4320"/>
          </w:tcPr>
          <w:p>
            <w:r/>
            <w:r>
              <w:t>Generates a formatted Markdown summary.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6. Deliver</w:t>
            </w:r>
          </w:p>
        </w:tc>
        <w:tc>
          <w:tcPr>
            <w:tcW w:type="dxa" w:w="4320"/>
          </w:tcPr>
          <w:p>
            <w:r/>
            <w:r>
              <w:t xml:space="preserve">Saves the report to disk </w:t>
            </w:r>
            <w:r>
              <w:rPr>
                <w:b/>
              </w:rPr>
              <w:t>and</w:t>
            </w:r>
            <w:r>
              <w:t xml:space="preserve"> emails it via Outlook.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3. 🏗️ Architecture</w:t>
      </w:r>
    </w:p>
    <w:p>
      <w:pPr>
        <w:ind w:left="240"/>
      </w:pPr>
      <w:r>
        <w:rPr>
          <w:rFonts w:ascii="Consolas" w:hAnsi="Consolas"/>
          <w:color w:val="2C3E5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main.py                                   │</w:t>
        <w:br/>
        <w:t>│                      (Orchestrator / CLI)                              │</w:t>
        <w:br/>
        <w:t>│                                                                        │</w:t>
        <w:br/>
        <w:t>│   run_agent()  ──▶ list_outlook_folders()  ──▶ main()/argparse        │</w:t>
        <w:br/>
        <w:t>└───────┬───────────────────┬───────────────────────┬──────────────────┘</w:t>
        <w:br/>
        <w:t xml:space="preserve">        │                   │                        │</w:t>
        <w:br/>
        <w:t xml:space="preserve">        ▼                   ▼                        ▼</w:t>
        <w:br/>
        <w:t>┌───────────────┐   ┌────────────────┐      ┌────────────────────┐</w:t>
        <w:br/>
        <w:t>│outlook_reader │   │ email_parser   │      │ report_generator   │</w:t>
        <w:br/>
        <w:t>│───────────────│   │────────────────│      │────────────────────│</w:t>
        <w:br/>
        <w:t>│ connect       │   │ parse_*_data   │      │ generate_*_section │</w:t>
        <w:br/>
        <w:t>│ get_folder    │   │ classify_email │      │ categorize_by_     │</w:t>
        <w:br/>
        <w:t>│ get_*_emails  │   │ parse_monitor- │      │   threshold        │</w:t>
        <w:br/>
        <w:t>│ send_email    │   │   ing_emails   │      │ generate_full_     │</w:t>
        <w:br/>
        <w:t>│ markdown_html │   │                │      │   report           │</w:t>
        <w:br/>
        <w:t>└───────┬───────┘   └────────────────┘      └────────────────────┘</w:t>
        <w:br/>
        <w:t xml:space="preserve">        │</w:t>
        <w:br/>
        <w:t xml:space="preserve">        ▼</w:t>
        <w:br/>
        <w:t>┌───────────────┐</w:t>
        <w:br/>
        <w:t>│  MS Outlook   │</w:t>
        <w:br/>
        <w:t>│ (COM / MAPI)  │</w:t>
        <w:br/>
        <w:t>└───────────────┘</w:t>
      </w:r>
    </w:p>
    <w:p>
      <w:r>
        <w:rPr>
          <w:b/>
        </w:rPr>
        <w:t>Design principle:</w:t>
      </w:r>
      <w:r>
        <w:t xml:space="preserve"> A thin orchestrator (</w:t>
      </w:r>
      <w:r>
        <w:rPr>
          <w:rFonts w:ascii="Consolas" w:hAnsi="Consolas"/>
          <w:color w:val="C0392B"/>
          <w:sz w:val="18"/>
        </w:rPr>
        <w:t>main.py</w:t>
      </w:r>
      <w:r>
        <w:t>) coordinates three single-responsibility modules — *read*, *parse*, *report*.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4. 🔄 Data Flow</w:t>
      </w:r>
    </w:p>
    <w:p>
      <w:pPr>
        <w:ind w:left="240"/>
      </w:pPr>
      <w:r>
        <w:rPr>
          <w:rFonts w:ascii="Consolas" w:hAnsi="Consolas"/>
          <w:color w:val="2C3E50"/>
          <w:sz w:val="18"/>
        </w:rPr>
        <w:t>flowchart LR</w:t>
        <w:br/>
        <w:t xml:space="preserve">    A[Outlook Folder] --&gt;|COM/MAPI| B[outlook_reader]</w:t>
        <w:br/>
        <w:t xml:space="preserve">    B --&gt;|email dicts| C[email_parser]</w:t>
        <w:br/>
        <w:t xml:space="preserve">    C --&gt;|MonitoringData| D[report_generator]</w:t>
        <w:br/>
        <w:t xml:space="preserve">    D --&gt;|Markdown string| E[Save to .md file]</w:t>
        <w:br/>
        <w:t xml:space="preserve">    D --&gt;|Markdown string| F[markdown_to_html]</w:t>
        <w:br/>
        <w:t xml:space="preserve">    F --&gt;|HTML email| G[Outlook Send]</w:t>
        <w:br/>
        <w:t xml:space="preserve">    D --&gt;|Markdown string| H[Console Output]</w:t>
      </w:r>
    </w:p>
    <w:p>
      <w:r>
        <w:rPr>
          <w:b/>
        </w:rPr>
        <w:t>Email dictionary shape</w:t>
      </w:r>
      <w:r>
        <w:t xml:space="preserve"> (produced by </w:t>
      </w:r>
      <w:r>
        <w:rPr>
          <w:rFonts w:ascii="Consolas" w:hAnsi="Consolas"/>
          <w:color w:val="C0392B"/>
          <w:sz w:val="18"/>
        </w:rPr>
        <w:t>outlook_reader</w:t>
      </w:r>
      <w:r>
        <w:t>):</w:t>
      </w:r>
    </w:p>
    <w:p>
      <w:pPr>
        <w:ind w:left="240"/>
      </w:pPr>
      <w:r>
        <w:rPr>
          <w:rFonts w:ascii="Consolas" w:hAnsi="Consolas"/>
          <w:color w:val="2C3E50"/>
          <w:sz w:val="18"/>
        </w:rPr>
        <w:t>{</w:t>
        <w:br/>
        <w:t xml:space="preserve">    "subject":       str,        # Email subject line</w:t>
        <w:br/>
        <w:t xml:space="preserve">    "body":          str,        # Plain-text body</w:t>
        <w:br/>
        <w:t xml:space="preserve">    "html_body":     str,        # HTML body (if available)</w:t>
        <w:br/>
        <w:t xml:space="preserve">    "received_time": datetime,   # Received timestamp</w:t>
        <w:br/>
        <w:t xml:space="preserve">    "sender":        str,        # Sender display name</w:t>
        <w:br/>
        <w:t>}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5. 🧩 Module Reference</w:t>
      </w:r>
    </w:p>
    <w:p>
      <w:pPr>
        <w:pStyle w:val="Heading3"/>
      </w:pPr>
      <w:r>
        <w:rPr>
          <w:color w:val="34495E"/>
        </w:rPr>
        <w:t>5.1 `main.py` — Orchestrator &amp; CLI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list_outlook_folders()</w:t>
            </w:r>
          </w:p>
        </w:tc>
        <w:tc>
          <w:tcPr>
            <w:tcW w:type="dxa" w:w="4320"/>
          </w:tcPr>
          <w:p>
            <w:r/>
            <w:r>
              <w:t>Prints all Outlook folders (and item counts) for troubleshooting.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run_agent(folder_name, target_date, output_file, days_back, send_to)</w:t>
            </w:r>
          </w:p>
        </w:tc>
        <w:tc>
          <w:tcPr>
            <w:tcW w:type="dxa" w:w="4320"/>
          </w:tcPr>
          <w:p>
            <w:r/>
            <w:r>
              <w:t>Executes the full 5-step workflow: connect → read → parse → generate → deliver.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main()</w:t>
            </w:r>
          </w:p>
        </w:tc>
        <w:tc>
          <w:tcPr>
            <w:tcW w:type="dxa" w:w="4320"/>
          </w:tcPr>
          <w:p>
            <w:r/>
            <w:r>
              <w:t xml:space="preserve">Defines and parses CLI arguments, then dispatches to </w:t>
            </w:r>
            <w:r>
              <w:rPr>
                <w:rFonts w:ascii="Consolas" w:hAnsi="Consolas"/>
                <w:color w:val="C0392B"/>
                <w:sz w:val="18"/>
              </w:rPr>
              <w:t>run_agent()</w:t>
            </w:r>
            <w:r>
              <w:t xml:space="preserve"> or </w:t>
            </w:r>
            <w:r>
              <w:rPr>
                <w:rFonts w:ascii="Consolas" w:hAnsi="Consolas"/>
                <w:color w:val="C0392B"/>
                <w:sz w:val="18"/>
              </w:rPr>
              <w:t>list_outlook_folders()</w:t>
            </w:r>
            <w:r>
              <w:t>.</w:t>
            </w:r>
          </w:p>
        </w:tc>
      </w:tr>
    </w:tbl>
    <w:p/>
    <w:p>
      <w:r>
        <w:rPr>
          <w:b/>
        </w:rPr>
        <w:t>Module constants:</w:t>
      </w:r>
    </w:p>
    <w:p>
      <w:pPr>
        <w:pStyle w:val="ListBullet"/>
      </w:pPr>
      <w:r>
        <w:rPr>
          <w:rFonts w:ascii="Consolas" w:hAnsi="Consolas"/>
          <w:color w:val="C0392B"/>
          <w:sz w:val="18"/>
        </w:rPr>
        <w:t>RECIPIENT_EMAIL</w:t>
      </w:r>
      <w:r>
        <w:t xml:space="preserve"> — default report recipient (</w:t>
      </w:r>
      <w:r>
        <w:rPr>
          <w:rFonts w:ascii="Consolas" w:hAnsi="Consolas"/>
          <w:color w:val="C0392B"/>
          <w:sz w:val="18"/>
        </w:rPr>
        <w:t>ajay.kumar@incedoinc.com</w:t>
      </w:r>
      <w:r>
        <w:t>).</w:t>
      </w:r>
    </w:p>
    <w:p>
      <w:pPr>
        <w:pStyle w:val="ListBullet"/>
      </w:pPr>
      <w:r>
        <w:rPr>
          <w:rFonts w:ascii="Consolas" w:hAnsi="Consolas"/>
          <w:color w:val="C0392B"/>
          <w:sz w:val="18"/>
        </w:rPr>
        <w:t>MONITORING_KEYWORDS</w:t>
      </w:r>
      <w:r>
        <w:t xml:space="preserve"> — subject keywords used to find monitoring emails.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rPr>
          <w:color w:val="34495E"/>
        </w:rPr>
        <w:t>5.2 `outlook_reader.py` — Outlook I/O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connect_outlook()</w:t>
            </w:r>
          </w:p>
        </w:tc>
        <w:tc>
          <w:tcPr>
            <w:tcW w:type="dxa" w:w="2880"/>
          </w:tcPr>
          <w:p>
            <w:r/>
            <w:r>
              <w:t>MAPI namespace</w:t>
            </w:r>
          </w:p>
        </w:tc>
        <w:tc>
          <w:tcPr>
            <w:tcW w:type="dxa" w:w="2880"/>
          </w:tcPr>
          <w:p>
            <w:r/>
            <w:r>
              <w:t xml:space="preserve">Dispatches </w:t>
            </w:r>
            <w:r>
              <w:rPr>
                <w:rFonts w:ascii="Consolas" w:hAnsi="Consolas"/>
                <w:color w:val="C0392B"/>
                <w:sz w:val="18"/>
              </w:rPr>
              <w:t>Outlook.Application</w:t>
            </w:r>
            <w:r>
              <w:t xml:space="preserve"> and returns the MAPI namespace. Raises </w:t>
            </w:r>
            <w:r>
              <w:rPr>
                <w:rFonts w:ascii="Consolas" w:hAnsi="Consolas"/>
                <w:color w:val="C0392B"/>
                <w:sz w:val="18"/>
              </w:rPr>
              <w:t>ConnectionError</w:t>
            </w:r>
            <w:r>
              <w:t xml:space="preserve"> on failure.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get_folder(namespace, folder_name, parent_folder)</w:t>
            </w:r>
          </w:p>
        </w:tc>
        <w:tc>
          <w:tcPr>
            <w:tcW w:type="dxa" w:w="2880"/>
          </w:tcPr>
          <w:p>
            <w:r/>
            <w:r>
              <w:t>Folder object</w:t>
            </w:r>
          </w:p>
        </w:tc>
        <w:tc>
          <w:tcPr>
            <w:tcW w:type="dxa" w:w="2880"/>
          </w:tcPr>
          <w:p>
            <w:r/>
            <w:r>
              <w:t xml:space="preserve">Locates a folder by name — first under Inbox, then recursively across stores. Raises </w:t>
            </w:r>
            <w:r>
              <w:rPr>
                <w:rFonts w:ascii="Consolas" w:hAnsi="Consolas"/>
                <w:color w:val="C0392B"/>
                <w:sz w:val="18"/>
              </w:rPr>
              <w:t>FileNotFoundError</w:t>
            </w:r>
            <w:r>
              <w:t xml:space="preserve"> if missing.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get_today_emails(folder, date)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list[dict]</w:t>
            </w:r>
          </w:p>
        </w:tc>
        <w:tc>
          <w:tcPr>
            <w:tcW w:type="dxa" w:w="2880"/>
          </w:tcPr>
          <w:p>
            <w:r/>
            <w:r>
              <w:t>Returns emails received on a specific date (defaults to today). Relies on descending sort for early exit.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get_friday_emails(folder)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list[dict]</w:t>
            </w:r>
          </w:p>
        </w:tc>
        <w:tc>
          <w:tcPr>
            <w:tcW w:type="dxa" w:w="2880"/>
          </w:tcPr>
          <w:p>
            <w:r/>
            <w:r>
              <w:t>Returns emails from the most recent Friday.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get_emails_by_subject(folder, subject_keywords, days_back)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list[dict]</w:t>
            </w:r>
          </w:p>
        </w:tc>
        <w:tc>
          <w:tcPr>
            <w:tcW w:type="dxa" w:w="2880"/>
          </w:tcPr>
          <w:p>
            <w:r/>
            <w:r>
              <w:t xml:space="preserve">Returns emails within </w:t>
            </w:r>
            <w:r>
              <w:rPr>
                <w:rFonts w:ascii="Consolas" w:hAnsi="Consolas"/>
                <w:color w:val="C0392B"/>
                <w:sz w:val="18"/>
              </w:rPr>
              <w:t>days_back</w:t>
            </w:r>
            <w:r>
              <w:t xml:space="preserve"> whose subject matches any keyword.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send_email(to_address, subject, body_markdown, body_html)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bool</w:t>
            </w:r>
          </w:p>
        </w:tc>
        <w:tc>
          <w:tcPr>
            <w:tcW w:type="dxa" w:w="2880"/>
          </w:tcPr>
          <w:p>
            <w:r/>
            <w:r>
              <w:t xml:space="preserve">Creates and sends a </w:t>
            </w:r>
            <w:r>
              <w:rPr>
                <w:rFonts w:ascii="Consolas" w:hAnsi="Consolas"/>
                <w:color w:val="C0392B"/>
                <w:sz w:val="18"/>
              </w:rPr>
              <w:t>MailItem</w:t>
            </w:r>
            <w:r>
              <w:t xml:space="preserve"> via Outlook. Auto-converts Markdown → HTML when no HTML body is supplied.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markdown_to_html(md_text)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str</w:t>
            </w:r>
          </w:p>
        </w:tc>
        <w:tc>
          <w:tcPr>
            <w:tcW w:type="dxa" w:w="2880"/>
          </w:tcPr>
          <w:p>
            <w:r/>
            <w:r>
              <w:t>Converts the Markdown report into inline-styled HTML for clean Outlook rendering (headers, bullets, bold, code, emoji callouts).</w:t>
            </w:r>
          </w:p>
        </w:tc>
      </w:tr>
    </w:tbl>
    <w:p/>
    <w:p>
      <w:pPr>
        <w:pStyle w:val="IntenseQuote"/>
      </w:pPr>
      <w:r>
        <w:rPr>
          <w:b/>
        </w:rPr>
        <w:t>Note:</w:t>
      </w:r>
      <w:r>
        <w:t xml:space="preserve"> </w:t>
      </w:r>
      <w:r>
        <w:rPr>
          <w:rFonts w:ascii="Consolas" w:hAnsi="Consolas"/>
          <w:color w:val="C0392B"/>
          <w:sz w:val="18"/>
        </w:rPr>
        <w:t>GetDefaultFolder(6)</w:t>
      </w:r>
      <w:r>
        <w:t xml:space="preserve"> resolves to the </w:t>
      </w:r>
      <w:r>
        <w:rPr>
          <w:b/>
        </w:rPr>
        <w:t>Inbox</w:t>
      </w:r>
      <w:r>
        <w:t xml:space="preserve"> (Outlook's </w:t>
      </w:r>
      <w:r>
        <w:rPr>
          <w:rFonts w:ascii="Consolas" w:hAnsi="Consolas"/>
          <w:color w:val="C0392B"/>
          <w:sz w:val="18"/>
        </w:rPr>
        <w:t>olFolderInbox</w:t>
      </w:r>
      <w:r>
        <w:t xml:space="preserve"> constant). </w:t>
      </w:r>
      <w:r>
        <w:rPr>
          <w:rFonts w:ascii="Consolas" w:hAnsi="Consolas"/>
          <w:color w:val="C0392B"/>
          <w:sz w:val="18"/>
        </w:rPr>
        <w:t>CreateItem(0)</w:t>
      </w:r>
      <w:r>
        <w:t xml:space="preserve"> creates a </w:t>
      </w:r>
      <w:r>
        <w:rPr>
          <w:b/>
        </w:rPr>
        <w:t>MailItem</w:t>
      </w:r>
      <w:r>
        <w:t xml:space="preserve"> (</w:t>
      </w:r>
      <w:r>
        <w:rPr>
          <w:rFonts w:ascii="Consolas" w:hAnsi="Consolas"/>
          <w:color w:val="C0392B"/>
          <w:sz w:val="18"/>
        </w:rPr>
        <w:t>olMailItem</w:t>
      </w:r>
      <w:r>
        <w:t>).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rPr>
          <w:color w:val="34495E"/>
        </w:rPr>
        <w:t>5.3 `email_parser.py` — Content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parse_tablespace_data(email_body)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list[TablespaceEntry]</w:t>
            </w:r>
          </w:p>
        </w:tc>
        <w:tc>
          <w:tcPr>
            <w:tcW w:type="dxa" w:w="2880"/>
          </w:tcPr>
          <w:p>
            <w:r/>
            <w:r>
              <w:t>Extracts tablespace usage via three regex patterns (pipe-separated, named tablespaces, DB-context headers).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parse_diskgroup_data(email_body)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list[DiskgroupEntry]</w:t>
            </w:r>
          </w:p>
        </w:tc>
        <w:tc>
          <w:tcPr>
            <w:tcW w:type="dxa" w:w="2880"/>
          </w:tcPr>
          <w:p>
            <w:r/>
            <w:r>
              <w:t>Extracts ASM diskgroup usage (</w:t>
            </w:r>
            <w:r>
              <w:rPr>
                <w:rFonts w:ascii="Consolas" w:hAnsi="Consolas"/>
                <w:color w:val="C0392B"/>
                <w:sz w:val="18"/>
              </w:rPr>
              <w:t>DATA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>FRA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>REDO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>ARCH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parse_mount_point_data(email_body)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list[MountPointEntry]</w:t>
            </w:r>
          </w:p>
        </w:tc>
        <w:tc>
          <w:tcPr>
            <w:tcW w:type="dxa" w:w="2880"/>
          </w:tcPr>
          <w:p>
            <w:r/>
            <w:r>
              <w:t xml:space="preserve">Extracts filesystem/mount usage from </w:t>
            </w:r>
            <w:r>
              <w:rPr>
                <w:rFonts w:ascii="Consolas" w:hAnsi="Consolas"/>
                <w:color w:val="C0392B"/>
                <w:sz w:val="18"/>
              </w:rPr>
              <w:t>df</w:t>
            </w:r>
            <w:r>
              <w:t>-style or simplified rows.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classify_email(subject)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str</w:t>
            </w:r>
          </w:p>
        </w:tc>
        <w:tc>
          <w:tcPr>
            <w:tcW w:type="dxa" w:w="2880"/>
          </w:tcPr>
          <w:p>
            <w:r/>
            <w:r>
              <w:t xml:space="preserve">Classifies email type: </w:t>
            </w:r>
            <w:r>
              <w:rPr>
                <w:rFonts w:ascii="Consolas" w:hAnsi="Consolas"/>
                <w:color w:val="C0392B"/>
                <w:sz w:val="18"/>
              </w:rPr>
              <w:t>tablespace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>diskgroup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>mount_point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>general</w:t>
            </w:r>
            <w:r>
              <w:t xml:space="preserve">, or </w:t>
            </w:r>
            <w:r>
              <w:rPr>
                <w:rFonts w:ascii="Consolas" w:hAnsi="Consolas"/>
                <w:color w:val="C0392B"/>
                <w:sz w:val="18"/>
              </w:rPr>
              <w:t>unknown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parse_monitoring_emails(emails)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MonitoringData</w:t>
            </w:r>
          </w:p>
        </w:tc>
        <w:tc>
          <w:tcPr>
            <w:tcW w:type="dxa" w:w="2880"/>
          </w:tcPr>
          <w:p>
            <w:r/>
            <w:r>
              <w:t>Iterates all emails, dispatches to the correct parser(s), and aggregates results.</w:t>
            </w:r>
          </w:p>
        </w:tc>
      </w:tr>
    </w:tbl>
    <w:p/>
    <w:p>
      <w:r>
        <w:rPr>
          <w:b/>
        </w:rPr>
        <w:t>Parsing context awareness:</w:t>
      </w:r>
      <w:r>
        <w:t xml:space="preserve"> Parsers track a "current database/host" by detecting header lines like </w:t>
      </w:r>
      <w:r>
        <w:rPr>
          <w:rFonts w:ascii="Consolas" w:hAnsi="Consolas"/>
          <w:color w:val="C0392B"/>
          <w:sz w:val="18"/>
        </w:rPr>
        <w:t>Database: CDBPRD1</w:t>
      </w:r>
      <w:r>
        <w:t xml:space="preserve"> or section headers (</w:t>
      </w:r>
      <w:r>
        <w:rPr>
          <w:rFonts w:ascii="Consolas" w:hAnsi="Consolas"/>
          <w:color w:val="C0392B"/>
          <w:sz w:val="18"/>
        </w:rPr>
        <w:t>CDB…</w:t>
      </w:r>
      <w:r>
        <w:t xml:space="preserve">, </w:t>
      </w:r>
      <w:r>
        <w:rPr>
          <w:rFonts w:ascii="Consolas" w:hAnsi="Consolas"/>
          <w:color w:val="C0392B"/>
          <w:sz w:val="18"/>
        </w:rPr>
        <w:t>CTS…</w:t>
      </w:r>
      <w:r>
        <w:t xml:space="preserve">, </w:t>
      </w:r>
      <w:r>
        <w:rPr>
          <w:rFonts w:ascii="Consolas" w:hAnsi="Consolas"/>
          <w:color w:val="C0392B"/>
          <w:sz w:val="18"/>
        </w:rPr>
        <w:t>HFA…</w:t>
      </w:r>
      <w:r>
        <w:t xml:space="preserve">, </w:t>
      </w:r>
      <w:r>
        <w:rPr>
          <w:rFonts w:ascii="Consolas" w:hAnsi="Consolas"/>
          <w:color w:val="C0392B"/>
          <w:sz w:val="18"/>
        </w:rPr>
        <w:t>GG…</w:t>
      </w:r>
      <w:r>
        <w:t>) so each metric is attributed to its source.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rPr>
          <w:color w:val="34495E"/>
        </w:rPr>
        <w:t>5.4 `report_generator.py` — Report Building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categorize_by_threshold(entries, critical, warning)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tuple(list, list, list)</w:t>
            </w:r>
          </w:p>
        </w:tc>
        <w:tc>
          <w:tcPr>
            <w:tcW w:type="dxa" w:w="2880"/>
          </w:tcPr>
          <w:p>
            <w:r/>
            <w:r>
              <w:t xml:space="preserve">Splits entries into critical / warning / stable groups by </w:t>
            </w:r>
            <w:r>
              <w:rPr>
                <w:rFonts w:ascii="Consolas" w:hAnsi="Consolas"/>
                <w:color w:val="C0392B"/>
                <w:sz w:val="18"/>
              </w:rPr>
              <w:t>used_percent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generate_tablespace_section(tablespaces)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str</w:t>
            </w:r>
          </w:p>
        </w:tc>
        <w:tc>
          <w:tcPr>
            <w:tcW w:type="dxa" w:w="2880"/>
          </w:tcPr>
          <w:p>
            <w:r/>
            <w:r>
              <w:t>Builds Section 1 (grouped by database, with observations).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generate_diskgroup_section(diskgroups)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str</w:t>
            </w:r>
          </w:p>
        </w:tc>
        <w:tc>
          <w:tcPr>
            <w:tcW w:type="dxa" w:w="2880"/>
          </w:tcPr>
          <w:p>
            <w:r/>
            <w:r>
              <w:t>Builds Section 2 (ASM, with FRA vs DATA grouping).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generate_mount_point_section(mount_points, section_title, section_num)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str</w:t>
            </w:r>
          </w:p>
        </w:tc>
        <w:tc>
          <w:tcPr>
            <w:tcW w:type="dxa" w:w="2880"/>
          </w:tcPr>
          <w:p>
            <w:r/>
            <w:r>
              <w:t>Builds a mount-point section (reused for PROD and DEV/TST).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generate_alerts_section(data)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str</w:t>
            </w:r>
          </w:p>
        </w:tc>
        <w:tc>
          <w:tcPr>
            <w:tcW w:type="dxa" w:w="2880"/>
          </w:tcPr>
          <w:p>
            <w:r/>
            <w:r>
              <w:t>Builds the consolidated "Overall Key Alerts" block.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generate_health_summary(data)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str</w:t>
            </w:r>
          </w:p>
        </w:tc>
        <w:tc>
          <w:tcPr>
            <w:tcW w:type="dxa" w:w="2880"/>
          </w:tcPr>
          <w:p>
            <w:r/>
            <w:r>
              <w:t>Builds the final DEV/TST vs PROD health verdict.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generate_full_report(data, report_date)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str</w:t>
            </w:r>
          </w:p>
        </w:tc>
        <w:tc>
          <w:tcPr>
            <w:tcW w:type="dxa" w:w="2880"/>
          </w:tcPr>
          <w:p>
            <w:r/>
            <w:r>
              <w:t>Assembles the complete Markdown report from all sections.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6. 🗂️ Data Models</w:t>
      </w:r>
    </w:p>
    <w:p>
      <w:r>
        <w:t xml:space="preserve">Defined in </w:t>
      </w:r>
      <w:r>
        <w:rPr>
          <w:rFonts w:ascii="Consolas" w:hAnsi="Consolas"/>
          <w:color w:val="C0392B"/>
          <w:sz w:val="18"/>
        </w:rPr>
        <w:t>email_parser.py</w:t>
      </w:r>
      <w:r>
        <w:t xml:space="preserve"> as </w:t>
      </w:r>
      <w:r>
        <w:rPr>
          <w:rFonts w:ascii="Consolas" w:hAnsi="Consolas"/>
          <w:color w:val="C0392B"/>
          <w:sz w:val="18"/>
        </w:rPr>
        <w:t>@dataclass</w:t>
      </w:r>
      <w:r>
        <w:t xml:space="preserve"> objects:</w:t>
      </w:r>
    </w:p>
    <w:p>
      <w:pPr>
        <w:ind w:left="240"/>
      </w:pPr>
      <w:r>
        <w:rPr>
          <w:rFonts w:ascii="Consolas" w:hAnsi="Consolas"/>
          <w:color w:val="2C3E50"/>
          <w:sz w:val="18"/>
        </w:rPr>
        <w:t>@dataclass</w:t>
        <w:br/>
        <w:t>class TablespaceEntry:</w:t>
        <w:br/>
        <w:t xml:space="preserve">    database: str</w:t>
        <w:br/>
        <w:t xml:space="preserve">    tablespace_name: str</w:t>
        <w:br/>
        <w:t xml:space="preserve">    used_percent: float</w:t>
        <w:br/>
        <w:t xml:space="preserve">    size_mb: float = 0</w:t>
        <w:br/>
        <w:t xml:space="preserve">    free_mb: float = 0</w:t>
        <w:br/>
        <w:br/>
        <w:t>@dataclass</w:t>
        <w:br/>
        <w:t>class DiskgroupEntry:</w:t>
        <w:br/>
        <w:t xml:space="preserve">    database: str</w:t>
        <w:br/>
        <w:t xml:space="preserve">    diskgroup_name: str</w:t>
        <w:br/>
        <w:t xml:space="preserve">    used_percent: float</w:t>
        <w:br/>
        <w:t xml:space="preserve">    total_gb: float = 0</w:t>
        <w:br/>
        <w:t xml:space="preserve">    free_gb: float = 0</w:t>
        <w:br/>
        <w:br/>
        <w:t>@dataclass</w:t>
        <w:br/>
        <w:t>class MountPointEntry:</w:t>
        <w:br/>
        <w:t xml:space="preserve">    host: str</w:t>
        <w:br/>
        <w:t xml:space="preserve">    mount_point: str</w:t>
        <w:br/>
        <w:t xml:space="preserve">    used_percent: float</w:t>
        <w:br/>
        <w:t xml:space="preserve">    total_gb: float = 0</w:t>
        <w:br/>
        <w:t xml:space="preserve">    available_gb: float = 0</w:t>
        <w:br/>
        <w:br/>
        <w:t>@dataclass</w:t>
        <w:br/>
        <w:t>class MonitoringData:</w:t>
        <w:br/>
        <w:t xml:space="preserve">    tablespaces:    list   # list[TablespaceEntry]</w:t>
        <w:br/>
        <w:t xml:space="preserve">    diskgroups:     list   # list[DiskgroupEntry]</w:t>
        <w:br/>
        <w:t xml:space="preserve">    mount_points:   list   # list[MountPointEntry]</w:t>
        <w:br/>
        <w:t xml:space="preserve">    source_subject: str</w:t>
        <w:br/>
        <w:t xml:space="preserve">    report_date:    str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7. 🚦 Severity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🔴 Critical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🟡 Warning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✅ Stable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Tablespace</w:t>
            </w:r>
          </w:p>
        </w:tc>
        <w:tc>
          <w:tcPr>
            <w:tcW w:type="dxa" w:w="2160"/>
          </w:tcPr>
          <w:p>
            <w:r/>
            <w:r>
              <w:t>≥ 90%</w:t>
            </w:r>
          </w:p>
        </w:tc>
        <w:tc>
          <w:tcPr>
            <w:tcW w:type="dxa" w:w="2160"/>
          </w:tcPr>
          <w:p>
            <w:r/>
            <w:r>
              <w:t>85% – 90%</w:t>
            </w:r>
          </w:p>
        </w:tc>
        <w:tc>
          <w:tcPr>
            <w:tcW w:type="dxa" w:w="2160"/>
          </w:tcPr>
          <w:p>
            <w:r/>
            <w:r>
              <w:t>&lt; 85%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Diskgroup (ASM)</w:t>
            </w:r>
          </w:p>
        </w:tc>
        <w:tc>
          <w:tcPr>
            <w:tcW w:type="dxa" w:w="2160"/>
          </w:tcPr>
          <w:p>
            <w:r/>
            <w:r>
              <w:t>≥ 90%</w:t>
            </w:r>
          </w:p>
        </w:tc>
        <w:tc>
          <w:tcPr>
            <w:tcW w:type="dxa" w:w="2160"/>
          </w:tcPr>
          <w:p>
            <w:r/>
            <w:r>
              <w:t>70% – 90%</w:t>
            </w:r>
          </w:p>
        </w:tc>
        <w:tc>
          <w:tcPr>
            <w:tcW w:type="dxa" w:w="2160"/>
          </w:tcPr>
          <w:p>
            <w:r/>
            <w:r>
              <w:t>&lt; 70%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Mount Point</w:t>
            </w:r>
          </w:p>
        </w:tc>
        <w:tc>
          <w:tcPr>
            <w:tcW w:type="dxa" w:w="2160"/>
          </w:tcPr>
          <w:p>
            <w:r/>
            <w:r>
              <w:t>≥ 80%</w:t>
            </w:r>
          </w:p>
        </w:tc>
        <w:tc>
          <w:tcPr>
            <w:tcW w:type="dxa" w:w="2160"/>
          </w:tcPr>
          <w:p>
            <w:r/>
            <w:r>
              <w:t>65% – 80%</w:t>
            </w:r>
          </w:p>
        </w:tc>
        <w:tc>
          <w:tcPr>
            <w:tcW w:type="dxa" w:w="2160"/>
          </w:tcPr>
          <w:p>
            <w:r/>
            <w:r>
              <w:t>&lt; 65%</w:t>
            </w:r>
          </w:p>
        </w:tc>
      </w:tr>
    </w:tbl>
    <w:p/>
    <w:p>
      <w:pPr>
        <w:pStyle w:val="IntenseQuote"/>
      </w:pPr>
      <w:r>
        <w:t xml:space="preserve">Thresholds are passed into </w:t>
      </w:r>
      <w:r>
        <w:rPr>
          <w:rFonts w:ascii="Consolas" w:hAnsi="Consolas"/>
          <w:color w:val="C0392B"/>
          <w:sz w:val="18"/>
        </w:rPr>
        <w:t>categorize_by_threshold()</w:t>
      </w:r>
      <w:r>
        <w:t xml:space="preserve"> from each section generator and can be tuned there.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8. ⌨️ Command-Line Interface</w:t>
      </w:r>
    </w:p>
    <w:p>
      <w:pPr>
        <w:ind w:left="240"/>
      </w:pPr>
      <w:r>
        <w:rPr>
          <w:rFonts w:ascii="Consolas" w:hAnsi="Consolas"/>
          <w:color w:val="2C3E50"/>
          <w:sz w:val="18"/>
        </w:rPr>
        <w:t>python main.py [options]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Alias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--folder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"Friday Monitoring"</w:t>
            </w:r>
          </w:p>
        </w:tc>
        <w:tc>
          <w:tcPr>
            <w:tcW w:type="dxa" w:w="2160"/>
          </w:tcPr>
          <w:p>
            <w:r/>
            <w:r>
              <w:t>Outlook folder to read from.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--date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-d</w:t>
            </w:r>
          </w:p>
        </w:tc>
        <w:tc>
          <w:tcPr>
            <w:tcW w:type="dxa" w:w="2160"/>
          </w:tcPr>
          <w:p>
            <w:r/>
            <w:r>
              <w:t>auto-detect</w:t>
            </w:r>
          </w:p>
        </w:tc>
        <w:tc>
          <w:tcPr>
            <w:tcW w:type="dxa" w:w="2160"/>
          </w:tcPr>
          <w:p>
            <w:r/>
            <w:r>
              <w:t>Target date (</w:t>
            </w:r>
            <w:r>
              <w:rPr>
                <w:rFonts w:ascii="Consolas" w:hAnsi="Consolas"/>
                <w:color w:val="C0392B"/>
                <w:sz w:val="18"/>
              </w:rPr>
              <w:t>YYYY-MM-DD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--output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-o</w:t>
            </w:r>
          </w:p>
        </w:tc>
        <w:tc>
          <w:tcPr>
            <w:tcW w:type="dxa" w:w="2160"/>
          </w:tcPr>
          <w:p>
            <w:r/>
            <w:r>
              <w:t xml:space="preserve">auto-named </w:t>
            </w:r>
            <w:r>
              <w:rPr>
                <w:rFonts w:ascii="Consolas" w:hAnsi="Consolas"/>
                <w:color w:val="C0392B"/>
                <w:sz w:val="18"/>
              </w:rPr>
              <w:t>.md</w:t>
            </w:r>
          </w:p>
        </w:tc>
        <w:tc>
          <w:tcPr>
            <w:tcW w:type="dxa" w:w="2160"/>
          </w:tcPr>
          <w:p>
            <w:r/>
            <w:r>
              <w:t>Output file path for the report.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--days-back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t>Days to look back when filtering by keyword.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--list-folders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off</w:t>
            </w:r>
          </w:p>
        </w:tc>
        <w:tc>
          <w:tcPr>
            <w:tcW w:type="dxa" w:w="2160"/>
          </w:tcPr>
          <w:p>
            <w:r/>
            <w:r>
              <w:t>List all Outlook folders and exit.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--send-to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RECIPIENT_EMAIL</w:t>
            </w:r>
          </w:p>
        </w:tc>
        <w:tc>
          <w:tcPr>
            <w:tcW w:type="dxa" w:w="2160"/>
          </w:tcPr>
          <w:p>
            <w:r/>
            <w:r>
              <w:t>Recipient email address.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--no-email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off</w:t>
            </w:r>
          </w:p>
        </w:tc>
        <w:tc>
          <w:tcPr>
            <w:tcW w:type="dxa" w:w="2160"/>
          </w:tcPr>
          <w:p>
            <w:r/>
            <w:r>
              <w:t>Skip sending; only save + print.</w:t>
            </w:r>
          </w:p>
        </w:tc>
      </w:tr>
    </w:tbl>
    <w:p/>
    <w:p>
      <w:r>
        <w:rPr>
          <w:b/>
        </w:rPr>
        <w:t>Examples:</w:t>
      </w:r>
    </w:p>
    <w:p>
      <w:pPr>
        <w:ind w:left="240"/>
      </w:pPr>
      <w:r>
        <w:rPr>
          <w:rFonts w:ascii="Consolas" w:hAnsi="Consolas"/>
          <w:color w:val="2C3E50"/>
          <w:sz w:val="18"/>
        </w:rPr>
        <w:t>python main.py                                   # today, default folder, emailed</w:t>
        <w:br/>
        <w:t>python main.py --folder "DBA Monitoring"         # custom folder</w:t>
        <w:br/>
        <w:t>python main.py --date 2026-06-05                 # specific date</w:t>
        <w:br/>
        <w:t>python main.py --output "C:\Reports\report.md"   # custom output path</w:t>
        <w:br/>
        <w:t>python main.py --days-back 14                    # wider lookback window</w:t>
        <w:br/>
        <w:t>python main.py --no-email                        # local-only run</w:t>
        <w:br/>
        <w:t>python main.py --list-folders                    # troubleshoot folders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9. ⚙️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RECIPIENT_EMAIL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main.py</w:t>
            </w:r>
          </w:p>
        </w:tc>
        <w:tc>
          <w:tcPr>
            <w:tcW w:type="dxa" w:w="2880"/>
          </w:tcPr>
          <w:p>
            <w:r/>
            <w:r>
              <w:t>Default email recipient.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MONITORING_KEYWORDS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main.py</w:t>
            </w:r>
          </w:p>
        </w:tc>
        <w:tc>
          <w:tcPr>
            <w:tcW w:type="dxa" w:w="2880"/>
          </w:tcPr>
          <w:p>
            <w:r/>
            <w:r>
              <w:t>Subject keywords for email discovery.</w:t>
            </w:r>
          </w:p>
        </w:tc>
      </w:tr>
      <w:tr>
        <w:tc>
          <w:tcPr>
            <w:tcW w:type="dxa" w:w="2880"/>
          </w:tcPr>
          <w:p>
            <w:r/>
            <w:r>
              <w:t>Threshold values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report_generator.py</w:t>
            </w:r>
          </w:p>
        </w:tc>
        <w:tc>
          <w:tcPr>
            <w:tcW w:type="dxa" w:w="2880"/>
          </w:tcPr>
          <w:p>
            <w:r/>
            <w:r>
              <w:t>Critical/warning cutoffs per metric.</w:t>
            </w:r>
          </w:p>
        </w:tc>
      </w:tr>
      <w:tr>
        <w:tc>
          <w:tcPr>
            <w:tcW w:type="dxa" w:w="2880"/>
          </w:tcPr>
          <w:p>
            <w:r/>
            <w:r>
              <w:t>Regex patterns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email_parser.py</w:t>
            </w:r>
          </w:p>
        </w:tc>
        <w:tc>
          <w:tcPr>
            <w:tcW w:type="dxa" w:w="2880"/>
          </w:tcPr>
          <w:p>
            <w:r/>
            <w:r>
              <w:t>Match formats of your monitoring emails.</w:t>
            </w:r>
          </w:p>
        </w:tc>
      </w:tr>
      <w:tr>
        <w:tc>
          <w:tcPr>
            <w:tcW w:type="dxa" w:w="2880"/>
          </w:tcPr>
          <w:p>
            <w:r/>
            <w:r>
              <w:t>Dependencies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requirements.txt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pywin32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>beautifulsoup4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>html2text</w:t>
            </w:r>
            <w:r>
              <w:t>.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10. 📄 Output Format</w:t>
      </w:r>
    </w:p>
    <w:p>
      <w:r>
        <w:t>The generated report (</w:t>
      </w:r>
      <w:r>
        <w:rPr>
          <w:rFonts w:ascii="Consolas" w:hAnsi="Consolas"/>
          <w:color w:val="C0392B"/>
          <w:sz w:val="18"/>
        </w:rPr>
        <w:t>monitoring_summary_YYYYMMDD.md</w:t>
      </w:r>
      <w:r>
        <w:t>) follows this structure:</w:t>
      </w:r>
    </w:p>
    <w:p>
      <w:pPr>
        <w:ind w:left="240"/>
      </w:pPr>
      <w:r>
        <w:rPr>
          <w:rFonts w:ascii="Consolas" w:hAnsi="Consolas"/>
          <w:color w:val="2C3E50"/>
          <w:sz w:val="18"/>
        </w:rPr>
        <w:t># 📊 &lt;Day&gt; Monitoring Summary (&lt;date&gt;)</w:t>
        <w:br/>
        <w:t>## 1. 🗄️ Tablespace Status</w:t>
        <w:br/>
        <w:t xml:space="preserve">    ### 🔴 High Utilization (Critical/Watch)</w:t>
        <w:br/>
        <w:t xml:space="preserve">    ### 🟡 Moderate Utilization (85–90%)</w:t>
        <w:br/>
        <w:t xml:space="preserve">    ### ✅ Stable</w:t>
        <w:br/>
        <w:t xml:space="preserve">    👉 Observation</w:t>
        <w:br/>
        <w:t>## 2. 💽 Diskgroup (ASM) Status</w:t>
        <w:br/>
        <w:t xml:space="preserve">    ### 🔴 Critical / 🟡 Moderate / ✅ Healthy</w:t>
        <w:br/>
        <w:t xml:space="preserve">    👉 Observation</w:t>
        <w:br/>
        <w:t>## 3. 💾 PROD Mount Point Status</w:t>
        <w:br/>
        <w:t>## 4. 💾 TST &amp; DEV Mount Point Status   (if DEV/TST data present)</w:t>
        <w:br/>
        <w:t># 🚨 Overall Key Alerts (Today)</w:t>
        <w:br/>
        <w:t># ✅ Final Health Summary</w:t>
      </w:r>
    </w:p>
    <w:p>
      <w:r>
        <w:t xml:space="preserve">The same content is delivered three ways: </w:t>
      </w:r>
      <w:r>
        <w:rPr>
          <w:b/>
        </w:rPr>
        <w:t>saved file</w:t>
      </w:r>
      <w:r>
        <w:t xml:space="preserve">, </w:t>
      </w:r>
      <w:r>
        <w:rPr>
          <w:b/>
        </w:rPr>
        <w:t>Outlook email (HTML)</w:t>
      </w:r>
      <w:r>
        <w:t xml:space="preserve">, and </w:t>
      </w:r>
      <w:r>
        <w:rPr>
          <w:b/>
        </w:rPr>
        <w:t>console print</w:t>
      </w:r>
      <w:r>
        <w:t>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11. 🛡️ Error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Outlook not running / COM failure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connect_outlook()</w:t>
            </w:r>
            <w:r>
              <w:t xml:space="preserve"> raises </w:t>
            </w:r>
            <w:r>
              <w:rPr>
                <w:rFonts w:ascii="Consolas" w:hAnsi="Consolas"/>
                <w:color w:val="C0392B"/>
                <w:sz w:val="18"/>
              </w:rPr>
              <w:t>ConnectionError</w:t>
            </w:r>
            <w:r>
              <w:t xml:space="preserve">; </w:t>
            </w:r>
            <w:r>
              <w:rPr>
                <w:rFonts w:ascii="Consolas" w:hAnsi="Consolas"/>
                <w:color w:val="C0392B"/>
                <w:sz w:val="18"/>
              </w:rPr>
              <w:t>run_agent()</w:t>
            </w:r>
            <w:r>
              <w:t xml:space="preserve"> exits with guidance.</w:t>
            </w:r>
          </w:p>
        </w:tc>
      </w:tr>
      <w:tr>
        <w:tc>
          <w:tcPr>
            <w:tcW w:type="dxa" w:w="4320"/>
          </w:tcPr>
          <w:p>
            <w:r/>
            <w:r>
              <w:t>Folder not found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8"/>
              </w:rPr>
              <w:t>get_folder()</w:t>
            </w:r>
            <w:r>
              <w:t xml:space="preserve"> raises </w:t>
            </w:r>
            <w:r>
              <w:rPr>
                <w:rFonts w:ascii="Consolas" w:hAnsi="Consolas"/>
                <w:color w:val="C0392B"/>
                <w:sz w:val="18"/>
              </w:rPr>
              <w:t>FileNotFoundError</w:t>
            </w:r>
            <w:r>
              <w:t xml:space="preserve">; suggests </w:t>
            </w:r>
            <w:r>
              <w:rPr>
                <w:rFonts w:ascii="Consolas" w:hAnsi="Consolas"/>
                <w:color w:val="C0392B"/>
                <w:sz w:val="18"/>
              </w:rPr>
              <w:t>--list-folders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No emails found</w:t>
            </w:r>
          </w:p>
        </w:tc>
        <w:tc>
          <w:tcPr>
            <w:tcW w:type="dxa" w:w="4320"/>
          </w:tcPr>
          <w:p>
            <w:r/>
            <w:r>
              <w:t xml:space="preserve">Prints tips (check folder, increase </w:t>
            </w:r>
            <w:r>
              <w:rPr>
                <w:rFonts w:ascii="Consolas" w:hAnsi="Consolas"/>
                <w:color w:val="C0392B"/>
                <w:sz w:val="18"/>
              </w:rPr>
              <w:t>--days-back</w:t>
            </w:r>
            <w:r>
              <w:t>) and exits cleanly.</w:t>
            </w:r>
          </w:p>
        </w:tc>
      </w:tr>
      <w:tr>
        <w:tc>
          <w:tcPr>
            <w:tcW w:type="dxa" w:w="4320"/>
          </w:tcPr>
          <w:p>
            <w:r/>
            <w:r>
              <w:t>Malformed email row</w:t>
            </w:r>
          </w:p>
        </w:tc>
        <w:tc>
          <w:tcPr>
            <w:tcW w:type="dxa" w:w="4320"/>
          </w:tcPr>
          <w:p>
            <w:r/>
            <w:r>
              <w:t>Parser skips the row (</w:t>
            </w:r>
            <w:r>
              <w:rPr>
                <w:rFonts w:ascii="Consolas" w:hAnsi="Consolas"/>
                <w:color w:val="C0392B"/>
                <w:sz w:val="18"/>
              </w:rPr>
              <w:t>try/except continue</w:t>
            </w:r>
            <w:r>
              <w:t>) and continues.</w:t>
            </w:r>
          </w:p>
        </w:tc>
      </w:tr>
      <w:tr>
        <w:tc>
          <w:tcPr>
            <w:tcW w:type="dxa" w:w="4320"/>
          </w:tcPr>
          <w:p>
            <w:r/>
            <w:r>
              <w:t>Email send failure</w:t>
            </w:r>
          </w:p>
        </w:tc>
        <w:tc>
          <w:tcPr>
            <w:tcW w:type="dxa" w:w="4320"/>
          </w:tcPr>
          <w:p>
            <w:r/>
            <w:r>
              <w:t>Logged; the report remains saved to disk.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color w:val="2C3E50"/>
        </w:rPr>
        <w:t>12. 🔧 Extending the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New metric type</w:t>
            </w:r>
          </w:p>
        </w:tc>
        <w:tc>
          <w:tcPr>
            <w:tcW w:type="dxa" w:w="4320"/>
          </w:tcPr>
          <w:p>
            <w:r/>
            <w:r>
              <w:t xml:space="preserve">Add a </w:t>
            </w:r>
            <w:r>
              <w:rPr>
                <w:rFonts w:ascii="Consolas" w:hAnsi="Consolas"/>
                <w:color w:val="C0392B"/>
                <w:sz w:val="18"/>
              </w:rPr>
              <w:t>@dataclass</w:t>
            </w:r>
            <w:r>
              <w:t xml:space="preserve">, a </w:t>
            </w:r>
            <w:r>
              <w:rPr>
                <w:rFonts w:ascii="Consolas" w:hAnsi="Consolas"/>
                <w:color w:val="C0392B"/>
                <w:sz w:val="18"/>
              </w:rPr>
              <w:t>parse_&lt;type&gt;_data()</w:t>
            </w:r>
            <w:r>
              <w:t xml:space="preserve"> function, wire it into </w:t>
            </w:r>
            <w:r>
              <w:rPr>
                <w:rFonts w:ascii="Consolas" w:hAnsi="Consolas"/>
                <w:color w:val="C0392B"/>
                <w:sz w:val="18"/>
              </w:rPr>
              <w:t>parse_monitoring_emails()</w:t>
            </w:r>
            <w:r>
              <w:t xml:space="preserve">, and add a </w:t>
            </w:r>
            <w:r>
              <w:rPr>
                <w:rFonts w:ascii="Consolas" w:hAnsi="Consolas"/>
                <w:color w:val="C0392B"/>
                <w:sz w:val="18"/>
              </w:rPr>
              <w:t>generate_&lt;type&gt;_section()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New email format</w:t>
            </w:r>
          </w:p>
        </w:tc>
        <w:tc>
          <w:tcPr>
            <w:tcW w:type="dxa" w:w="4320"/>
          </w:tcPr>
          <w:p>
            <w:r/>
            <w:r>
              <w:t xml:space="preserve">Add/adjust regex patterns in the relevant </w:t>
            </w:r>
            <w:r>
              <w:rPr>
                <w:rFonts w:ascii="Consolas" w:hAnsi="Consolas"/>
                <w:color w:val="C0392B"/>
                <w:sz w:val="18"/>
              </w:rPr>
              <w:t>parse_*_data()</w:t>
            </w:r>
            <w:r>
              <w:t xml:space="preserve"> function.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Change thresholds</w:t>
            </w:r>
          </w:p>
        </w:tc>
        <w:tc>
          <w:tcPr>
            <w:tcW w:type="dxa" w:w="4320"/>
          </w:tcPr>
          <w:p>
            <w:r/>
            <w:r>
              <w:t xml:space="preserve">Edit the </w:t>
            </w:r>
            <w:r>
              <w:rPr>
                <w:rFonts w:ascii="Consolas" w:hAnsi="Consolas"/>
                <w:color w:val="C0392B"/>
                <w:sz w:val="18"/>
              </w:rPr>
              <w:t>critical</w:t>
            </w:r>
            <w:r>
              <w:t>/</w:t>
            </w:r>
            <w:r>
              <w:rPr>
                <w:rFonts w:ascii="Consolas" w:hAnsi="Consolas"/>
                <w:color w:val="C0392B"/>
                <w:sz w:val="18"/>
              </w:rPr>
              <w:t>warning</w:t>
            </w:r>
            <w:r>
              <w:t xml:space="preserve"> arguments in </w:t>
            </w:r>
            <w:r>
              <w:rPr>
                <w:rFonts w:ascii="Consolas" w:hAnsi="Consolas"/>
                <w:color w:val="C0392B"/>
                <w:sz w:val="18"/>
              </w:rPr>
              <w:t>generate_*_section()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New keywords</w:t>
            </w:r>
          </w:p>
        </w:tc>
        <w:tc>
          <w:tcPr>
            <w:tcW w:type="dxa" w:w="4320"/>
          </w:tcPr>
          <w:p>
            <w:r/>
            <w:r>
              <w:t xml:space="preserve">Append to </w:t>
            </w:r>
            <w:r>
              <w:rPr>
                <w:rFonts w:ascii="Consolas" w:hAnsi="Consolas"/>
                <w:color w:val="C0392B"/>
                <w:sz w:val="18"/>
              </w:rPr>
              <w:t>MONITORING_KEYWORDS</w:t>
            </w:r>
            <w:r>
              <w:t xml:space="preserve"> in </w:t>
            </w:r>
            <w:r>
              <w:rPr>
                <w:rFonts w:ascii="Consolas" w:hAnsi="Consolas"/>
                <w:color w:val="C0392B"/>
                <w:sz w:val="18"/>
              </w:rPr>
              <w:t>main.py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Different recipient</w:t>
            </w:r>
          </w:p>
        </w:tc>
        <w:tc>
          <w:tcPr>
            <w:tcW w:type="dxa" w:w="4320"/>
          </w:tcPr>
          <w:p>
            <w:r/>
            <w:r>
              <w:t xml:space="preserve">Use </w:t>
            </w:r>
            <w:r>
              <w:rPr>
                <w:rFonts w:ascii="Consolas" w:hAnsi="Consolas"/>
                <w:color w:val="C0392B"/>
                <w:sz w:val="18"/>
              </w:rPr>
              <w:t>--send-to</w:t>
            </w:r>
            <w:r>
              <w:t xml:space="preserve"> or change </w:t>
            </w:r>
            <w:r>
              <w:rPr>
                <w:rFonts w:ascii="Consolas" w:hAnsi="Consolas"/>
                <w:color w:val="C0392B"/>
                <w:sz w:val="18"/>
              </w:rPr>
              <w:t>RECIPIENT_EMAIL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Scheduling</w:t>
            </w:r>
          </w:p>
        </w:tc>
        <w:tc>
          <w:tcPr>
            <w:tcW w:type="dxa" w:w="4320"/>
          </w:tcPr>
          <w:p>
            <w:r/>
            <w:r>
              <w:t xml:space="preserve">Use Windows Task Scheduler / PowerShell </w:t>
            </w:r>
            <w:r>
              <w:rPr>
                <w:rFonts w:ascii="Consolas" w:hAnsi="Consolas"/>
                <w:color w:val="C0392B"/>
                <w:sz w:val="18"/>
              </w:rPr>
              <w:t>Register-ScheduledTask</w:t>
            </w:r>
            <w:r>
              <w:t xml:space="preserve"> (see </w:t>
            </w:r>
            <w:r>
              <w:rPr>
                <w:rFonts w:ascii="Consolas" w:hAnsi="Consolas"/>
                <w:color w:val="C0392B"/>
                <w:sz w:val="18"/>
              </w:rPr>
              <w:t>README.md</w:t>
            </w:r>
            <w:r>
              <w:t>).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r>
        <w:t>*Generated technical documentation for the Friday Monitoring Summary Agent.*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