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6B47" w14:textId="77777777" w:rsidR="00720DD9" w:rsidRPr="007A5306" w:rsidRDefault="00720DD9" w:rsidP="00720DD9">
      <w:pPr>
        <w:jc w:val="both"/>
        <w:rPr>
          <w:rFonts w:ascii="Times New Roman" w:hAnsi="Times New Roman" w:cs="Times New Roman"/>
          <w:i/>
          <w:iCs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4134D88B" wp14:editId="236411CF">
            <wp:extent cx="5731510" cy="3820795"/>
            <wp:effectExtent l="0" t="0" r="2540" b="8255"/>
            <wp:docPr id="79901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76EF" w14:textId="77777777" w:rsidR="00720DD9" w:rsidRPr="007A5306" w:rsidRDefault="00720DD9" w:rsidP="00720DD9">
      <w:pPr>
        <w:jc w:val="both"/>
        <w:rPr>
          <w:rFonts w:ascii="Times New Roman" w:hAnsi="Times New Roman" w:cs="Times New Roman"/>
          <w:i/>
          <w:iCs/>
          <w:noProof/>
          <w:sz w:val="20"/>
          <w:szCs w:val="20"/>
        </w:rPr>
      </w:pPr>
      <w:r w:rsidRPr="007A5306"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t>Figure 1</w:t>
      </w:r>
      <w:r w:rsidRPr="007A5306">
        <w:rPr>
          <w:rFonts w:ascii="Times New Roman" w:hAnsi="Times New Roman" w:cs="Times New Roman"/>
          <w:i/>
          <w:iCs/>
          <w:noProof/>
          <w:sz w:val="20"/>
          <w:szCs w:val="20"/>
        </w:rPr>
        <w:t>. Overall architecture of the proposed HyFiT (Hybrid Fingerprint Transformer) framework, illustrating the lightweight hybrid CNN–Transformer pipeline for fingerprint representation learning, including convolutional feature extraction, transformer-based global contextual modeling, projection head generation, and 128-dimensional L2-normalized embedding formation for classification and verification analysis.</w:t>
      </w:r>
    </w:p>
    <w:p w14:paraId="587D7721" w14:textId="77777777" w:rsidR="00720DD9" w:rsidRDefault="00720DD9" w:rsidP="00720DD9">
      <w:pPr>
        <w:jc w:val="center"/>
        <w:rPr>
          <w:noProof/>
        </w:rPr>
      </w:pPr>
    </w:p>
    <w:p w14:paraId="605011B1" w14:textId="77777777" w:rsidR="00720DD9" w:rsidRDefault="00720DD9" w:rsidP="00720DD9">
      <w:pPr>
        <w:jc w:val="center"/>
        <w:rPr>
          <w:noProof/>
        </w:rPr>
      </w:pPr>
    </w:p>
    <w:p w14:paraId="7AC391EF" w14:textId="77777777" w:rsidR="00720DD9" w:rsidRDefault="00720DD9" w:rsidP="00720DD9">
      <w:pPr>
        <w:jc w:val="center"/>
        <w:rPr>
          <w:noProof/>
        </w:rPr>
      </w:pPr>
    </w:p>
    <w:p w14:paraId="3BC26779" w14:textId="77777777" w:rsidR="00720DD9" w:rsidRDefault="00720DD9" w:rsidP="00720DD9">
      <w:pPr>
        <w:jc w:val="center"/>
        <w:rPr>
          <w:noProof/>
        </w:rPr>
      </w:pPr>
    </w:p>
    <w:p w14:paraId="2C086B4B" w14:textId="77777777" w:rsidR="00720DD9" w:rsidRDefault="00720DD9" w:rsidP="00720DD9">
      <w:pPr>
        <w:jc w:val="center"/>
        <w:rPr>
          <w:noProof/>
        </w:rPr>
      </w:pPr>
    </w:p>
    <w:p w14:paraId="5A08EA05" w14:textId="77777777" w:rsidR="00720DD9" w:rsidRDefault="00720DD9" w:rsidP="00720DD9">
      <w:pPr>
        <w:jc w:val="center"/>
        <w:rPr>
          <w:noProof/>
        </w:rPr>
      </w:pPr>
    </w:p>
    <w:p w14:paraId="2306B07D" w14:textId="77777777" w:rsidR="00720DD9" w:rsidRDefault="00720DD9" w:rsidP="00720DD9">
      <w:pPr>
        <w:jc w:val="center"/>
        <w:rPr>
          <w:noProof/>
        </w:rPr>
      </w:pPr>
    </w:p>
    <w:p w14:paraId="52AD69C0" w14:textId="77777777" w:rsidR="00720DD9" w:rsidRDefault="00720DD9" w:rsidP="00720DD9">
      <w:pPr>
        <w:jc w:val="center"/>
        <w:rPr>
          <w:noProof/>
        </w:rPr>
      </w:pPr>
    </w:p>
    <w:p w14:paraId="61BEC962" w14:textId="77777777" w:rsidR="00720DD9" w:rsidRDefault="00720DD9" w:rsidP="00720DD9">
      <w:pPr>
        <w:rPr>
          <w:noProof/>
        </w:rPr>
      </w:pPr>
    </w:p>
    <w:p w14:paraId="6F409E3F" w14:textId="77777777" w:rsidR="00720DD9" w:rsidRDefault="00720DD9" w:rsidP="00720DD9">
      <w:pPr>
        <w:jc w:val="center"/>
        <w:rPr>
          <w:rFonts w:ascii="Times New Roman" w:hAnsi="Times New Roman" w:cs="Times New Roman"/>
        </w:rPr>
      </w:pPr>
    </w:p>
    <w:p w14:paraId="1D03DB70" w14:textId="77777777" w:rsidR="00720DD9" w:rsidRDefault="00720DD9" w:rsidP="00720DD9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0BE659" wp14:editId="5090CE5B">
            <wp:extent cx="5181600" cy="4392247"/>
            <wp:effectExtent l="0" t="0" r="0" b="8890"/>
            <wp:docPr id="1667696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913" cy="439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179A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7A5306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Figure 2. </w:t>
      </w:r>
      <w:r w:rsidRPr="007A5306">
        <w:rPr>
          <w:rFonts w:ascii="Times New Roman" w:hAnsi="Times New Roman" w:cs="Times New Roman"/>
          <w:i/>
          <w:iCs/>
          <w:sz w:val="20"/>
          <w:szCs w:val="20"/>
        </w:rPr>
        <w:t>Overview of the fingerprint dataset configurations and protocol structures used in this study, including grayscale and colorized FVC2000 protocols, reduced-impression FVC2000(R) protocols, and the SOCOFing sparse many-class protocol, illustrating differences in impression count, class density, train/test partitioning, and protocol complexity.</w:t>
      </w:r>
    </w:p>
    <w:p w14:paraId="5CC44676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0CFFCB3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61E4514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024CF965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E08452C" w14:textId="77777777" w:rsidR="00720DD9" w:rsidRPr="007A5306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E528CA3" w14:textId="77777777" w:rsidR="00720DD9" w:rsidRDefault="00720DD9" w:rsidP="00720DD9">
      <w:pPr>
        <w:jc w:val="center"/>
        <w:rPr>
          <w:rFonts w:ascii="Times New Roman" w:hAnsi="Times New Roman" w:cs="Times New Roman"/>
        </w:rPr>
      </w:pPr>
    </w:p>
    <w:p w14:paraId="3FEA5063" w14:textId="77777777" w:rsidR="00720DD9" w:rsidRPr="00EA3B5D" w:rsidRDefault="00720DD9" w:rsidP="00720DD9">
      <w:pPr>
        <w:jc w:val="center"/>
        <w:rPr>
          <w:rFonts w:ascii="Times New Roman" w:hAnsi="Times New Roman" w:cs="Times New Roman"/>
        </w:rPr>
      </w:pPr>
      <w:r w:rsidRPr="00EA3B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953B8" wp14:editId="36BB8420">
            <wp:extent cx="4851400" cy="2000544"/>
            <wp:effectExtent l="0" t="0" r="6350" b="0"/>
            <wp:docPr id="17969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71" cy="200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B385" w14:textId="77777777" w:rsidR="00720DD9" w:rsidRPr="00EA3B5D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A3B5D">
        <w:rPr>
          <w:rFonts w:ascii="Times New Roman" w:hAnsi="Times New Roman" w:cs="Times New Roman"/>
          <w:i/>
          <w:iCs/>
          <w:sz w:val="20"/>
          <w:szCs w:val="20"/>
        </w:rPr>
        <w:t>(a) FVC2000 Colorized</w:t>
      </w:r>
    </w:p>
    <w:p w14:paraId="6A65A8B7" w14:textId="77777777" w:rsidR="00720DD9" w:rsidRPr="00EA3B5D" w:rsidRDefault="00720DD9" w:rsidP="00720DD9">
      <w:pPr>
        <w:jc w:val="center"/>
        <w:rPr>
          <w:rFonts w:ascii="Times New Roman" w:hAnsi="Times New Roman" w:cs="Times New Roman"/>
        </w:rPr>
      </w:pPr>
      <w:r w:rsidRPr="00EA3B5D">
        <w:rPr>
          <w:rFonts w:ascii="Times New Roman" w:hAnsi="Times New Roman" w:cs="Times New Roman"/>
          <w:noProof/>
        </w:rPr>
        <w:drawing>
          <wp:inline distT="0" distB="0" distL="0" distR="0" wp14:anchorId="143AFE43" wp14:editId="25FEB03B">
            <wp:extent cx="4876800" cy="2011018"/>
            <wp:effectExtent l="0" t="0" r="0" b="8890"/>
            <wp:docPr id="176053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884" cy="201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658C" w14:textId="77777777" w:rsidR="00720DD9" w:rsidRPr="00EA3B5D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A3B5D">
        <w:rPr>
          <w:rFonts w:ascii="Times New Roman" w:hAnsi="Times New Roman" w:cs="Times New Roman"/>
          <w:i/>
          <w:iCs/>
          <w:sz w:val="20"/>
          <w:szCs w:val="20"/>
        </w:rPr>
        <w:t>(b) FVC2000(R) Colorized</w:t>
      </w:r>
    </w:p>
    <w:p w14:paraId="6572895E" w14:textId="77777777" w:rsidR="00720DD9" w:rsidRPr="00EA3B5D" w:rsidRDefault="00720DD9" w:rsidP="00720DD9">
      <w:pPr>
        <w:jc w:val="center"/>
        <w:rPr>
          <w:rFonts w:ascii="Times New Roman" w:hAnsi="Times New Roman" w:cs="Times New Roman"/>
        </w:rPr>
      </w:pPr>
      <w:r w:rsidRPr="00EA3B5D">
        <w:rPr>
          <w:rFonts w:ascii="Times New Roman" w:hAnsi="Times New Roman" w:cs="Times New Roman"/>
          <w:noProof/>
        </w:rPr>
        <w:drawing>
          <wp:inline distT="0" distB="0" distL="0" distR="0" wp14:anchorId="4334C788" wp14:editId="238AFC53">
            <wp:extent cx="4851400" cy="2000544"/>
            <wp:effectExtent l="0" t="0" r="6350" b="0"/>
            <wp:docPr id="1062734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735" cy="200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CF5C" w14:textId="77777777" w:rsidR="00720DD9" w:rsidRPr="00EA3B5D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A3B5D">
        <w:rPr>
          <w:rFonts w:ascii="Times New Roman" w:hAnsi="Times New Roman" w:cs="Times New Roman"/>
          <w:i/>
          <w:iCs/>
          <w:sz w:val="20"/>
          <w:szCs w:val="20"/>
        </w:rPr>
        <w:t>(c) SOCOFing Colorized</w:t>
      </w:r>
    </w:p>
    <w:p w14:paraId="647BF20F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A3B5D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3.</w:t>
      </w:r>
      <w:r w:rsidRPr="00EA3B5D">
        <w:rPr>
          <w:rFonts w:ascii="Times New Roman" w:hAnsi="Times New Roman" w:cs="Times New Roman"/>
          <w:i/>
          <w:iCs/>
          <w:sz w:val="20"/>
          <w:szCs w:val="20"/>
        </w:rPr>
        <w:t xml:space="preserve"> Training and validation accuracy and loss convergence curves of the proposed HyFiT + Cross-Entropy + Softmax framework under different fingerprint protocol conditions: (a) FVC2000 Colorized multi-impression protocol, (b) FVC2000(R) Colorized reduced-impression protocol, and (c) SOCOFing Colorized sparse-impression protocol.</w:t>
      </w:r>
    </w:p>
    <w:p w14:paraId="02020A30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234D73A9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6D5AD1EB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03405B4" w14:textId="77777777" w:rsidR="00720DD9" w:rsidRDefault="00720DD9" w:rsidP="00720DD9">
      <w:pPr>
        <w:jc w:val="both"/>
      </w:pPr>
      <w:r>
        <w:rPr>
          <w:noProof/>
        </w:rPr>
        <w:lastRenderedPageBreak/>
        <w:drawing>
          <wp:inline distT="0" distB="0" distL="0" distR="0" wp14:anchorId="17B94269" wp14:editId="45C14BEF">
            <wp:extent cx="2410223" cy="1905000"/>
            <wp:effectExtent l="0" t="0" r="9525" b="0"/>
            <wp:docPr id="79556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28" cy="191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B5D">
        <w:t xml:space="preserve"> </w:t>
      </w:r>
      <w:r>
        <w:rPr>
          <w:noProof/>
        </w:rPr>
        <w:drawing>
          <wp:inline distT="0" distB="0" distL="0" distR="0" wp14:anchorId="500DD6D9" wp14:editId="3DF82836">
            <wp:extent cx="2331720" cy="1842953"/>
            <wp:effectExtent l="0" t="0" r="0" b="5080"/>
            <wp:docPr id="1046227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120" cy="18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A26E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42B703D" wp14:editId="60EED72A">
            <wp:extent cx="2333096" cy="1844040"/>
            <wp:effectExtent l="0" t="0" r="0" b="3810"/>
            <wp:docPr id="2005749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50" cy="18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4035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A3B5D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4</w:t>
      </w:r>
      <w:r w:rsidRPr="00EA3B5D">
        <w:rPr>
          <w:rFonts w:ascii="Times New Roman" w:hAnsi="Times New Roman" w:cs="Times New Roman"/>
          <w:i/>
          <w:iCs/>
          <w:sz w:val="20"/>
          <w:szCs w:val="20"/>
        </w:rPr>
        <w:t>. Verification ROC curve comparison of the proposed HyFiT + Cross-Entropy + Softmax framework under different fingerprint protocol conditions: (a) FVC2000 Colorized multi-impression protocol, (b) FVC2000(R) Colorized reduced-impression protocol, and (c) SOCOFing Colorized sparse-impression protocol, illustrating progressive degradation in verification separability under sparse-impression settings.</w:t>
      </w:r>
    </w:p>
    <w:p w14:paraId="4C6320F9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11F4C3B5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604A2A9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2AE1182B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1868FD52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0ECAE226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1852777E" w14:textId="77777777" w:rsidR="00720DD9" w:rsidRPr="00EA3B5D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2EBECC48" w14:textId="77777777" w:rsidR="00720DD9" w:rsidRDefault="00720DD9" w:rsidP="00720DD9">
      <w:pPr>
        <w:jc w:val="both"/>
      </w:pPr>
      <w:r>
        <w:rPr>
          <w:noProof/>
        </w:rPr>
        <w:lastRenderedPageBreak/>
        <w:drawing>
          <wp:inline distT="0" distB="0" distL="0" distR="0" wp14:anchorId="10186A44" wp14:editId="13B159D2">
            <wp:extent cx="2703341" cy="2409825"/>
            <wp:effectExtent l="0" t="0" r="1905" b="0"/>
            <wp:docPr id="991752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015" cy="242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B5D">
        <w:t xml:space="preserve"> </w:t>
      </w:r>
      <w:r>
        <w:rPr>
          <w:noProof/>
        </w:rPr>
        <w:drawing>
          <wp:inline distT="0" distB="0" distL="0" distR="0" wp14:anchorId="15CF79B9" wp14:editId="34A960AF">
            <wp:extent cx="2692656" cy="2400300"/>
            <wp:effectExtent l="0" t="0" r="0" b="0"/>
            <wp:docPr id="1135492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18" cy="241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9FC6" w14:textId="77777777" w:rsidR="00720DD9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032790C" wp14:editId="7B5A6C5D">
            <wp:extent cx="4013200" cy="3673061"/>
            <wp:effectExtent l="0" t="0" r="6350" b="3810"/>
            <wp:docPr id="796468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22" cy="36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62EB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40C7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5.</w:t>
      </w:r>
      <w:r w:rsidRPr="00040C7E">
        <w:rPr>
          <w:rFonts w:ascii="Times New Roman" w:hAnsi="Times New Roman" w:cs="Times New Roman"/>
          <w:i/>
          <w:iCs/>
          <w:sz w:val="20"/>
          <w:szCs w:val="20"/>
        </w:rPr>
        <w:t xml:space="preserve"> t-SNE visualization of the learned 128-dimensional fingerprint embeddings generated by the proposed HyFiT + Cross-Entropy + Softmax framework under different protocol conditions: (a) FVC2000 Colorized multi-impression protocol showing compact cluster separation, (b) FVC2000(R) Colorized reduced-impression protocol showing partial embedding overlap, and (c) SOCOFing Colorized sparse-impression protocol showing substantial inter-class embedding mixing and reduced geometric separability.</w:t>
      </w:r>
    </w:p>
    <w:p w14:paraId="488CB21A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8997C64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1345E637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B9D964E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679C35BB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6EC62976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43318E9A" w14:textId="77777777" w:rsidR="00720DD9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0C7E">
        <w:rPr>
          <w:rFonts w:ascii="Times New Roman" w:hAnsi="Times New Roman" w:cs="Times New Roman"/>
          <w:i/>
          <w:iCs/>
          <w:noProof/>
          <w:sz w:val="20"/>
          <w:szCs w:val="20"/>
        </w:rPr>
        <w:lastRenderedPageBreak/>
        <w:drawing>
          <wp:inline distT="0" distB="0" distL="0" distR="0" wp14:anchorId="56FC3607" wp14:editId="24B18954">
            <wp:extent cx="4014406" cy="2495550"/>
            <wp:effectExtent l="0" t="0" r="5715" b="0"/>
            <wp:docPr id="6725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0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891" cy="250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71CD" w14:textId="77777777" w:rsidR="00720DD9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0C7E">
        <w:rPr>
          <w:rFonts w:ascii="Times New Roman" w:hAnsi="Times New Roman" w:cs="Times New Roman"/>
          <w:i/>
          <w:iCs/>
          <w:noProof/>
          <w:sz w:val="20"/>
          <w:szCs w:val="20"/>
        </w:rPr>
        <w:drawing>
          <wp:inline distT="0" distB="0" distL="0" distR="0" wp14:anchorId="49EE2CBD" wp14:editId="5137249A">
            <wp:extent cx="4095750" cy="2515714"/>
            <wp:effectExtent l="0" t="0" r="0" b="0"/>
            <wp:docPr id="12108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3195" cy="25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A6BC" w14:textId="77777777" w:rsidR="00720DD9" w:rsidRDefault="00720DD9" w:rsidP="00720DD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0C7E">
        <w:rPr>
          <w:rFonts w:ascii="Times New Roman" w:hAnsi="Times New Roman" w:cs="Times New Roman"/>
          <w:i/>
          <w:iCs/>
          <w:noProof/>
          <w:sz w:val="20"/>
          <w:szCs w:val="20"/>
        </w:rPr>
        <w:drawing>
          <wp:inline distT="0" distB="0" distL="0" distR="0" wp14:anchorId="4B840EE5" wp14:editId="243C5710">
            <wp:extent cx="4038600" cy="2476584"/>
            <wp:effectExtent l="0" t="0" r="0" b="0"/>
            <wp:docPr id="6644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7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5615" cy="24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24EF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40C7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6.</w:t>
      </w:r>
      <w:r w:rsidRPr="00040C7E">
        <w:rPr>
          <w:rFonts w:ascii="Times New Roman" w:hAnsi="Times New Roman" w:cs="Times New Roman"/>
          <w:i/>
          <w:iCs/>
          <w:sz w:val="20"/>
          <w:szCs w:val="20"/>
        </w:rPr>
        <w:t xml:space="preserve"> Intra-class and inter-class distance distribution analysis of the learned fingerprint embeddings generated by the proposed HyFiT + Cross-Entropy + Softmax framework under different protocol conditions: (a) FVC2000 Colorized multi-impression protocol showing strong geometric separation, (b) FVC2000(R) Colorized reduced-impression protocol showing partial distribution overlap, and (c) SOCOFing Colorized sparse-impression protocol showing substantial overlap between intra-class and inter-class distance distributions, indicating reduced embedding separability and verification instability.</w:t>
      </w:r>
    </w:p>
    <w:p w14:paraId="4C5CA5DD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9E4BB8F" wp14:editId="16FC2003">
            <wp:extent cx="5731510" cy="2769870"/>
            <wp:effectExtent l="0" t="0" r="2540" b="0"/>
            <wp:docPr id="255998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C3D" w14:textId="77777777" w:rsidR="00720DD9" w:rsidRDefault="00720DD9" w:rsidP="00720DD9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C53E9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7.</w:t>
      </w:r>
      <w:r w:rsidRPr="009C53E9">
        <w:rPr>
          <w:rFonts w:ascii="Times New Roman" w:hAnsi="Times New Roman" w:cs="Times New Roman"/>
          <w:i/>
          <w:iCs/>
          <w:sz w:val="20"/>
          <w:szCs w:val="20"/>
        </w:rPr>
        <w:t xml:space="preserve"> Conceptual summary of protocol-sensitive embedding behavior observed under different fingerprint dataset structures, illustrating the relationship between intra-class variability, embedding compactness, geometric separability, and verification robustness under multi-impression, reduced-impression, and sparse many-class fingerprint recognition protocols.</w:t>
      </w:r>
    </w:p>
    <w:p w14:paraId="4ECB9B97" w14:textId="77777777" w:rsidR="000468DB" w:rsidRDefault="000468DB"/>
    <w:sectPr w:rsidR="0004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D9"/>
    <w:rsid w:val="000468DB"/>
    <w:rsid w:val="00413329"/>
    <w:rsid w:val="00720DD9"/>
    <w:rsid w:val="007F197C"/>
    <w:rsid w:val="008D6CD6"/>
    <w:rsid w:val="00CA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68E7"/>
  <w15:chartTrackingRefBased/>
  <w15:docId w15:val="{52F506A5-B80E-4A81-87F4-AF8148A2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D9"/>
  </w:style>
  <w:style w:type="paragraph" w:styleId="Heading1">
    <w:name w:val="heading 1"/>
    <w:basedOn w:val="Normal"/>
    <w:next w:val="Normal"/>
    <w:link w:val="Heading1Char"/>
    <w:uiPriority w:val="9"/>
    <w:qFormat/>
    <w:rsid w:val="0072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2026-05-22T08:06:00Z</dcterms:created>
  <dcterms:modified xsi:type="dcterms:W3CDTF">2026-05-22T08:10:00Z</dcterms:modified>
</cp:coreProperties>
</file>