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i w:val="0"/>
          <w:sz w:val="32"/>
        </w:rPr>
        <w:t>Effect of Market Volatility on ARIMA Forecasting Accuracy</w:t>
        <w:br/>
        <w:t>for Pension NAV Time Series</w:t>
      </w:r>
    </w:p>
    <w:p>
      <w:pPr>
        <w:spacing w:after="280"/>
        <w:jc w:val="center"/>
      </w:pPr>
      <w:r>
        <w:rPr>
          <w:b/>
          <w:i w:val="0"/>
          <w:sz w:val="24"/>
        </w:rPr>
        <w:t>Ajay Saxena</w:t>
      </w:r>
      <w:r>
        <w:br/>
      </w:r>
      <w:r>
        <w:rPr>
          <w:b w:val="0"/>
          <w:i w:val="0"/>
          <w:color w:val="3C3C3C"/>
          <w:sz w:val="20"/>
        </w:rPr>
        <w:t>ORCID: 0009-0002-2479-2658 | Google Scholar: scholar.google.com/citations?user=7a0iGXEAAAAJ</w:t>
      </w:r>
      <w:r>
        <w:br/>
      </w:r>
      <w:r>
        <w:rPr>
          <w:b w:val="0"/>
          <w:i w:val="0"/>
          <w:color w:val="3C3C3C"/>
          <w:sz w:val="20"/>
        </w:rPr>
        <w:t>M.Tech (Data Science &amp; Engineering), BITS Pilani | Big Data Analyst, Capco Technologies</w:t>
      </w:r>
    </w:p>
    <w:p>
      <w:pPr>
        <w:spacing w:after="240"/>
        <w:jc w:val="center"/>
      </w:pPr>
      <w:r>
        <w:rPr>
          <w:b w:val="0"/>
          <w:i w:val="0"/>
          <w:color w:val="5A5A5A"/>
          <w:sz w:val="18"/>
        </w:rPr>
        <w:t>Version: v1.0 | Date: 01 Feb 2026 | Word target: ~900-1,100</w:t>
      </w:r>
    </w:p>
    <w:p>
      <w:pPr>
        <w:pStyle w:val="Heading1"/>
        <w:spacing w:before="120" w:after="40"/>
      </w:pPr>
      <w:r>
        <w:t>Abstract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Fill 90-130 words: (i) context, (ii) question, (iii) method, (iv) key result, (v) why it matters.</w:t>
      </w:r>
    </w:p>
    <w:p>
      <w:pPr>
        <w:spacing w:after="200"/>
      </w:pPr>
      <w:r>
        <w:t>[Write your abstract here. Example starter: We test whether ARIMA forecast accuracy degrades during high-volatility periods in pension NAV time series. Using two regime windows identified via rolling volatility, we fit ARIMA models selected by AIC and compare MAE/RMSE/MAPE across regimes. We find ...]</w:t>
      </w:r>
    </w:p>
    <w:p>
      <w:pPr>
        <w:spacing w:after="200"/>
      </w:pPr>
      <w:r>
        <w:rPr>
          <w:b/>
        </w:rPr>
        <w:t xml:space="preserve">Keywords: </w:t>
      </w:r>
      <w:r>
        <w:t>pension NAV, ARIMA, volatility regime, forecast error, time series</w:t>
      </w:r>
    </w:p>
    <w:p>
      <w:pPr>
        <w:pStyle w:val="Heading1"/>
      </w:pPr>
      <w:r>
        <w:t>1. Research question and micro-contribution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Keep this section to 5-8 lines. A micro note is one crisp claim plus one tiny experiment.</w:t>
      </w:r>
    </w:p>
    <w:p>
      <w:r>
        <w:rPr>
          <w:b/>
        </w:rPr>
        <w:t xml:space="preserve">Research question. </w:t>
      </w:r>
      <w:r>
        <w:t>How does ARIMA forecasting error change during high-volatility NAV windows compared to normal windows?</w:t>
      </w:r>
    </w:p>
    <w:p>
      <w:r>
        <w:rPr>
          <w:b/>
        </w:rPr>
        <w:t xml:space="preserve">Micro-contribution. </w:t>
      </w:r>
      <w:r>
        <w:t>A minimal, reproducible comparison of ARIMA accuracy across two volatility regimes on pension NAV time series.</w:t>
      </w:r>
    </w:p>
    <w:p>
      <w:r>
        <w:rPr>
          <w:b/>
        </w:rPr>
        <w:t xml:space="preserve">Why it matters. </w:t>
      </w:r>
      <w:r>
        <w:t>Pension allocation and risk reporting often rely on short-horizon forecasts; regime shifts may make linear models unreliable exactly when decisions are most sensitive.</w:t>
      </w:r>
    </w:p>
    <w:p>
      <w:pPr>
        <w:pStyle w:val="Heading1"/>
      </w:pPr>
      <w:r>
        <w:t>2. Data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Fill the blanks. Do not over-explain. Readers need: what series, frequency, date range, and basic cleaning.</w:t>
      </w:r>
    </w:p>
    <w:p>
      <w:pPr>
        <w:pStyle w:val="ListBullet"/>
        <w:spacing w:after="0"/>
      </w:pPr>
      <w:r>
        <w:t>Series: [Fund / Index name], Net Asset Value (NAV) (units: [INR / points]).</w:t>
      </w:r>
    </w:p>
    <w:p>
      <w:pPr>
        <w:pStyle w:val="ListBullet"/>
        <w:spacing w:after="0"/>
      </w:pPr>
      <w:r>
        <w:t>Frequency: [daily / weekly / monthly] | Date range: [YYYY-MM-DD] to [YYYY-MM-DD] | N = [# observations].</w:t>
      </w:r>
    </w:p>
    <w:p>
      <w:pPr>
        <w:pStyle w:val="ListBullet"/>
        <w:spacing w:after="0"/>
      </w:pPr>
      <w:r>
        <w:t>Preprocessing: [missing handling], [log / differencing], [train-test split rule].</w:t>
      </w:r>
    </w:p>
    <w:p>
      <w:pPr>
        <w:pStyle w:val="ListBullet"/>
        <w:spacing w:after="0"/>
      </w:pPr>
      <w:r>
        <w:t>Source: [internal thesis dataset / public URL / statement].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>3. Volatility regime definition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Pick the simplest defensible definition. Micro notes prefer clarity over sophistication.</w:t>
      </w:r>
    </w:p>
    <w:p>
      <w:r>
        <w:rPr>
          <w:b/>
        </w:rPr>
        <w:t xml:space="preserve">Volatility proxy. </w:t>
      </w:r>
      <w:r>
        <w:t>Rolling standard deviation of returns over a window of W = [e.g., 20] periods.</w:t>
      </w:r>
    </w:p>
    <w:p>
      <w:r>
        <w:rPr>
          <w:b/>
        </w:rPr>
        <w:t xml:space="preserve">Regime selection rule. </w:t>
      </w:r>
      <w:r>
        <w:t>Choose one 'Normal' window where rolling volatility stays below the median, and one 'Volatile' window around a spike above the [75th/90th] percentile.</w:t>
      </w:r>
    </w:p>
    <w:p>
      <w:r>
        <w:rPr>
          <w:b/>
        </w:rPr>
        <w:t xml:space="preserve">Windows used. </w:t>
      </w:r>
      <w:r>
        <w:t>Normal: [start date] to [end date] | Volatile: [start date] to [end date]. Each window length L = [e.g., 120] observations.</w:t>
      </w:r>
    </w:p>
    <w:p>
      <w:pPr>
        <w:pStyle w:val="Heading1"/>
      </w:pPr>
      <w:r>
        <w:t>4. Method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One paragraph plus a short list. Describe only what is necessary to reproduce.</w:t>
      </w:r>
    </w:p>
    <w:p>
      <w:r>
        <w:rPr>
          <w:b/>
        </w:rPr>
        <w:t xml:space="preserve">Model. </w:t>
      </w:r>
      <w:r>
        <w:t xml:space="preserve">For each regime window, fit an ARIMA(p,d,q) model with orders selected by minimizing AIC over a small grid. </w:t>
      </w:r>
      <w:r>
        <w:t>Forecast H = [10-15] steps ahead, then compute forecast errors on the held-out segment.</w:t>
      </w:r>
    </w:p>
    <w:p>
      <w:pPr>
        <w:pStyle w:val="ListNumber"/>
        <w:spacing w:after="0"/>
      </w:pPr>
      <w:r>
        <w:t>Compute returns: r_t = log(NAV_t / NAV_{t-1}) or simple returns.</w:t>
      </w:r>
    </w:p>
    <w:p>
      <w:pPr>
        <w:pStyle w:val="ListNumber"/>
        <w:spacing w:after="0"/>
      </w:pPr>
      <w:r>
        <w:t>Compute rolling volatility: sigma_t = std(r_{t-W+1} ... r_t).</w:t>
      </w:r>
    </w:p>
    <w:p>
      <w:pPr>
        <w:pStyle w:val="ListNumber"/>
        <w:spacing w:after="0"/>
      </w:pPr>
      <w:r>
        <w:t>Pick Normal and Volatile windows using the rule in Section 3.</w:t>
      </w:r>
    </w:p>
    <w:p>
      <w:pPr>
        <w:pStyle w:val="ListNumber"/>
        <w:spacing w:after="0"/>
      </w:pPr>
      <w:r>
        <w:t>Within each window: split into train/test (e.g., last H points as test).</w:t>
      </w:r>
    </w:p>
    <w:p>
      <w:pPr>
        <w:pStyle w:val="ListNumber"/>
        <w:spacing w:after="0"/>
      </w:pPr>
      <w:r>
        <w:t>Select (p,d,q) using AIC on training data; fit final model; forecast H.</w:t>
      </w:r>
    </w:p>
    <w:p>
      <w:pPr>
        <w:pStyle w:val="ListNumber"/>
        <w:spacing w:after="0"/>
      </w:pPr>
      <w:r>
        <w:t>Evaluate: MAE, RMSE, MAPE (and optionally sMAPE).</w:t>
      </w:r>
    </w:p>
    <w:p>
      <w:pPr>
        <w:spacing w:after="120"/>
      </w:pPr>
    </w:p>
    <w:p>
      <w:pPr>
        <w:pStyle w:val="Heading1"/>
      </w:pPr>
      <w:r>
        <w:t>5. Results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Include exactly 1 table + 1 figure. If you add more, it stops being a micro note.</w:t>
      </w:r>
    </w:p>
    <w:p>
      <w:pPr>
        <w:spacing w:after="80"/>
      </w:pPr>
      <w:r>
        <w:rPr>
          <w:b/>
        </w:rPr>
        <w:t xml:space="preserve">Table 1. </w:t>
      </w:r>
      <w:r>
        <w:t>Forecast error comparison (lower is better).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r>
              <w:rPr>
                <w:b/>
                <w:i w:val="0"/>
                <w:sz w:val="20"/>
              </w:rPr>
              <w:t>Regime window</w:t>
            </w:r>
          </w:p>
        </w:tc>
        <w:tc>
          <w:tcPr>
            <w:tcW w:type="dxa" w:w="1805"/>
            <w:vAlign w:val="center"/>
          </w:tcPr>
          <w:p>
            <w:r>
              <w:rPr>
                <w:b/>
                <w:i w:val="0"/>
                <w:sz w:val="20"/>
              </w:rPr>
              <w:t>ARIMA(p,d,q)</w:t>
            </w:r>
          </w:p>
        </w:tc>
        <w:tc>
          <w:tcPr>
            <w:tcW w:type="dxa" w:w="1805"/>
            <w:vAlign w:val="center"/>
          </w:tcPr>
          <w:p>
            <w:r>
              <w:rPr>
                <w:b/>
                <w:i w:val="0"/>
                <w:sz w:val="20"/>
              </w:rPr>
              <w:t>MAE</w:t>
            </w:r>
          </w:p>
        </w:tc>
        <w:tc>
          <w:tcPr>
            <w:tcW w:type="dxa" w:w="1805"/>
            <w:vAlign w:val="center"/>
          </w:tcPr>
          <w:p>
            <w:r>
              <w:rPr>
                <w:b/>
                <w:i w:val="0"/>
                <w:sz w:val="20"/>
              </w:rPr>
              <w:t>RMSE</w:t>
            </w:r>
          </w:p>
        </w:tc>
        <w:tc>
          <w:tcPr>
            <w:tcW w:type="dxa" w:w="1805"/>
            <w:vAlign w:val="center"/>
          </w:tcPr>
          <w:p>
            <w:r>
              <w:rPr>
                <w:b/>
                <w:i w:val="0"/>
                <w:sz w:val="20"/>
              </w:rPr>
              <w:t>MAPE (%)</w:t>
            </w:r>
          </w:p>
        </w:tc>
      </w:tr>
      <w:tr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Normal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[p,d,q]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[ ]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[ ]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[ ]</w:t>
            </w:r>
          </w:p>
        </w:tc>
      </w:tr>
      <w:tr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Volatile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[p,d,q]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[ ]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[ ]</w:t>
            </w:r>
          </w:p>
        </w:tc>
        <w:tc>
          <w:tcPr>
            <w:tcW w:type="dxa" w:w="1805"/>
            <w:vAlign w:val="center"/>
          </w:tcPr>
          <w:p>
            <w:r>
              <w:rPr>
                <w:b w:val="0"/>
                <w:i w:val="0"/>
                <w:sz w:val="20"/>
              </w:rPr>
              <w:t>[ 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</w:rPr>
        <w:t xml:space="preserve">Figure 1. </w:t>
      </w:r>
      <w:r>
        <w:t>Actual vs ARIMA forecast (Normal and Volatile regimes).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vAlign w:val="center"/>
            <w:shd w:fill="F2F2F2"/>
          </w:tcPr>
          <w:p>
            <w:pPr>
              <w:jc w:val="center"/>
            </w:pPr>
            <w:r>
              <w:rPr>
                <w:b w:val="0"/>
                <w:i/>
                <w:color w:val="464646"/>
                <w:sz w:val="20"/>
              </w:rPr>
              <w:t>[Insert Figure 1 here: two panels or two lines with legend. Keep it readable at 1/2 page height.]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>6. Interpretation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Write 6-10 lines. Explain the result, not the process.</w:t>
      </w:r>
    </w:p>
    <w:p>
      <w:r>
        <w:t>[Write your interpretation here. Example prompts: Did error increase materially? Was MAPE roughly doubled? Were ARIMA orders different between regimes? What does that imply about linearity and stationarity assumptions?]</w:t>
      </w:r>
    </w:p>
    <w:p>
      <w:pPr>
        <w:pStyle w:val="Heading1"/>
      </w:pPr>
      <w:r>
        <w:t>7. Conclusion and practical implication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Write 3-5 lines. End with one actionable implication.</w:t>
      </w:r>
    </w:p>
    <w:p>
      <w:r>
        <w:t xml:space="preserve">[Conclusion sentence 1: main finding in one line.] </w:t>
      </w:r>
      <w:r>
        <w:t xml:space="preserve">[Sentence 2: implication for pension forecasting / risk reporting.] </w:t>
      </w:r>
      <w:r>
        <w:t>[Sentence 3: what you will test next.]</w:t>
      </w:r>
    </w:p>
    <w:p>
      <w:pPr>
        <w:pStyle w:val="Heading1"/>
      </w:pPr>
      <w:r>
        <w:t>8. Reproducibility and artifacts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Keep it practical. Give the repo structure and exact environment.</w:t>
      </w:r>
    </w:p>
    <w:p>
      <w:r>
        <w:rPr>
          <w:b/>
        </w:rPr>
        <w:t xml:space="preserve">Code and data: </w:t>
      </w:r>
      <w:r>
        <w:t>[GitHub repository link].</w:t>
      </w:r>
    </w:p>
    <w:p>
      <w:r>
        <w:rPr>
          <w:b/>
        </w:rPr>
        <w:t xml:space="preserve">Environment: </w:t>
      </w:r>
      <w:r>
        <w:t>Python [version], packages: statsmodels, pandas, numpy, matplotlib (see requirements.txt).</w:t>
      </w:r>
    </w:p>
    <w:p>
      <w:r>
        <w:rPr>
          <w:b/>
        </w:rPr>
        <w:t xml:space="preserve">How to run: </w:t>
      </w:r>
      <w:r>
        <w:t>Open notebooks/01_arima_volatility_micro_note.ipynb and run cells top-to-bottom.</w:t>
      </w:r>
    </w:p>
    <w:p>
      <w:pPr>
        <w:pStyle w:val="Heading1"/>
      </w:pPr>
      <w:r>
        <w:t>9. Limitations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List 3 bullets. Limitations make your note credible.</w:t>
      </w:r>
    </w:p>
    <w:p>
      <w:pPr>
        <w:pStyle w:val="ListBullet"/>
      </w:pPr>
      <w:r>
        <w:t>Single-series analysis; may not generalize across funds or market cycles.</w:t>
      </w:r>
    </w:p>
    <w:p>
      <w:pPr>
        <w:pStyle w:val="ListBullet"/>
      </w:pPr>
      <w:r>
        <w:t>Regime definition uses a simple volatility proxy; alternative proxies may shift window selection.</w:t>
      </w:r>
    </w:p>
    <w:p>
      <w:pPr>
        <w:pStyle w:val="ListBullet"/>
      </w:pPr>
      <w:r>
        <w:t>ARIMA is univariate; exogenous drivers (rates, equity indices) are not modeled.</w:t>
      </w:r>
    </w:p>
    <w:p>
      <w:pPr>
        <w:pStyle w:val="Heading1"/>
      </w:pPr>
      <w:r>
        <w:t>10. Next step (optional, 2 lines)</w:t>
      </w:r>
    </w:p>
    <w:p>
      <w:r>
        <w:rPr>
          <w:b/>
        </w:rPr>
        <w:t xml:space="preserve">Suggested follow-on micro notes: </w:t>
      </w:r>
      <w:r>
        <w:t>compare ARIMA vs ARIMAX (with market index), add regime-switching model, or add GARCH-type volatility modeling.</w:t>
      </w:r>
    </w:p>
    <w:p>
      <w:pPr>
        <w:pStyle w:val="Heading1"/>
      </w:pPr>
      <w:r>
        <w:t>References (optional)</w:t>
      </w:r>
    </w:p>
    <w:p>
      <w:pPr>
        <w:spacing w:before="40" w:after="120"/>
      </w:pPr>
      <w:r>
        <w:rPr>
          <w:b w:val="0"/>
          <w:i/>
          <w:color w:val="6E6E6E"/>
          <w:sz w:val="20"/>
        </w:rPr>
        <w:t>Micro notes can cite 2-4 references. Use consistent style. Example: Hyndman &amp; Athanasopoulos (Forecasting: Principles and Practice).</w:t>
      </w:r>
    </w:p>
    <w:p>
      <w:r>
        <w:t>[1] [Author], [Year]. [Title]. [Venue/Publisher].</w:t>
      </w:r>
    </w:p>
    <w:p>
      <w:r>
        <w:t>[2] [Author], [Year]. [Title]. [Venue/Publisher].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40" w:bottom="124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05050"/>
        <w:sz w:val="18"/>
      </w:rPr>
      <w:t xml:space="preserve">Page </w:t>
    </w:r>
    <w:r>
      <w:rPr>
        <w:b w:val="0"/>
        <w:i w:val="0"/>
        <w:color w:val="50505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 w:val="0"/>
        <w:i w:val="0"/>
        <w:color w:val="505050"/>
        <w:sz w:val="18"/>
      </w:rPr>
      <w:t>Micro Research Note | Effect of Market Volatility on ARIMA Forecasting Accuracy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