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F2608" w14:textId="029DA78A"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6F1604">
        <w:rPr>
          <w:sz w:val="28"/>
          <w:szCs w:val="28"/>
        </w:rPr>
        <w:t>1</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7522F9">
          <w:headerReference w:type="even" r:id="rId8"/>
          <w:headerReference w:type="default" r:id="rId9"/>
          <w:footnotePr>
            <w:numRestart w:val="eachPage"/>
          </w:footnotePr>
          <w:type w:val="continuous"/>
          <w:pgSz w:w="11907" w:h="16840" w:code="9"/>
          <w:pgMar w:top="1134" w:right="1077" w:bottom="1418" w:left="1077" w:header="720" w:footer="964" w:gutter="0"/>
          <w:lnNumType w:countBy="1" w:distance="57" w:restart="continuous"/>
          <w:cols w:space="720"/>
          <w:docGrid w:linePitch="272"/>
        </w:sectPr>
      </w:pPr>
    </w:p>
    <w:p w14:paraId="0B6AC97E" w14:textId="77777777" w:rsidR="00BF22B5" w:rsidRPr="001917C6" w:rsidRDefault="00BF22B5" w:rsidP="001917C6">
      <w:pPr>
        <w:pStyle w:val="AbstractHeading"/>
      </w:pPr>
      <w:r w:rsidRPr="001917C6">
        <w:t>ABSTRACT</w:t>
      </w:r>
    </w:p>
    <w:p w14:paraId="1AC0A830" w14:textId="65CDC39C"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EB79AF">
        <w:t xml:space="preserve">should not be </w:t>
      </w:r>
      <w:proofErr w:type="spellStart"/>
      <w:r w:rsidR="003C1B38" w:rsidRPr="00EB79AF">
        <w:t>anonymised</w:t>
      </w:r>
      <w:proofErr w:type="spellEnd"/>
      <w:r w:rsidR="003C1B38" w:rsidRPr="00EB79AF">
        <w:t>. Please note that extended abstract is not a conference paper. Therefore, it will not be part of the official ISMIR</w:t>
      </w:r>
      <w:r w:rsidR="003C1B38">
        <w:t xml:space="preserve"> 2021</w:t>
      </w:r>
      <w:r w:rsidR="003C1B38" w:rsidRPr="00EB79AF">
        <w:t xml:space="preserve"> proceedings, and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4C3259CA"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290672" w:rsidRPr="007C7B66">
        <w:t>20</w:t>
      </w:r>
      <w:r w:rsidR="001917C6" w:rsidRPr="007C7B66">
        <w:t>2</w:t>
      </w:r>
      <w:r w:rsidR="006F1604">
        <w:t>1</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6F1604">
        <w:rPr>
          <w:rFonts w:ascii="Courier New" w:hAnsi="Courier New" w:cs="Courier New"/>
        </w:rPr>
        <w:t>1</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6F1604">
        <w:t>1</w:t>
      </w:r>
      <w:r w:rsidRPr="007C7B66">
        <w:t xml:space="preserve"> web site</w:t>
      </w:r>
      <w:r w:rsidR="004D0EDB">
        <w:t xml:space="preserve"> </w:t>
      </w:r>
      <w:r w:rsidRPr="007C7B66">
        <w:t>(</w:t>
      </w:r>
      <w:r w:rsidR="001C64D7" w:rsidRPr="007C7B66">
        <w:rPr>
          <w:rFonts w:ascii="Courier New" w:hAnsi="Courier New" w:cs="Courier New"/>
        </w:rPr>
        <w:t>https://ismir</w:t>
      </w:r>
      <w:r w:rsidR="00AF42D0">
        <w:rPr>
          <w:rFonts w:ascii="Courier New" w:hAnsi="Courier New" w:cs="Courier New"/>
        </w:rPr>
        <w:t>2021.ismir.net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77777777" w:rsidR="003E0D6F" w:rsidRDefault="00EB79AF" w:rsidP="00EB79AF">
      <w:pPr>
        <w:pStyle w:val="BodyTextwithIndent"/>
      </w:pPr>
      <w:r w:rsidRPr="00D55BF0">
        <w:t>We adopt a “(</w:t>
      </w:r>
      <w:r>
        <w:t>2</w:t>
      </w:r>
      <w:r w:rsidRPr="00D55BF0">
        <w:t xml:space="preserve">+n)-page policy” for </w:t>
      </w:r>
      <w:r w:rsidRPr="00EB79AF">
        <w:t>Late-Breaking Demo</w:t>
      </w:r>
      <w:r>
        <w:t xml:space="preserve"> papers in </w:t>
      </w:r>
      <w:r w:rsidRPr="00D55BF0">
        <w:t>ISMIR 202</w:t>
      </w:r>
      <w:r>
        <w:t>1</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7D5C8C1A"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343B85">
                              <w:rPr>
                                <w:sz w:val="16"/>
                                <w:szCs w:val="16"/>
                                <w:lang w:val="en-GB" w:eastAsia="es-ES"/>
                              </w:rPr>
                              <w:t>1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22nd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Online,</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6F1604">
                              <w:rPr>
                                <w:sz w:val="16"/>
                                <w:szCs w:val="16"/>
                                <w:lang w:val="en-GB" w:eastAsia="es-ES"/>
                              </w:rPr>
                              <w:t>1</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CnV/gEAAOADAAAOAAAAZHJzL2Uyb0RvYy54bWysU9tu2zAMfR+wfxD0vjgJliI14hRdigwD&#13;&#10;ugvQ7gNoWbaF2aJGKbGzrx8lJ1m3vQ3zg0BR5CHPIb25G/tOHDV5g7aQi9lcCm0VVsY2hfz6vH+z&#13;&#10;lsIHsBV0aHUhT9rLu+3rV5vB5XqJLXaVJsEg1ueDK2QbgsuzzKtW9+Bn6LTlxxqph8BXarKKYGD0&#13;&#10;vsuW8/lNNiBVjlBp79n7MD3KbcKva63C57r2OoiukNxbSCels4xntt1A3hC41qhzG/APXfRgLBe9&#13;&#10;Qj1AAHEg8xdUbxShxzrMFPYZ1rVROnFgNov5H2yeWnA6cWFxvLvK5P8frPp0/ELCVIVcSmGh5xE9&#13;&#10;6zGIdziK9TLKMzifc9ST47gwsp/HnKh694jqmxcWdy3YRt8T4dBqqLi9RczMXqROOD6ClMNHrLgO&#13;&#10;HAImoLGmPmrHaghG5zGdrqOJvSh2Lm9X67c3KykUv60X8/XtKpWA/JLtyIf3GnsRjUISjz6hw/HR&#13;&#10;h9gN5JeQWMxjZ6q96bp0oabcdSSOwGuyT98Z/bewzsZgizFtQoyeRDMymziGsRzPspVYnZgw4bR2&#13;&#10;/Juw0SL9kGLglSuk/34A0lJ0HyyLFvfzYtDFKC8GWMWphQxSTOYuTHt8cGSalpGnsVi8Z2FrkzjH&#13;&#10;CUxdnPvkNUpSnFc+7unLe4r69WNufwIAAP//AwBQSwMEFAAGAAgAAAAhAO5HHAHjAAAAEgEAAA8A&#13;&#10;AABkcnMvZG93bnJldi54bWxMT0tPwkAQvpv4HzZj4sXIVgSKpVuiFG96AAnnobu2jd3Zprul5d87&#13;&#10;nvAymW8e3yNdj7YRZ9P52pGCp0kEwlDhdE2lgsPX++MShA9IGhtHRsHFeFhntzcpJtoNtDPnfSgF&#13;&#10;k5BPUEEVQptI6YvKWPQT1xri3bfrLAaGXSl1hwOT20ZOo2ghLdbEChW2ZlOZ4mffWwWLvOuHHW0e&#13;&#10;8sP2Az/bcnp8uxyVur8b8xWX1xWIYMZw/YC/DOwfMjZ2cj1pLxrG0ZIDBW5mrAaCT+bx8wuIE4/m&#13;&#10;szgGmaXyf5TsFwAA//8DAFBLAQItABQABgAIAAAAIQC2gziS/gAAAOEBAAATAAAAAAAAAAAAAAAA&#13;&#10;AAAAAABbQ29udGVudF9UeXBlc10ueG1sUEsBAi0AFAAGAAgAAAAhADj9If/WAAAAlAEAAAsAAAAA&#13;&#10;AAAAAAAAAAAALwEAAF9yZWxzLy5yZWxzUEsBAi0AFAAGAAgAAAAhAMvAKdX+AQAA4AMAAA4AAAAA&#13;&#10;AAAAAAAAAAAALgIAAGRycy9lMm9Eb2MueG1sUEsBAi0AFAAGAAgAAAAhAO5HHAHjAAAAEgEAAA8A&#13;&#10;AAAAAAAAAAAAAAAAWAQAAGRycy9kb3ducmV2LnhtbFBLBQYAAAAABAAEAPMAAABoBQAAAAA=&#13;&#10;" o:allowoverlap="f" stroked="f">
                <v:textbox inset="0,0,0,0">
                  <w:txbxContent>
                    <w:p w14:paraId="3586274C" w14:textId="7D5C8C1A"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343B85">
                        <w:rPr>
                          <w:sz w:val="16"/>
                          <w:szCs w:val="16"/>
                          <w:lang w:val="en-GB" w:eastAsia="es-ES"/>
                        </w:rPr>
                        <w:t>1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22nd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Online,</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6F1604">
                        <w:rPr>
                          <w:sz w:val="16"/>
                          <w:szCs w:val="16"/>
                          <w:lang w:val="en-GB" w:eastAsia="es-ES"/>
                        </w:rPr>
                        <w:t>1</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6A56B986"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9C397B">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lastRenderedPageBreak/>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0FDBF8A7" w:rsidR="00BF22B5" w:rsidRDefault="00BF22B5" w:rsidP="00D55BF0">
      <w:pPr>
        <w:pStyle w:val="BodyText"/>
      </w:pPr>
      <w:r w:rsidRPr="00D55BF0">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4DEE494" w14:textId="77777777" w:rsidR="00E80BE9" w:rsidRPr="00E80BE9" w:rsidRDefault="00E80BE9" w:rsidP="00E80BE9">
      <w:pPr>
        <w:pStyle w:val="BodyTextwithIndent"/>
      </w:pP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4D93243F" w14:textId="77777777" w:rsidR="005E354B" w:rsidRDefault="005E354B" w:rsidP="005E35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5E354B" w:rsidRPr="00F47FDD" w14:paraId="5EF45E4E" w14:textId="77777777" w:rsidTr="00AB47B2">
        <w:trPr>
          <w:cantSplit/>
          <w:trHeight w:val="268"/>
          <w:jc w:val="center"/>
        </w:trPr>
        <w:tc>
          <w:tcPr>
            <w:tcW w:w="1498" w:type="dxa"/>
          </w:tcPr>
          <w:p w14:paraId="20E265FF" w14:textId="77777777" w:rsidR="005E354B" w:rsidRPr="00F47FDD" w:rsidRDefault="005E354B" w:rsidP="00AB47B2">
            <w:r w:rsidRPr="00F47FDD">
              <w:t>String value</w:t>
            </w:r>
          </w:p>
        </w:tc>
        <w:tc>
          <w:tcPr>
            <w:tcW w:w="1498" w:type="dxa"/>
          </w:tcPr>
          <w:p w14:paraId="286FAAB3" w14:textId="77777777" w:rsidR="005E354B" w:rsidRPr="00F47FDD" w:rsidRDefault="005E354B" w:rsidP="00AB47B2">
            <w:r w:rsidRPr="00F47FDD">
              <w:t>Numeric value</w:t>
            </w:r>
          </w:p>
        </w:tc>
      </w:tr>
      <w:tr w:rsidR="005E354B" w:rsidRPr="00F47FDD" w14:paraId="17A99921" w14:textId="77777777" w:rsidTr="00AB47B2">
        <w:trPr>
          <w:cantSplit/>
          <w:trHeight w:val="174"/>
          <w:jc w:val="center"/>
        </w:trPr>
        <w:tc>
          <w:tcPr>
            <w:tcW w:w="1498" w:type="dxa"/>
          </w:tcPr>
          <w:p w14:paraId="5FD2C8E6" w14:textId="77777777" w:rsidR="005E354B" w:rsidRPr="00F47FDD" w:rsidRDefault="005E354B" w:rsidP="00AB47B2">
            <w:r>
              <w:rPr>
                <w:rFonts w:hint="eastAsia"/>
                <w:lang w:eastAsia="ja-JP"/>
              </w:rPr>
              <w:t>H</w:t>
            </w:r>
            <w:r w:rsidRPr="00F47FDD">
              <w:t>ello ISMIR</w:t>
            </w:r>
          </w:p>
        </w:tc>
        <w:tc>
          <w:tcPr>
            <w:tcW w:w="1498" w:type="dxa"/>
          </w:tcPr>
          <w:p w14:paraId="34721558" w14:textId="77777777" w:rsidR="005E354B" w:rsidRPr="00F47FDD" w:rsidRDefault="005E354B" w:rsidP="00AB47B2">
            <w:pPr>
              <w:rPr>
                <w:lang w:eastAsia="ja-JP"/>
              </w:rPr>
            </w:pPr>
            <w:r>
              <w:rPr>
                <w:lang w:eastAsia="ja-JP"/>
              </w:rPr>
              <w:t>2021</w:t>
            </w:r>
          </w:p>
        </w:tc>
      </w:tr>
    </w:tbl>
    <w:p w14:paraId="31E8DDD6" w14:textId="7FADDE33" w:rsidR="005E354B" w:rsidRPr="007F136B" w:rsidRDefault="005E354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771F58"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pt;height:13pt;mso-width-percent:0;mso-height-percent:0;mso-width-percent:0;mso-height-percent:0" o:ole="">
            <v:imagedata r:id="rId13" o:title=""/>
          </v:shape>
          <o:OLEObject Type="Embed" ProgID="Equation.3" ShapeID="_x0000_i1025" DrawAspect="Content" ObjectID="_1675147511" r:id="rId14"/>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As submission is double blind, refer to your own published work in the third person. That is, use “In the previous work of [2],” not “In our previous work [2].” If you cite other papers</w:t>
      </w:r>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7522F9">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5BEF4" w14:textId="77777777" w:rsidR="00771F58" w:rsidRDefault="00771F58">
      <w:r>
        <w:separator/>
      </w:r>
    </w:p>
  </w:endnote>
  <w:endnote w:type="continuationSeparator" w:id="0">
    <w:p w14:paraId="7813A4A8" w14:textId="77777777" w:rsidR="00771F58" w:rsidRDefault="00771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ތ"/>
    <w:panose1 w:val="000000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C3BE2" w14:textId="77777777" w:rsidR="00771F58" w:rsidRDefault="00771F58">
      <w:r>
        <w:separator/>
      </w:r>
    </w:p>
  </w:footnote>
  <w:footnote w:type="continuationSeparator" w:id="0">
    <w:p w14:paraId="6CEC0087" w14:textId="77777777" w:rsidR="00771F58" w:rsidRDefault="00771F58">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51A33"/>
    <w:rsid w:val="00054891"/>
    <w:rsid w:val="00085879"/>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33853"/>
    <w:rsid w:val="0024333F"/>
    <w:rsid w:val="00257FC4"/>
    <w:rsid w:val="00290672"/>
    <w:rsid w:val="002A79A9"/>
    <w:rsid w:val="002B5779"/>
    <w:rsid w:val="002D72D0"/>
    <w:rsid w:val="00301254"/>
    <w:rsid w:val="0031607C"/>
    <w:rsid w:val="0032506D"/>
    <w:rsid w:val="003255EE"/>
    <w:rsid w:val="00343B85"/>
    <w:rsid w:val="0034414A"/>
    <w:rsid w:val="00352F24"/>
    <w:rsid w:val="003543F2"/>
    <w:rsid w:val="0036077D"/>
    <w:rsid w:val="003674D5"/>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0EDB"/>
    <w:rsid w:val="004D732F"/>
    <w:rsid w:val="004E6DAF"/>
    <w:rsid w:val="005029DA"/>
    <w:rsid w:val="00513B45"/>
    <w:rsid w:val="00520EE3"/>
    <w:rsid w:val="005307AC"/>
    <w:rsid w:val="005371E7"/>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602EF7"/>
    <w:rsid w:val="0060585D"/>
    <w:rsid w:val="00611E67"/>
    <w:rsid w:val="0062367A"/>
    <w:rsid w:val="006350B3"/>
    <w:rsid w:val="006552D1"/>
    <w:rsid w:val="006956BC"/>
    <w:rsid w:val="00696F72"/>
    <w:rsid w:val="006A1B24"/>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D1010"/>
    <w:rsid w:val="008E3809"/>
    <w:rsid w:val="008E64A9"/>
    <w:rsid w:val="008F029B"/>
    <w:rsid w:val="008F2B33"/>
    <w:rsid w:val="009000C0"/>
    <w:rsid w:val="00933A90"/>
    <w:rsid w:val="009602F2"/>
    <w:rsid w:val="0096301A"/>
    <w:rsid w:val="009643C7"/>
    <w:rsid w:val="00984819"/>
    <w:rsid w:val="00994033"/>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2D0"/>
    <w:rsid w:val="00AF454E"/>
    <w:rsid w:val="00AF74E5"/>
    <w:rsid w:val="00B00CC0"/>
    <w:rsid w:val="00B05E6A"/>
    <w:rsid w:val="00B25555"/>
    <w:rsid w:val="00B57D28"/>
    <w:rsid w:val="00B65EDC"/>
    <w:rsid w:val="00BA6453"/>
    <w:rsid w:val="00BC6516"/>
    <w:rsid w:val="00BD165B"/>
    <w:rsid w:val="00BF2023"/>
    <w:rsid w:val="00BF22B5"/>
    <w:rsid w:val="00BF3C99"/>
    <w:rsid w:val="00C0722A"/>
    <w:rsid w:val="00C1235C"/>
    <w:rsid w:val="00C31857"/>
    <w:rsid w:val="00C36D6C"/>
    <w:rsid w:val="00C42E20"/>
    <w:rsid w:val="00C71D96"/>
    <w:rsid w:val="00C85999"/>
    <w:rsid w:val="00C86863"/>
    <w:rsid w:val="00C8715D"/>
    <w:rsid w:val="00CA172F"/>
    <w:rsid w:val="00CA1BBB"/>
    <w:rsid w:val="00CB62BC"/>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188</TotalTime>
  <Pages>2</Pages>
  <Words>1112</Words>
  <Characters>6339</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Ajay Srinivasamurthy</cp:lastModifiedBy>
  <cp:revision>66</cp:revision>
  <cp:lastPrinted>2020-01-10T07:11:00Z</cp:lastPrinted>
  <dcterms:created xsi:type="dcterms:W3CDTF">2016-05-23T00:58:00Z</dcterms:created>
  <dcterms:modified xsi:type="dcterms:W3CDTF">2021-02-18T04:29:00Z</dcterms:modified>
  <cp:category/>
</cp:coreProperties>
</file>