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000000"/>
          <w:sz w:val="28"/>
          <w:szCs w:val="28"/>
        </w:rPr>
        <w:t xml:space="preserve">[ C ]</w:t>
      </w:r>
      <w:r>
        <w:rPr>
          <w:rFonts w:ascii="Arial" w:cs="Arial" w:eastAsia="Arial" w:hAnsi="Arial"/>
          <w:b w:val="false"/>
          <w:bCs w:val="false"/>
          <w:color w:val="000000"/>
          <w:spacing w:val="50"/>
          <w:sz w:val="22"/>
          <w:szCs w:val="22"/>
        </w:rPr>
        <w:t xml:space="preserve">   THE CORPORATE</w:t>
      </w:r>
    </w:p>
    <w:p>
      <w:pPr>
        <w:pBdr>
          <w:bottom w:val="single" w:color="000000" w:sz="16"/>
        </w:pBdr>
        <w:spacing w:after="120" w:before="0"/>
      </w:pPr>
      <w:r>
        <w:rPr>
          <w:rFonts w:ascii="Arial" w:cs="Arial" w:eastAsia="Arial" w:hAnsi="Arial"/>
          <w:sz w:val="20"/>
          <w:szCs w:val="2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60" w:before="0"/>
      </w:pPr>
      <w:r>
        <w:rPr>
          <w:rFonts w:ascii="Arial" w:cs="Arial" w:eastAsia="Arial" w:hAnsi="Arial"/>
          <w:b w:val="false"/>
          <w:bCs w:val="false"/>
          <w:color w:val="B6B09F"/>
          <w:spacing w:val="50"/>
          <w:sz w:val="18"/>
          <w:szCs w:val="18"/>
        </w:rPr>
        <w:t xml:space="preserve">DOUBLE MATERIALITY ASSESSMENT  |  2025</w:t>
      </w:r>
    </w:p>
    <w:p>
      <w:pPr>
        <w:spacing w:after="0" w:before="0"/>
      </w:pPr>
      <w:r>
        <w:rPr>
          <w:rFonts w:ascii="Arial" w:cs="Arial" w:eastAsia="Arial" w:hAnsi="Arial"/>
          <w:sz w:val="160"/>
          <w:szCs w:val="160"/>
        </w:rPr>
        <w:t xml:space="preserve"/>
      </w:r>
    </w:p>
    <w:p>
      <w:pPr>
        <w:spacing w:after="0" w:before="0"/>
      </w:pPr>
      <w:r>
        <w:rPr>
          <w:rFonts w:ascii="Georgia" w:cs="Georgia" w:eastAsia="Georgia" w:hAnsi="Georgia"/>
          <w:b/>
          <w:bCs/>
          <w:color w:val="000000"/>
          <w:sz w:val="96"/>
          <w:szCs w:val="96"/>
        </w:rPr>
        <w:t xml:space="preserve">ESG Material</w:t>
      </w:r>
    </w:p>
    <w:p>
      <w:pPr>
        <w:spacing w:after="0" w:before="0"/>
      </w:pPr>
      <w:r>
        <w:rPr>
          <w:rFonts w:ascii="Georgia" w:cs="Georgia" w:eastAsia="Georgia" w:hAnsi="Georgia"/>
          <w:b w:val="false"/>
          <w:bCs w:val="false"/>
          <w:color w:val="000000"/>
          <w:sz w:val="96"/>
          <w:szCs w:val="96"/>
        </w:rPr>
        <w:t xml:space="preserve">Topics</w:t>
      </w:r>
    </w:p>
    <w:p>
      <w:pPr>
        <w:spacing w:after="360" w:before="0"/>
      </w:pPr>
      <w:r>
        <w:rPr>
          <w:rFonts w:ascii="Georgia" w:cs="Georgia" w:eastAsia="Georgia" w:hAnsi="Georgia"/>
          <w:b w:val="false"/>
          <w:bCs w:val="false"/>
          <w:color w:val="000000"/>
          <w:sz w:val="96"/>
          <w:szCs w:val="96"/>
        </w:rPr>
        <w:t xml:space="preserve">of Focus</w:t>
      </w:r>
    </w:p>
    <w:p>
      <w:pPr>
        <w:pBdr>
          <w:left w:val="single" w:color="000000" w:sz="16" w:space="8"/>
        </w:pBdr>
        <w:spacing w:after="0" w:before="0"/>
        <w:ind w:left="280"/>
      </w:pPr>
      <w:r>
        <w:rPr>
          <w:rFonts w:ascii="Arial" w:cs="Arial" w:eastAsia="Arial" w:hAnsi="Arial"/>
          <w:color w:val="000000"/>
          <w:sz w:val="24"/>
          <w:szCs w:val="24"/>
        </w:rPr>
        <w:t xml:space="preserve">16 priority sustainability topics governing</w:t>
      </w:r>
    </w:p>
    <w:p>
      <w:pPr>
        <w:pBdr>
          <w:left w:val="single" w:color="000000" w:sz="16" w:space="8"/>
        </w:pBdr>
        <w:spacing w:after="480" w:before="0"/>
        <w:ind w:left="280"/>
      </w:pPr>
      <w:r>
        <w:rPr>
          <w:rFonts w:ascii="Arial" w:cs="Arial" w:eastAsia="Arial" w:hAnsi="Arial"/>
          <w:color w:val="000000"/>
          <w:sz w:val="24"/>
          <w:szCs w:val="24"/>
        </w:rPr>
        <w:t xml:space="preserve">disclosure obligations and strategic action through 2045.</w:t>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6B09F" w:sz="4"/>
              <w:left w:val="single" w:color="B6B09F" w:sz="4"/>
              <w:bottom w:val="single" w:color="B6B09F" w:sz="4"/>
              <w:right w:val="single" w:color="B6B09F" w:sz="4"/>
            </w:tcBorders>
            <w:shd w:fill="EAE4D5" w:val="clear"/>
            <w:tcMar>
              <w:top w:type="dxa" w:w="120"/>
              <w:left w:type="dxa" w:w="160"/>
              <w:bottom w:type="dxa" w:w="120"/>
              <w:right w:type="dxa" w:w="160"/>
            </w:tcMar>
          </w:tcPr>
          <w:p>
            <w:r>
              <w:rPr>
                <w:rFonts w:ascii="Georgia" w:cs="Georgia" w:eastAsia="Georgia" w:hAnsi="Georgia"/>
                <w:b/>
                <w:bCs/>
                <w:color w:val="000000"/>
                <w:sz w:val="56"/>
                <w:szCs w:val="56"/>
              </w:rPr>
              <w:t xml:space="preserve">8</w:t>
            </w:r>
          </w:p>
          <w:p>
            <w:pPr>
              <w:spacing w:after="0" w:before="0"/>
            </w:pPr>
            <w:r>
              <w:rPr>
                <w:rFonts w:ascii="Arial" w:cs="Arial" w:eastAsia="Arial" w:hAnsi="Arial"/>
                <w:color w:val="B6B09F"/>
                <w:spacing w:val="40"/>
                <w:sz w:val="17"/>
                <w:szCs w:val="17"/>
              </w:rPr>
              <w:t xml:space="preserve">ENVIRONMENTAL</w:t>
            </w:r>
          </w:p>
          <w:p>
            <w:pPr>
              <w:spacing w:after="0" w:before="0"/>
            </w:pPr>
            <w:r>
              <w:rPr>
                <w:rFonts w:ascii="Arial" w:cs="Arial" w:eastAsia="Arial" w:hAnsi="Arial"/>
                <w:color w:val="B6B09F"/>
                <w:sz w:val="17"/>
                <w:szCs w:val="17"/>
              </w:rPr>
              <w:t xml:space="preserve">Topics</w:t>
            </w:r>
          </w:p>
        </w:tc>
        <w:tc>
          <w:tcPr>
            <w:tcW w:type="dxa" w:w="2340"/>
            <w:tcBorders>
              <w:top w:val="single" w:color="B6B09F" w:sz="4"/>
              <w:left w:val="single" w:color="B6B09F" w:sz="4"/>
              <w:bottom w:val="single" w:color="B6B09F" w:sz="4"/>
              <w:right w:val="single" w:color="B6B09F" w:sz="4"/>
            </w:tcBorders>
            <w:shd w:fill="EAE4D5" w:val="clear"/>
            <w:tcMar>
              <w:top w:type="dxa" w:w="120"/>
              <w:left w:type="dxa" w:w="160"/>
              <w:bottom w:type="dxa" w:w="120"/>
              <w:right w:type="dxa" w:w="160"/>
            </w:tcMar>
          </w:tcPr>
          <w:p>
            <w:r>
              <w:rPr>
                <w:rFonts w:ascii="Georgia" w:cs="Georgia" w:eastAsia="Georgia" w:hAnsi="Georgia"/>
                <w:b/>
                <w:bCs/>
                <w:color w:val="000000"/>
                <w:sz w:val="56"/>
                <w:szCs w:val="56"/>
              </w:rPr>
              <w:t xml:space="preserve">6</w:t>
            </w:r>
          </w:p>
          <w:p>
            <w:pPr>
              <w:spacing w:after="0" w:before="0"/>
            </w:pPr>
            <w:r>
              <w:rPr>
                <w:rFonts w:ascii="Arial" w:cs="Arial" w:eastAsia="Arial" w:hAnsi="Arial"/>
                <w:color w:val="B6B09F"/>
                <w:spacing w:val="40"/>
                <w:sz w:val="17"/>
                <w:szCs w:val="17"/>
              </w:rPr>
              <w:t xml:space="preserve">SOCIAL</w:t>
            </w:r>
          </w:p>
          <w:p>
            <w:pPr>
              <w:spacing w:after="0" w:before="0"/>
            </w:pPr>
            <w:r>
              <w:rPr>
                <w:rFonts w:ascii="Arial" w:cs="Arial" w:eastAsia="Arial" w:hAnsi="Arial"/>
                <w:color w:val="B6B09F"/>
                <w:sz w:val="17"/>
                <w:szCs w:val="17"/>
              </w:rPr>
              <w:t xml:space="preserve">Topics</w:t>
            </w:r>
          </w:p>
        </w:tc>
        <w:tc>
          <w:tcPr>
            <w:tcW w:type="dxa" w:w="2340"/>
            <w:tcBorders>
              <w:top w:val="single" w:color="B6B09F" w:sz="4"/>
              <w:left w:val="single" w:color="B6B09F" w:sz="4"/>
              <w:bottom w:val="single" w:color="B6B09F" w:sz="4"/>
              <w:right w:val="single" w:color="B6B09F" w:sz="4"/>
            </w:tcBorders>
            <w:shd w:fill="EAE4D5" w:val="clear"/>
            <w:tcMar>
              <w:top w:type="dxa" w:w="120"/>
              <w:left w:type="dxa" w:w="160"/>
              <w:bottom w:type="dxa" w:w="120"/>
              <w:right w:type="dxa" w:w="160"/>
            </w:tcMar>
          </w:tcPr>
          <w:p>
            <w:r>
              <w:rPr>
                <w:rFonts w:ascii="Georgia" w:cs="Georgia" w:eastAsia="Georgia" w:hAnsi="Georgia"/>
                <w:b/>
                <w:bCs/>
                <w:color w:val="000000"/>
                <w:sz w:val="56"/>
                <w:szCs w:val="56"/>
              </w:rPr>
              <w:t xml:space="preserve">2</w:t>
            </w:r>
          </w:p>
          <w:p>
            <w:pPr>
              <w:spacing w:after="0" w:before="0"/>
            </w:pPr>
            <w:r>
              <w:rPr>
                <w:rFonts w:ascii="Arial" w:cs="Arial" w:eastAsia="Arial" w:hAnsi="Arial"/>
                <w:color w:val="B6B09F"/>
                <w:spacing w:val="40"/>
                <w:sz w:val="17"/>
                <w:szCs w:val="17"/>
              </w:rPr>
              <w:t xml:space="preserve">GOVERNANCE</w:t>
            </w:r>
          </w:p>
          <w:p>
            <w:pPr>
              <w:spacing w:after="0" w:before="0"/>
            </w:pPr>
            <w:r>
              <w:rPr>
                <w:rFonts w:ascii="Arial" w:cs="Arial" w:eastAsia="Arial" w:hAnsi="Arial"/>
                <w:color w:val="B6B09F"/>
                <w:sz w:val="17"/>
                <w:szCs w:val="17"/>
              </w:rPr>
              <w:t xml:space="preserve">Topics</w:t>
            </w:r>
          </w:p>
        </w:tc>
        <w:tc>
          <w:tcPr>
            <w:tcW w:type="dxa" w:w="2340"/>
            <w:tcBorders>
              <w:top w:val="single" w:color="B6B09F" w:sz="4"/>
              <w:left w:val="single" w:color="B6B09F" w:sz="4"/>
              <w:bottom w:val="single" w:color="B6B09F" w:sz="4"/>
              <w:right w:val="single" w:color="B6B09F" w:sz="4"/>
            </w:tcBorders>
            <w:shd w:fill="000000" w:val="clear"/>
            <w:tcMar>
              <w:top w:type="dxa" w:w="120"/>
              <w:left w:type="dxa" w:w="160"/>
              <w:bottom w:type="dxa" w:w="120"/>
              <w:right w:type="dxa" w:w="160"/>
            </w:tcMar>
          </w:tcPr>
          <w:p>
            <w:r>
              <w:rPr>
                <w:rFonts w:ascii="Georgia" w:cs="Georgia" w:eastAsia="Georgia" w:hAnsi="Georgia"/>
                <w:b/>
                <w:bCs/>
                <w:color w:val="F2F2F2"/>
                <w:sz w:val="56"/>
                <w:szCs w:val="56"/>
              </w:rPr>
              <w:t xml:space="preserve">16</w:t>
            </w:r>
          </w:p>
          <w:p>
            <w:pPr>
              <w:spacing w:after="0" w:before="0"/>
            </w:pPr>
            <w:r>
              <w:rPr>
                <w:rFonts w:ascii="Arial" w:cs="Arial" w:eastAsia="Arial" w:hAnsi="Arial"/>
                <w:color w:val="F2F2F2"/>
                <w:spacing w:val="40"/>
                <w:sz w:val="17"/>
                <w:szCs w:val="17"/>
              </w:rPr>
              <w:t xml:space="preserve">TOTAL</w:t>
            </w:r>
          </w:p>
          <w:p>
            <w:pPr>
              <w:spacing w:after="0" w:before="0"/>
            </w:pPr>
            <w:r>
              <w:rPr>
                <w:rFonts w:ascii="Arial" w:cs="Arial" w:eastAsia="Arial" w:hAnsi="Arial"/>
                <w:color w:val="F2F2F2"/>
                <w:sz w:val="17"/>
                <w:szCs w:val="17"/>
              </w:rPr>
              <w:t xml:space="preserve">Material Topics</w:t>
            </w:r>
          </w:p>
        </w:tc>
      </w:tr>
    </w:tbl>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pBdr>
          <w:top w:val="single" w:color="B6B09F" w:sz="4"/>
        </w:pBdr>
        <w:spacing w:after="140" w:before="0"/>
      </w:pPr>
      <w:r>
        <w:rPr>
          <w:rFonts w:ascii="Arial" w:cs="Arial" w:eastAsia="Arial" w:hAnsi="Arial"/>
          <w:sz w:val="18"/>
          <w:szCs w:val="18"/>
        </w:rPr>
        <w:t xml:space="preserve"/>
      </w:r>
    </w:p>
    <w:p>
      <w:pPr>
        <w:tabs>
          <w:tab w:val="right" w:pos="9026"/>
        </w:tabs>
        <w:spacing w:after="80" w:before="0"/>
      </w:pPr>
      <w:r>
        <w:rPr>
          <w:rFonts w:ascii="Arial" w:cs="Arial" w:eastAsia="Arial" w:hAnsi="Arial"/>
          <w:color w:val="B6B09F"/>
          <w:spacing w:val="50"/>
          <w:sz w:val="16"/>
          <w:szCs w:val="16"/>
        </w:rPr>
        <w:t xml:space="preserve">PREPARED BY</w:t>
      </w:r>
      <w:r>
        <w:rPr>
          <w:rFonts w:ascii="Arial" w:cs="Arial" w:eastAsia="Arial" w:hAnsi="Arial"/>
          <w:sz w:val="16"/>
          <w:szCs w:val="16"/>
        </w:rPr>
        <w:t xml:space="preserve">	</w:t>
      </w:r>
      <w:r>
        <w:rPr>
          <w:rFonts w:ascii="Arial" w:cs="Arial" w:eastAsia="Arial" w:hAnsi="Arial"/>
          <w:color w:val="B6B09F"/>
          <w:spacing w:val="50"/>
          <w:sz w:val="16"/>
          <w:szCs w:val="16"/>
        </w:rPr>
        <w:t xml:space="preserve">CLASSIFICATION</w:t>
      </w:r>
    </w:p>
    <w:p>
      <w:pPr>
        <w:tabs>
          <w:tab w:val="right" w:pos="9026"/>
        </w:tabs>
        <w:spacing w:after="0" w:before="0"/>
      </w:pPr>
      <w:r>
        <w:rPr>
          <w:rFonts w:ascii="Arial" w:cs="Arial" w:eastAsia="Arial" w:hAnsi="Arial"/>
          <w:color w:val="000000"/>
          <w:sz w:val="20"/>
          <w:szCs w:val="20"/>
        </w:rPr>
        <w:t xml:space="preserve">Double Materiality Working Group  |  The Corporate</w:t>
      </w:r>
      <w:r>
        <w:rPr>
          <w:rFonts w:ascii="Arial" w:cs="Arial" w:eastAsia="Arial" w:hAnsi="Arial"/>
          <w:sz w:val="20"/>
          <w:szCs w:val="20"/>
        </w:rPr>
        <w:t xml:space="preserve">	</w:t>
      </w:r>
      <w:r>
        <w:rPr>
          <w:rFonts w:ascii="Arial" w:cs="Arial" w:eastAsia="Arial" w:hAnsi="Arial"/>
          <w:color w:val="000000"/>
          <w:sz w:val="20"/>
          <w:szCs w:val="20"/>
        </w:rPr>
        <w:t xml:space="preserve">Confidential  |  2025</w:t>
      </w:r>
    </w:p>
    <w:p>
      <w:pPr>
        <w:sectPr>
          <w:pgSz w:w="12240" w:h="15840" w:orient="portrait"/>
          <w:pgMar w:top="1440" w:right="1440" w:bottom="1440" w:left="1440" w:header="708" w:footer="708" w:gutter="0"/>
          <w:pgNumType/>
          <w:docGrid w:linePitch="360"/>
        </w:sectPr>
      </w:pPr>
    </w:p>
    <w:p>
      <w:pPr>
        <w:pBdr>
          <w:bottom w:val="single" w:color="B6B09F" w:sz="4"/>
        </w:pBdr>
        <w:spacing w:after="120" w:before="480"/>
      </w:pPr>
      <w:r>
        <w:rPr>
          <w:rFonts w:ascii="Georgia" w:cs="Georgia" w:eastAsia="Georgia" w:hAnsi="Georgia"/>
          <w:b w:val="false"/>
          <w:bCs w:val="false"/>
          <w:color w:val="000000"/>
          <w:sz w:val="48"/>
          <w:szCs w:val="48"/>
        </w:rPr>
        <w:t xml:space="preserve">About The Corporate</w:t>
      </w:r>
    </w:p>
    <w:p>
      <w:pPr>
        <w:spacing w:after="200" w:before="0"/>
      </w:pPr>
      <w:r>
        <w:rPr>
          <w:rFonts w:ascii="Arial" w:cs="Arial" w:eastAsia="Arial" w:hAnsi="Arial"/>
          <w:color w:val="000000"/>
          <w:sz w:val="22"/>
          <w:szCs w:val="22"/>
        </w:rPr>
        <w:t xml:space="preserve">The Corporate is a Tier 1 supplier of standardized consumer electronics components. The product portfolio spans ruggedized device cases, internal lithium-ion battery packs, data cables, wall chargers, and precision aluminum casements.</w:t>
      </w:r>
    </w:p>
    <w:p>
      <w:pPr>
        <w:spacing w:after="200" w:before="0"/>
      </w:pPr>
      <w:r>
        <w:rPr>
          <w:rFonts w:ascii="Arial" w:cs="Arial" w:eastAsia="Arial" w:hAnsi="Arial"/>
          <w:color w:val="000000"/>
          <w:sz w:val="22"/>
          <w:szCs w:val="22"/>
        </w:rPr>
        <w:t xml:space="preserve">Operations span 5 manufacturing facilities across Vietnam, Mexico, China, Poland, and India, employing approximately 10,350 workers. Annual output reaches approximately 135 million units across all product lines. The company occupies a critical position in global consumer electronics supply chains, with deep exposure to upstream raw material risks and downstream product lifecycle obligations.</w:t>
      </w:r>
    </w:p>
    <w:p>
      <w:pPr>
        <w:spacing w:after="400" w:before="0"/>
      </w:pPr>
      <w:r>
        <w:rPr>
          <w:rFonts w:ascii="Arial" w:cs="Arial" w:eastAsia="Arial" w:hAnsi="Arial"/>
          <w:color w:val="000000"/>
          <w:sz w:val="22"/>
          <w:szCs w:val="22"/>
        </w:rPr>
        <w:t xml:space="preserve">The CEO has committed to a formal net-zero target: eliminate Scope 1, 2, and 3 emissions by 2045. This commitment is the strategic anchor for all sustainability work, including this assessment.</w:t>
      </w:r>
    </w:p>
    <w:p>
      <w:pPr>
        <w:pBdr>
          <w:bottom w:val="single" w:color="B6B09F" w:sz="4"/>
        </w:pBdr>
        <w:spacing w:after="120" w:before="480"/>
      </w:pPr>
      <w:r>
        <w:rPr>
          <w:rFonts w:ascii="Georgia" w:cs="Georgia" w:eastAsia="Georgia" w:hAnsi="Georgia"/>
          <w:b w:val="false"/>
          <w:bCs w:val="false"/>
          <w:color w:val="000000"/>
          <w:sz w:val="48"/>
          <w:szCs w:val="48"/>
        </w:rPr>
        <w:t xml:space="preserve">About this Assessment</w:t>
      </w:r>
    </w:p>
    <w:p>
      <w:pPr>
        <w:spacing w:after="200" w:before="0"/>
      </w:pPr>
      <w:r>
        <w:rPr>
          <w:rFonts w:ascii="Arial" w:cs="Arial" w:eastAsia="Arial" w:hAnsi="Arial"/>
          <w:color w:val="000000"/>
          <w:sz w:val="22"/>
          <w:szCs w:val="22"/>
        </w:rPr>
        <w:t xml:space="preserve">This document presents the 16 material ESG topics identified through The Corporate's inaugural Double Materiality Assessment. The assessment was commissioned to build a defensible foundation for the company's net-zero transition strategy and to meet CSRD readiness requirements for the Wroclaw, Poland operations.</w:t>
      </w:r>
    </w:p>
    <w:p>
      <w:pPr>
        <w:spacing w:after="200" w:before="0"/>
      </w:pPr>
      <w:r>
        <w:rPr>
          <w:rFonts w:ascii="Arial" w:cs="Arial" w:eastAsia="Arial" w:hAnsi="Arial"/>
          <w:color w:val="000000"/>
          <w:sz w:val="22"/>
          <w:szCs w:val="22"/>
        </w:rPr>
        <w:t xml:space="preserve">The assessment applies the double materiality principle. Each topic is evaluated on two independent axes. The Financial Materiality axis measures the degree to which a topic poses risks or opportunities to the company's financial condition. The Impact Materiality axis measures the degree to which the company's activities cause or contribute to societal or environmental harm or benefit. A topic may be material on either axis or both.</w:t>
      </w:r>
    </w:p>
    <w:p>
      <w:pPr>
        <w:spacing w:after="400" w:before="0"/>
      </w:pPr>
      <w:r>
        <w:rPr>
          <w:rFonts w:ascii="Arial" w:cs="Arial" w:eastAsia="Arial" w:hAnsi="Arial"/>
          <w:b w:val="false"/>
          <w:bCs w:val="false"/>
          <w:color w:val="000000"/>
          <w:sz w:val="22"/>
          <w:szCs w:val="22"/>
        </w:rPr>
        <w:t xml:space="preserve">Stakeholder engagement used a hybrid design. </w:t>
      </w:r>
      <w:r>
        <w:rPr>
          <w:rFonts w:ascii="Arial" w:cs="Arial" w:eastAsia="Arial" w:hAnsi="Arial"/>
          <w:b/>
          <w:bCs/>
          <w:color w:val="000000"/>
          <w:sz w:val="22"/>
          <w:szCs w:val="22"/>
        </w:rPr>
        <w:t xml:space="preserve">1,000 employees</w:t>
      </w:r>
      <w:r>
        <w:rPr>
          <w:rFonts w:ascii="Arial" w:cs="Arial" w:eastAsia="Arial" w:hAnsi="Arial"/>
          <w:b w:val="false"/>
          <w:bCs w:val="false"/>
          <w:color w:val="000000"/>
          <w:sz w:val="22"/>
          <w:szCs w:val="22"/>
        </w:rPr>
        <w:t xml:space="preserve"> across all 5 facilities completed structured digital questionnaires. </w:t>
      </w:r>
      <w:r>
        <w:rPr>
          <w:rFonts w:ascii="Arial" w:cs="Arial" w:eastAsia="Arial" w:hAnsi="Arial"/>
          <w:b/>
          <w:bCs/>
          <w:color w:val="000000"/>
          <w:sz w:val="22"/>
          <w:szCs w:val="22"/>
        </w:rPr>
        <w:t xml:space="preserve">50 Tier-1 suppliers</w:t>
      </w:r>
      <w:r>
        <w:rPr>
          <w:rFonts w:ascii="Arial" w:cs="Arial" w:eastAsia="Arial" w:hAnsi="Arial"/>
          <w:b w:val="false"/>
          <w:bCs w:val="false"/>
          <w:color w:val="000000"/>
          <w:sz w:val="22"/>
          <w:szCs w:val="22"/>
        </w:rPr>
        <w:t xml:space="preserve"> completed a risk and spend-weighted assessment. </w:t>
      </w:r>
      <w:r>
        <w:rPr>
          <w:rFonts w:ascii="Arial" w:cs="Arial" w:eastAsia="Arial" w:hAnsi="Arial"/>
          <w:b/>
          <w:bCs/>
          <w:color w:val="000000"/>
          <w:sz w:val="22"/>
          <w:szCs w:val="22"/>
        </w:rPr>
        <w:t xml:space="preserve">5 institutional investors</w:t>
      </w:r>
      <w:r>
        <w:rPr>
          <w:rFonts w:ascii="Arial" w:cs="Arial" w:eastAsia="Arial" w:hAnsi="Arial"/>
          <w:b w:val="false"/>
          <w:bCs w:val="false"/>
          <w:color w:val="000000"/>
          <w:sz w:val="22"/>
          <w:szCs w:val="22"/>
        </w:rPr>
        <w:t xml:space="preserve"> and </w:t>
      </w:r>
      <w:r>
        <w:rPr>
          <w:rFonts w:ascii="Arial" w:cs="Arial" w:eastAsia="Arial" w:hAnsi="Arial"/>
          <w:b/>
          <w:bCs/>
          <w:color w:val="000000"/>
          <w:sz w:val="22"/>
          <w:szCs w:val="22"/>
        </w:rPr>
        <w:t xml:space="preserve">15 major B2B OEM customers</w:t>
      </w:r>
      <w:r>
        <w:rPr>
          <w:rFonts w:ascii="Arial" w:cs="Arial" w:eastAsia="Arial" w:hAnsi="Arial"/>
          <w:b w:val="false"/>
          <w:bCs w:val="false"/>
          <w:color w:val="000000"/>
          <w:sz w:val="22"/>
          <w:szCs w:val="22"/>
        </w:rPr>
        <w:t xml:space="preserve"> participated in structured qualitative interviews. Each stakeholder group contributes 25% to the final blended materiality score, applied independently to both the Financial Risk and Impact axes.</w:t>
      </w:r>
    </w:p>
    <w:p>
      <w:pPr>
        <w:pBdr>
          <w:bottom w:val="single" w:color="B6B09F" w:sz="4"/>
        </w:pBdr>
        <w:spacing w:after="120" w:before="480"/>
      </w:pPr>
      <w:r>
        <w:rPr>
          <w:rFonts w:ascii="Georgia" w:cs="Georgia" w:eastAsia="Georgia" w:hAnsi="Georgia"/>
          <w:b w:val="false"/>
          <w:bCs w:val="false"/>
          <w:color w:val="000000"/>
          <w:sz w:val="48"/>
          <w:szCs w:val="48"/>
        </w:rPr>
        <w:t xml:space="preserve">Rationale for Topic Selection</w:t>
      </w:r>
    </w:p>
    <w:p>
      <w:pPr>
        <w:spacing w:after="200" w:before="0"/>
      </w:pPr>
      <w:r>
        <w:rPr>
          <w:rFonts w:ascii="Arial" w:cs="Arial" w:eastAsia="Arial" w:hAnsi="Arial"/>
          <w:color w:val="000000"/>
          <w:sz w:val="22"/>
          <w:szCs w:val="22"/>
        </w:rPr>
        <w:t xml:space="preserve">The 16 topics were selected through a structured analysis of The Corporate's physical operations, value chain profile, regulatory environment, and stakeholder expectations. Selection logic rests on 4 intersecting dimensions.</w:t>
      </w:r>
    </w:p>
    <w:p>
      <w:pPr>
        <w:spacing w:after="0" w:before="0"/>
      </w:pPr>
      <w:r>
        <w:rPr>
          <w:rFonts w:ascii="Arial" w:cs="Arial" w:eastAsia="Arial" w:hAnsi="Arial"/>
          <w:sz w:val="160"/>
          <w:szCs w:val="160"/>
        </w:rPr>
        <w:t xml:space="preserve"/>
      </w:r>
    </w:p>
    <w:p>
      <w:pPr>
        <w:spacing w:after="180" w:before="0"/>
      </w:pPr>
      <w:r>
        <w:rPr>
          <w:rFonts w:ascii="Arial" w:cs="Arial" w:eastAsia="Arial" w:hAnsi="Arial"/>
          <w:b/>
          <w:bCs/>
          <w:color w:val="000000"/>
          <w:sz w:val="22"/>
          <w:szCs w:val="22"/>
        </w:rPr>
        <w:t xml:space="preserve">Operational exposure.  </w:t>
      </w:r>
      <w:r>
        <w:rPr>
          <w:rFonts w:ascii="Arial" w:cs="Arial" w:eastAsia="Arial" w:hAnsi="Arial"/>
          <w:b w:val="false"/>
          <w:bCs w:val="false"/>
          <w:color w:val="000000"/>
          <w:sz w:val="22"/>
          <w:szCs w:val="22"/>
        </w:rPr>
        <w:t xml:space="preserve">The 5 facilities operate in distinct industrial contexts with differentiated risk profiles. High-energy injection molding in Hanoi, battery chemistry in Guadalajara, dense assembly labor in Shenzhen, precision machining under EU regulation in Wroclaw, and chemical-intensive PCB fabrication in Chennai create a multi-dimensional exposure map that directly drives topic selection.</w:t>
      </w:r>
    </w:p>
    <w:p>
      <w:pPr>
        <w:spacing w:after="180" w:before="0"/>
      </w:pPr>
      <w:r>
        <w:rPr>
          <w:rFonts w:ascii="Arial" w:cs="Arial" w:eastAsia="Arial" w:hAnsi="Arial"/>
          <w:b/>
          <w:bCs/>
          <w:color w:val="000000"/>
          <w:sz w:val="22"/>
          <w:szCs w:val="22"/>
        </w:rPr>
        <w:t xml:space="preserve">Value chain materiality.  </w:t>
      </w:r>
      <w:r>
        <w:rPr>
          <w:rFonts w:ascii="Arial" w:cs="Arial" w:eastAsia="Arial" w:hAnsi="Arial"/>
          <w:b w:val="false"/>
          <w:bCs w:val="false"/>
          <w:color w:val="000000"/>
          <w:sz w:val="22"/>
          <w:szCs w:val="22"/>
        </w:rPr>
        <w:t xml:space="preserve">As a Tier 1 component supplier, The Corporate sits between raw material extractors and major OEMs. This position creates material exposure upstream (lithium, cobalt, aluminum, petroleum-derived plastics) and downstream (battery pack and PCB end-of-life). Both ends of the value chain are represented.</w:t>
      </w:r>
    </w:p>
    <w:p>
      <w:pPr>
        <w:spacing w:after="180" w:before="0"/>
      </w:pPr>
      <w:r>
        <w:rPr>
          <w:rFonts w:ascii="Arial" w:cs="Arial" w:eastAsia="Arial" w:hAnsi="Arial"/>
          <w:b/>
          <w:bCs/>
          <w:color w:val="000000"/>
          <w:sz w:val="22"/>
          <w:szCs w:val="22"/>
        </w:rPr>
        <w:t xml:space="preserve">Regulatory obligation.  </w:t>
      </w:r>
      <w:r>
        <w:rPr>
          <w:rFonts w:ascii="Arial" w:cs="Arial" w:eastAsia="Arial" w:hAnsi="Arial"/>
          <w:b w:val="false"/>
          <w:bCs w:val="false"/>
          <w:color w:val="000000"/>
          <w:sz w:val="22"/>
          <w:szCs w:val="22"/>
        </w:rPr>
        <w:t xml:space="preserve">The Wroclaw facility operates under EU jurisdiction, triggering CSRD applicability. Topics tied to ESRS disclosure requirements are included. Multi-jurisdictional operations create additional compliance exposure across Chinese environmental law, Indian water regulations, Mexican labor standards, and Vietnamese industrial emissions controls.</w:t>
      </w:r>
    </w:p>
    <w:p>
      <w:pPr>
        <w:spacing w:after="300" w:before="0"/>
      </w:pPr>
      <w:r>
        <w:rPr>
          <w:rFonts w:ascii="Arial" w:cs="Arial" w:eastAsia="Arial" w:hAnsi="Arial"/>
          <w:b/>
          <w:bCs/>
          <w:color w:val="000000"/>
          <w:sz w:val="22"/>
          <w:szCs w:val="22"/>
        </w:rPr>
        <w:t xml:space="preserve">Stakeholder signal.  </w:t>
      </w:r>
      <w:r>
        <w:rPr>
          <w:rFonts w:ascii="Arial" w:cs="Arial" w:eastAsia="Arial" w:hAnsi="Arial"/>
          <w:b w:val="false"/>
          <w:bCs w:val="false"/>
          <w:color w:val="000000"/>
          <w:sz w:val="22"/>
          <w:szCs w:val="22"/>
        </w:rPr>
        <w:t xml:space="preserve">The 4-stakeholder engagement process surfaced consistent signals across investor, customer, employee, and supplier groups. Topics on which 2 or more stakeholder groups registered elevated concern were prioritized for inclusion. The final 16 represent the intersection of operational reality and stakeholder expectations.</w:t>
      </w:r>
    </w:p>
    <w:p>
      <w:pPr>
        <w:spacing w:after="400" w:before="0"/>
      </w:pPr>
      <w:r>
        <w:rPr>
          <w:rFonts w:ascii="Arial" w:cs="Arial" w:eastAsia="Arial" w:hAnsi="Arial"/>
          <w:color w:val="000000"/>
          <w:sz w:val="22"/>
          <w:szCs w:val="22"/>
        </w:rPr>
        <w:t xml:space="preserve">The result is a topic universe that is specific, defensible, and auditable. Each topic has a direct line of sight to The Corporate's operations, value chain, or regulatory context.</w:t>
      </w:r>
    </w:p>
    <w:p>
      <w:r>
        <w:br w:type="page"/>
      </w:r>
    </w:p>
    <w:p>
      <w:pPr>
        <w:pBdr>
          <w:bottom w:val="single" w:color="B6B09F" w:sz="4"/>
        </w:pBdr>
        <w:spacing w:after="120" w:before="480"/>
      </w:pPr>
      <w:r>
        <w:rPr>
          <w:rFonts w:ascii="Georgia" w:cs="Georgia" w:eastAsia="Georgia" w:hAnsi="Georgia"/>
          <w:b w:val="false"/>
          <w:bCs w:val="false"/>
          <w:color w:val="000000"/>
          <w:sz w:val="48"/>
          <w:szCs w:val="48"/>
        </w:rPr>
        <w:t xml:space="preserve">Environmental Topics</w:t>
      </w:r>
    </w:p>
    <w:p>
      <w:pPr>
        <w:spacing w:after="240" w:before="0"/>
      </w:pPr>
      <w:r>
        <w:rPr>
          <w:rFonts w:ascii="Arial" w:cs="Arial" w:eastAsia="Arial" w:hAnsi="Arial"/>
          <w:color w:val="000000"/>
          <w:sz w:val="22"/>
          <w:szCs w:val="22"/>
        </w:rPr>
        <w:t xml:space="preserve">8 topics reflect the breadth of The Corporate's physical impact across its global manufacturing footprint. They span the full lifecycle from upstream extraction to downstream product end-of-life.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w:t>
            </w:r>
          </w:p>
        </w:tc>
        <w:tc>
          <w:tcPr>
            <w:tcW w:type="dxa" w:w="276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TOPIC</w:t>
            </w:r>
          </w:p>
        </w:tc>
        <w:tc>
          <w:tcPr>
            <w:tcW w:type="dxa" w:w="60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DESCRIPTION</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01</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GHG Emissions (Scopes 1, 2, 3)</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Direct facility emissions, purchased electricity, and upstream and downstream carbon across the full value chain.</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02</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Energy Management &amp; Renewable Transition</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Intensity reduction and clean energy procurement across energy-heavy operations including injection molding, battery dry rooms, CNC machining, and PCB fabrication.</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03</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Water Stewardship</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Consumption, recycling, and discharge quality. Particularly critical at Chennai given chemical-intensive PCB processing and severe regional water scarcity.</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04</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Hazardous Materials &amp; Chemical Management</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Battery electrolytes in Guadalajara and PCB etching chemicals in Chennai present direct and significant worker and environmental exposure risk.</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05</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Waste Generation &amp; Circular Economy</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Manufacturing scrap, packaging material, and end-of-life pathways for batteries and electronics components across all 5 facilities.</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06</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Upstream Supply Chain Emissions (Scope 3 Cat. 1)</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Raw material extraction impacts covering lithium, cobalt, aluminum, and petroleum-derived plastics entering the production chain.</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07</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Air Quality &amp; Process Emissions</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Off-gassing from injection molding, soldering, and chemical etching processes. Multi-site exposure across Vietnam, China, and India.</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08</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Product End-of-Life &amp; E-Waste</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Downstream responsibility for lithium battery packs, PCBs, and data cables entering global consumer waste streams.</w:t>
            </w:r>
          </w:p>
        </w:tc>
      </w:tr>
    </w:tbl>
    <w:p>
      <w:pPr>
        <w:spacing w:after="0" w:before="0"/>
      </w:pPr>
      <w:r>
        <w:rPr>
          <w:rFonts w:ascii="Arial" w:cs="Arial" w:eastAsia="Arial" w:hAnsi="Arial"/>
          <w:sz w:val="160"/>
          <w:szCs w:val="160"/>
        </w:rPr>
        <w:t xml:space="preserve"/>
      </w:r>
    </w:p>
    <w:p>
      <w:r>
        <w:br w:type="page"/>
      </w:r>
    </w:p>
    <w:p>
      <w:pPr>
        <w:pBdr>
          <w:bottom w:val="single" w:color="B6B09F" w:sz="4"/>
        </w:pBdr>
        <w:spacing w:after="120" w:before="480"/>
      </w:pPr>
      <w:r>
        <w:rPr>
          <w:rFonts w:ascii="Georgia" w:cs="Georgia" w:eastAsia="Georgia" w:hAnsi="Georgia"/>
          <w:b w:val="false"/>
          <w:bCs w:val="false"/>
          <w:color w:val="000000"/>
          <w:sz w:val="48"/>
          <w:szCs w:val="48"/>
        </w:rPr>
        <w:t xml:space="preserve">Social Topics</w:t>
      </w:r>
    </w:p>
    <w:p>
      <w:pPr>
        <w:spacing w:after="240" w:before="0"/>
      </w:pPr>
      <w:r>
        <w:rPr>
          <w:rFonts w:ascii="Arial" w:cs="Arial" w:eastAsia="Arial" w:hAnsi="Arial"/>
          <w:color w:val="000000"/>
          <w:sz w:val="22"/>
          <w:szCs w:val="22"/>
        </w:rPr>
        <w:t xml:space="preserve">6 topics address the human dimension of The Corporate's operations. With over 10,000 employees across 5 countries and deep integration into global mineral supply chains, social exposure is multi-layered and geographically differentiated.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w:t>
            </w:r>
          </w:p>
        </w:tc>
        <w:tc>
          <w:tcPr>
            <w:tcW w:type="dxa" w:w="276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TOPIC</w:t>
            </w:r>
          </w:p>
        </w:tc>
        <w:tc>
          <w:tcPr>
            <w:tcW w:type="dxa" w:w="60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DESCRIPTION</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09</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Occupational Health &amp; Safety</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Chemical exposure, machinery hazards, and shift-work risks across 10,350 employees at 5 global manufacturing facilities.</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10</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Labor Rights &amp; Working Conditions</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Fair wages, working hours, and freedom of association. Highest exposure at Shenzhen, where 4,500 workers operate in high-density assembly environments.</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11</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Responsible Minerals Sourcing</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Human rights and environmental due diligence on lithium, cobalt, and tin supply chains feeding Guadalajara and Chennai operations.</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12</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Community Impact &amp; Local Employment</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The Corporate is a primary employer in all 5 industrial zones. Local economic dependency creates material relationship risk at each site.</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13</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Workforce Development &amp; Skills</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Retention, reskilling, and capability-building as automation increases across molding and assembly lines globally.</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14</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Diversity, Equity &amp; Inclusion</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Gender and demographic representation across 5 countries, each with distinct labor market contexts, legal frameworks, and workforce expectations.</w:t>
            </w:r>
          </w:p>
        </w:tc>
      </w:tr>
    </w:tbl>
    <w:p>
      <w:pPr>
        <w:spacing w:after="0" w:before="0"/>
      </w:pPr>
      <w:r>
        <w:rPr>
          <w:rFonts w:ascii="Arial" w:cs="Arial" w:eastAsia="Arial" w:hAnsi="Arial"/>
          <w:sz w:val="160"/>
          <w:szCs w:val="160"/>
        </w:rPr>
        <w:t xml:space="preserve"/>
      </w:r>
    </w:p>
    <w:p>
      <w:r>
        <w:br w:type="page"/>
      </w:r>
    </w:p>
    <w:p>
      <w:pPr>
        <w:pBdr>
          <w:bottom w:val="single" w:color="B6B09F" w:sz="4"/>
        </w:pBdr>
        <w:spacing w:after="120" w:before="480"/>
      </w:pPr>
      <w:r>
        <w:rPr>
          <w:rFonts w:ascii="Georgia" w:cs="Georgia" w:eastAsia="Georgia" w:hAnsi="Georgia"/>
          <w:b w:val="false"/>
          <w:bCs w:val="false"/>
          <w:color w:val="000000"/>
          <w:sz w:val="48"/>
          <w:szCs w:val="48"/>
        </w:rPr>
        <w:t xml:space="preserve">Governance Topics</w:t>
      </w:r>
    </w:p>
    <w:p>
      <w:pPr>
        <w:spacing w:after="240" w:before="0"/>
      </w:pPr>
      <w:r>
        <w:rPr>
          <w:rFonts w:ascii="Arial" w:cs="Arial" w:eastAsia="Arial" w:hAnsi="Arial"/>
          <w:color w:val="000000"/>
          <w:sz w:val="22"/>
          <w:szCs w:val="22"/>
        </w:rPr>
        <w:t xml:space="preserve">2 topics anchor all other material issues within the company's accountability and compliance structures. Effective governance is the enabling condition for delivering on the 2045 net-zero commitment and for maintaining license to operate across 5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w:t>
            </w:r>
          </w:p>
        </w:tc>
        <w:tc>
          <w:tcPr>
            <w:tcW w:type="dxa" w:w="276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TOPIC</w:t>
            </w:r>
          </w:p>
        </w:tc>
        <w:tc>
          <w:tcPr>
            <w:tcW w:type="dxa" w:w="6000"/>
            <w:tcBorders>
              <w:top w:val="single" w:color="000000" w:sz="6"/>
              <w:left w:val="single" w:color="000000" w:sz="6"/>
              <w:bottom w:val="single" w:color="000000" w:sz="6"/>
              <w:right w:val="single" w:color="000000" w:sz="6"/>
            </w:tcBorders>
            <w:shd w:fill="000000" w:val="clear"/>
            <w:tcMar>
              <w:top w:type="dxa" w:w="80"/>
              <w:left w:type="dxa" w:w="140"/>
              <w:bottom w:type="dxa" w:w="80"/>
              <w:right w:type="dxa" w:w="140"/>
            </w:tcMar>
          </w:tcPr>
          <w:p>
            <w:r>
              <w:rPr>
                <w:rFonts w:ascii="Arial" w:cs="Arial" w:eastAsia="Arial" w:hAnsi="Arial"/>
                <w:b/>
                <w:bCs/>
                <w:color w:val="F2F2F2"/>
                <w:spacing w:val="40"/>
                <w:sz w:val="18"/>
                <w:szCs w:val="18"/>
              </w:rPr>
              <w:t xml:space="preserve">DESCRIPTION</w:t>
            </w:r>
          </w:p>
        </w:tc>
      </w:tr>
      <w:tr>
        <w:tc>
          <w:tcPr>
            <w:tcW w:type="dxa" w:w="600"/>
            <w:tcBorders>
              <w:top w:val="single" w:color="B6B09F" w:sz="4"/>
              <w:left w:val="single" w:color="B6B09F" w:sz="4"/>
              <w:bottom w:val="single" w:color="B6B09F" w:sz="4"/>
              <w:right w:val="single" w:color="B6B09F" w:sz="4"/>
            </w:tcBorders>
            <w:shd w:fill="EAE4D5"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15</w:t>
            </w:r>
          </w:p>
        </w:tc>
        <w:tc>
          <w:tcPr>
            <w:tcW w:type="dxa" w:w="276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b/>
                <w:bCs/>
                <w:color w:val="000000"/>
                <w:sz w:val="20"/>
                <w:szCs w:val="20"/>
              </w:rPr>
              <w:t xml:space="preserve">ESG Governance &amp; Board Accountability</w:t>
            </w:r>
          </w:p>
        </w:tc>
        <w:tc>
          <w:tcPr>
            <w:tcW w:type="dxa" w:w="6000"/>
            <w:tcBorders>
              <w:top w:val="single" w:color="B6B09F" w:sz="4"/>
              <w:left w:val="single" w:color="B6B09F" w:sz="4"/>
              <w:bottom w:val="single" w:color="B6B09F" w:sz="4"/>
              <w:right w:val="single" w:color="B6B09F" w:sz="4"/>
            </w:tcBorders>
            <w:shd w:fill="EAE4D5" w:val="clear"/>
            <w:tcMar>
              <w:top w:type="dxa" w:w="100"/>
              <w:left w:type="dxa" w:w="140"/>
              <w:bottom w:type="dxa" w:w="100"/>
              <w:right w:type="dxa" w:w="140"/>
            </w:tcMar>
            <w:vAlign w:val="top"/>
          </w:tcPr>
          <w:p>
            <w:r>
              <w:rPr>
                <w:rFonts w:ascii="Arial" w:cs="Arial" w:eastAsia="Arial" w:hAnsi="Arial"/>
                <w:color w:val="000000"/>
                <w:sz w:val="20"/>
                <w:szCs w:val="20"/>
              </w:rPr>
              <w:t xml:space="preserve">Oversight structures for the 2045 net-zero commitment, climate risk integration into capital allocation, and emissions disclosure obligations.</w:t>
            </w:r>
          </w:p>
        </w:tc>
      </w:tr>
      <w:tr>
        <w:tc>
          <w:tcPr>
            <w:tcW w:type="dxa" w:w="600"/>
            <w:tcBorders>
              <w:top w:val="single" w:color="B6B09F" w:sz="4"/>
              <w:left w:val="single" w:color="B6B09F" w:sz="4"/>
              <w:bottom w:val="single" w:color="B6B09F" w:sz="4"/>
              <w:right w:val="single" w:color="B6B09F" w:sz="4"/>
            </w:tcBorders>
            <w:shd w:fill="F2F2F2" w:val="clear"/>
            <w:tcMar>
              <w:top w:type="dxa" w:w="100"/>
              <w:left w:type="dxa" w:w="100"/>
              <w:bottom w:type="dxa" w:w="100"/>
              <w:right w:type="dxa" w:w="100"/>
            </w:tcMar>
            <w:vAlign w:val="top"/>
          </w:tcPr>
          <w:p>
            <w:pPr>
              <w:jc w:val="center"/>
            </w:pPr>
            <w:r>
              <w:rPr>
                <w:rFonts w:ascii="Georgia" w:cs="Georgia" w:eastAsia="Georgia" w:hAnsi="Georgia"/>
                <w:b/>
                <w:bCs/>
                <w:color w:val="000000"/>
                <w:sz w:val="24"/>
                <w:szCs w:val="24"/>
              </w:rPr>
              <w:t xml:space="preserve">16</w:t>
            </w:r>
          </w:p>
        </w:tc>
        <w:tc>
          <w:tcPr>
            <w:tcW w:type="dxa" w:w="276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b/>
                <w:bCs/>
                <w:color w:val="000000"/>
                <w:sz w:val="20"/>
                <w:szCs w:val="20"/>
              </w:rPr>
              <w:t xml:space="preserve">Multi-Jurisdictional Regulatory Compliance &amp; Ethics</w:t>
            </w:r>
          </w:p>
        </w:tc>
        <w:tc>
          <w:tcPr>
            <w:tcW w:type="dxa" w:w="6000"/>
            <w:tcBorders>
              <w:top w:val="single" w:color="B6B09F" w:sz="4"/>
              <w:left w:val="single" w:color="B6B09F" w:sz="4"/>
              <w:bottom w:val="single" w:color="B6B09F" w:sz="4"/>
              <w:right w:val="single" w:color="B6B09F" w:sz="4"/>
            </w:tcBorders>
            <w:shd w:fill="F2F2F2" w:val="clear"/>
            <w:tcMar>
              <w:top w:type="dxa" w:w="100"/>
              <w:left w:type="dxa" w:w="140"/>
              <w:bottom w:type="dxa" w:w="100"/>
              <w:right w:type="dxa" w:w="140"/>
            </w:tcMar>
            <w:vAlign w:val="top"/>
          </w:tcPr>
          <w:p>
            <w:r>
              <w:rPr>
                <w:rFonts w:ascii="Arial" w:cs="Arial" w:eastAsia="Arial" w:hAnsi="Arial"/>
                <w:color w:val="000000"/>
                <w:sz w:val="20"/>
                <w:szCs w:val="20"/>
              </w:rPr>
              <w:t xml:space="preserve">Compliance management across EU (Wroclaw), China, India, Mexico, and Vietnam. Includes anti-corruption, CSRD readiness, and conflict minerals reporting.</w:t>
            </w:r>
          </w:p>
        </w:tc>
      </w:tr>
    </w:tbl>
    <w:p>
      <w:pPr>
        <w:spacing w:after="0" w:before="0"/>
      </w:pPr>
      <w:r>
        <w:rPr>
          <w:rFonts w:ascii="Arial" w:cs="Arial" w:eastAsia="Arial" w:hAnsi="Arial"/>
          <w:sz w:val="160"/>
          <w:szCs w:val="160"/>
        </w:rPr>
        <w:t xml:space="preserve"/>
      </w:r>
    </w:p>
    <w:p>
      <w:pPr>
        <w:spacing w:after="0" w:before="0"/>
      </w:pPr>
      <w:r>
        <w:rPr>
          <w:rFonts w:ascii="Arial" w:cs="Arial" w:eastAsia="Arial" w:hAnsi="Arial"/>
          <w:sz w:val="160"/>
          <w:szCs w:val="160"/>
        </w:rPr>
        <w:t xml:space="preserve"/>
      </w:r>
    </w:p>
    <w:p>
      <w:pPr>
        <w:pBdr>
          <w:top w:val="single" w:color="B6B09F" w:sz="4"/>
        </w:pBdr>
        <w:spacing w:after="80" w:before="480"/>
      </w:pPr>
      <w:r>
        <w:rPr>
          <w:rFonts w:ascii="Arial" w:cs="Arial" w:eastAsia="Arial" w:hAnsi="Arial"/>
          <w:sz w:val="18"/>
          <w:szCs w:val="18"/>
        </w:rPr>
        <w:t xml:space="preserve"/>
      </w:r>
    </w:p>
    <w:p>
      <w:pPr>
        <w:spacing w:after="0" w:before="0"/>
      </w:pPr>
      <w:r>
        <w:rPr>
          <w:rFonts w:ascii="Arial" w:cs="Arial" w:eastAsia="Arial" w:hAnsi="Arial"/>
          <w:color w:val="B6B09F"/>
          <w:sz w:val="18"/>
          <w:szCs w:val="18"/>
        </w:rPr>
        <w:t xml:space="preserve">The Corporate  |  Double Materiality Assessment 2025  |  16 Material Topics Identified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6B09F" w:sz="4"/>
      </w:pBdr>
      <w:tabs>
        <w:tab w:val="right" w:pos="9026"/>
      </w:tabs>
    </w:pPr>
    <w:r>
      <w:rPr>
        <w:rFonts w:ascii="Arial" w:cs="Arial" w:eastAsia="Arial" w:hAnsi="Arial"/>
        <w:color w:val="B6B09F"/>
        <w:sz w:val="16"/>
        <w:szCs w:val="16"/>
      </w:rPr>
      <w:t xml:space="preserve">Double Materiality Assessment  |  Confidential</w:t>
    </w:r>
    <w:r>
      <w:rPr>
        <w:rFonts w:ascii="Arial" w:cs="Arial" w:eastAsia="Arial" w:hAnsi="Arial"/>
        <w:sz w:val="16"/>
        <w:szCs w:val="16"/>
      </w:rPr>
      <w:t xml:space="preserve">	</w:t>
    </w:r>
    <w:r>
      <w:rPr>
        <w:rFonts w:ascii="Arial" w:cs="Arial" w:eastAsia="Arial" w:hAnsi="Arial"/>
        <w:color w:val="B6B09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B09F" w:sz="4"/>
      </w:pBdr>
      <w:tabs>
        <w:tab w:val="right" w:pos="9026"/>
      </w:tabs>
    </w:pPr>
    <w:r>
      <w:rPr>
        <w:rFonts w:ascii="Arial" w:cs="Arial" w:eastAsia="Arial" w:hAnsi="Arial"/>
        <w:color w:val="B6B09F"/>
        <w:spacing w:val="50"/>
        <w:sz w:val="16"/>
        <w:szCs w:val="16"/>
      </w:rPr>
      <w:t xml:space="preserve">THE CORPORATE</w:t>
    </w:r>
    <w:r>
      <w:rPr>
        <w:rFonts w:ascii="Arial" w:cs="Arial" w:eastAsia="Arial" w:hAnsi="Arial"/>
        <w:sz w:val="16"/>
        <w:szCs w:val="16"/>
      </w:rPr>
      <w:t xml:space="preserve">	</w:t>
    </w:r>
    <w:r>
      <w:rPr>
        <w:rFonts w:ascii="Arial" w:cs="Arial" w:eastAsia="Arial" w:hAnsi="Arial"/>
        <w:color w:val="B6B09F"/>
        <w:spacing w:val="40"/>
        <w:sz w:val="16"/>
        <w:szCs w:val="16"/>
      </w:rPr>
      <w:t xml:space="preserve">ESG MATERIAL TOPICS OF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2026-05-29T06:35:34.917Z</dcterms:created>
  <dcterms:modified xsi:type="dcterms:W3CDTF">2026-05-29T06:35:34.917Z</dcterms:modified>
</cp:coreProperties>
</file>

<file path=docProps/custom.xml><?xml version="1.0" encoding="utf-8"?>
<Properties xmlns="http://schemas.openxmlformats.org/officeDocument/2006/custom-properties" xmlns:vt="http://schemas.openxmlformats.org/officeDocument/2006/docPropsVTypes"/>
</file>