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000000"/>
          <w:sz w:val="28"/>
          <w:szCs w:val="28"/>
        </w:rPr>
        <w:t xml:space="preserve">[ C ]</w:t>
      </w:r>
      <w:r>
        <w:rPr>
          <w:rFonts w:ascii="Arial" w:cs="Arial" w:eastAsia="Arial" w:hAnsi="Arial"/>
          <w:b w:val="false"/>
          <w:bCs w:val="false"/>
          <w:color w:val="000000"/>
          <w:spacing w:val="50"/>
          <w:sz w:val="22"/>
          <w:szCs w:val="22"/>
        </w:rPr>
        <w:t xml:space="preserve">   THE CORPORATE</w:t>
      </w:r>
    </w:p>
    <w:p>
      <w:pPr>
        <w:pBdr>
          <w:bottom w:val="single" w:color="000000" w:sz="16"/>
        </w:pBdr>
        <w:spacing w:after="120" w:before="0"/>
      </w:pPr>
      <w:r>
        <w:rPr>
          <w:rFonts w:ascii="Arial" w:cs="Arial" w:eastAsia="Arial" w:hAnsi="Arial"/>
          <w:sz w:val="20"/>
          <w:szCs w:val="2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b/>
                <w:bCs/>
                <w:color w:val="B6B09F"/>
                <w:spacing w:val="40"/>
                <w:sz w:val="18"/>
                <w:szCs w:val="18"/>
              </w:rPr>
              <w:t xml:space="preserve">TO</w:t>
            </w:r>
          </w:p>
        </w:tc>
        <w:tc>
          <w:tcPr>
            <w:tcW w:type="dxa" w:w="796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color w:val="000000"/>
                <w:sz w:val="20"/>
                <w:szCs w:val="20"/>
              </w:rPr>
              <w:t xml:space="preserve">Double Materiality Working Group, Executive Leadership Team</w:t>
            </w:r>
          </w:p>
        </w:tc>
      </w:tr>
      <w:tr>
        <w:tc>
          <w:tcPr>
            <w:tcW w:type="dxa" w:w="140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b/>
                <w:bCs/>
                <w:color w:val="B6B09F"/>
                <w:spacing w:val="40"/>
                <w:sz w:val="18"/>
                <w:szCs w:val="18"/>
              </w:rPr>
              <w:t xml:space="preserve">FROM</w:t>
            </w:r>
          </w:p>
        </w:tc>
        <w:tc>
          <w:tcPr>
            <w:tcW w:type="dxa" w:w="796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color w:val="000000"/>
                <w:sz w:val="20"/>
                <w:szCs w:val="20"/>
              </w:rPr>
              <w:t xml:space="preserve">Sustainability Manager, The Corporate</w:t>
            </w:r>
          </w:p>
        </w:tc>
      </w:tr>
      <w:tr>
        <w:tc>
          <w:tcPr>
            <w:tcW w:type="dxa" w:w="140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b/>
                <w:bCs/>
                <w:color w:val="B6B09F"/>
                <w:spacing w:val="40"/>
                <w:sz w:val="18"/>
                <w:szCs w:val="18"/>
              </w:rPr>
              <w:t xml:space="preserve">DATE</w:t>
            </w:r>
          </w:p>
        </w:tc>
        <w:tc>
          <w:tcPr>
            <w:tcW w:type="dxa" w:w="796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color w:val="000000"/>
                <w:sz w:val="20"/>
                <w:szCs w:val="20"/>
              </w:rPr>
              <w:t xml:space="preserve">2 April 2026</w:t>
            </w:r>
          </w:p>
        </w:tc>
      </w:tr>
      <w:tr>
        <w:tc>
          <w:tcPr>
            <w:tcW w:type="dxa" w:w="140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b/>
                <w:bCs/>
                <w:color w:val="B6B09F"/>
                <w:spacing w:val="40"/>
                <w:sz w:val="18"/>
                <w:szCs w:val="18"/>
              </w:rPr>
              <w:t xml:space="preserve">SUBJECT</w:t>
            </w:r>
          </w:p>
        </w:tc>
        <w:tc>
          <w:tcPr>
            <w:tcW w:type="dxa" w:w="7960"/>
            <w:tcBorders>
              <w:top w:val="single" w:color="B6B09F" w:sz="4"/>
              <w:left w:val="single" w:color="B6B09F" w:sz="4"/>
              <w:bottom w:val="single" w:color="B6B09F" w:sz="4"/>
              <w:right w:val="single" w:color="B6B09F" w:sz="4"/>
            </w:tcBorders>
            <w:shd w:fill="F2F2F2" w:val="clear"/>
            <w:tcMar>
              <w:top w:type="dxa" w:w="80"/>
              <w:left w:type="dxa" w:w="140"/>
              <w:bottom w:type="dxa" w:w="80"/>
              <w:right w:type="dxa" w:w="140"/>
            </w:tcMar>
          </w:tcPr>
          <w:p>
            <w:r>
              <w:rPr>
                <w:rFonts w:ascii="Arial" w:cs="Arial" w:eastAsia="Arial" w:hAnsi="Arial"/>
                <w:color w:val="000000"/>
                <w:sz w:val="20"/>
                <w:szCs w:val="20"/>
              </w:rPr>
              <w:t xml:space="preserve">Stakeholder Engagement Logic and Project Timeline Approval</w:t>
            </w:r>
          </w:p>
        </w:tc>
      </w:tr>
    </w:tbl>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60" w:before="0"/>
      </w:pPr>
      <w:r>
        <w:rPr>
          <w:rFonts w:ascii="Arial" w:cs="Arial" w:eastAsia="Arial" w:hAnsi="Arial"/>
          <w:b w:val="false"/>
          <w:bCs w:val="false"/>
          <w:color w:val="B6B09F"/>
          <w:spacing w:val="50"/>
          <w:sz w:val="18"/>
          <w:szCs w:val="18"/>
        </w:rPr>
        <w:t xml:space="preserve">STAKEHOLDER ENGAGEMENT STRATEGY</w:t>
      </w:r>
    </w:p>
    <w:p>
      <w:pPr>
        <w:spacing w:after="0" w:before="0"/>
      </w:pPr>
      <w:r>
        <w:rPr>
          <w:rFonts w:ascii="Arial" w:cs="Arial" w:eastAsia="Arial" w:hAnsi="Arial"/>
          <w:sz w:val="160"/>
          <w:szCs w:val="160"/>
        </w:rPr>
        <w:t xml:space="preserve"/>
      </w:r>
    </w:p>
    <w:p>
      <w:pPr>
        <w:spacing w:after="0" w:before="0"/>
      </w:pPr>
      <w:r>
        <w:rPr>
          <w:rFonts w:ascii="Georgia" w:cs="Georgia" w:eastAsia="Georgia" w:hAnsi="Georgia"/>
          <w:b/>
          <w:bCs/>
          <w:color w:val="000000"/>
          <w:sz w:val="96"/>
          <w:szCs w:val="96"/>
        </w:rPr>
        <w:t xml:space="preserve">Data Architecture,</w:t>
      </w:r>
    </w:p>
    <w:p>
      <w:pPr>
        <w:spacing w:after="0" w:before="0"/>
      </w:pPr>
      <w:r>
        <w:rPr>
          <w:rFonts w:ascii="Georgia" w:cs="Georgia" w:eastAsia="Georgia" w:hAnsi="Georgia"/>
          <w:b w:val="false"/>
          <w:bCs w:val="false"/>
          <w:color w:val="000000"/>
          <w:sz w:val="96"/>
          <w:szCs w:val="96"/>
        </w:rPr>
        <w:t xml:space="preserve">Weighting Logic &amp;</w:t>
      </w:r>
    </w:p>
    <w:p>
      <w:pPr>
        <w:spacing w:after="480" w:before="0"/>
      </w:pPr>
      <w:r>
        <w:rPr>
          <w:rFonts w:ascii="Georgia" w:cs="Georgia" w:eastAsia="Georgia" w:hAnsi="Georgia"/>
          <w:b w:val="false"/>
          <w:bCs w:val="false"/>
          <w:color w:val="000000"/>
          <w:sz w:val="96"/>
          <w:szCs w:val="96"/>
        </w:rPr>
        <w:t xml:space="preserve">Project Timeline</w:t>
      </w:r>
    </w:p>
    <w:p>
      <w:pPr>
        <w:pBdr>
          <w:left w:val="single" w:color="000000" w:sz="16" w:space="8"/>
        </w:pBdr>
        <w:spacing w:after="0" w:before="0"/>
        <w:ind w:left="280"/>
      </w:pPr>
      <w:r>
        <w:rPr>
          <w:rFonts w:ascii="Arial" w:cs="Arial" w:eastAsia="Arial" w:hAnsi="Arial"/>
          <w:color w:val="000000"/>
          <w:sz w:val="22"/>
          <w:szCs w:val="22"/>
        </w:rPr>
        <w:t xml:space="preserve">Approved framework governing how materiality data is collected,</w:t>
      </w:r>
    </w:p>
    <w:p>
      <w:pPr>
        <w:pBdr>
          <w:left w:val="single" w:color="000000" w:sz="16" w:space="8"/>
        </w:pBdr>
        <w:spacing w:after="0" w:before="0"/>
        <w:ind w:left="280"/>
      </w:pPr>
      <w:r>
        <w:rPr>
          <w:rFonts w:ascii="Arial" w:cs="Arial" w:eastAsia="Arial" w:hAnsi="Arial"/>
          <w:color w:val="000000"/>
          <w:sz w:val="22"/>
          <w:szCs w:val="22"/>
        </w:rPr>
        <w:t xml:space="preserve">weighted, and delivered for The Corporate's 2025 ESG assessment.</w:t>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pBdr>
          <w:top w:val="single" w:color="B6B09F" w:sz="4"/>
        </w:pBdr>
        <w:spacing w:after="140" w:before="0"/>
      </w:pPr>
      <w:r>
        <w:rPr>
          <w:rFonts w:ascii="Arial" w:cs="Arial" w:eastAsia="Arial" w:hAnsi="Arial"/>
          <w:sz w:val="18"/>
          <w:szCs w:val="18"/>
        </w:rPr>
        <w:t xml:space="preserve"/>
      </w:r>
    </w:p>
    <w:p>
      <w:pPr>
        <w:tabs>
          <w:tab w:val="right" w:pos="9026"/>
        </w:tabs>
        <w:spacing w:after="80" w:before="0"/>
      </w:pPr>
      <w:r>
        <w:rPr>
          <w:rFonts w:ascii="Arial" w:cs="Arial" w:eastAsia="Arial" w:hAnsi="Arial"/>
          <w:color w:val="B6B09F"/>
          <w:spacing w:val="50"/>
          <w:sz w:val="16"/>
          <w:szCs w:val="16"/>
        </w:rPr>
        <w:t xml:space="preserve">APPROVED BY</w:t>
      </w:r>
      <w:r>
        <w:rPr>
          <w:rFonts w:ascii="Arial" w:cs="Arial" w:eastAsia="Arial" w:hAnsi="Arial"/>
          <w:sz w:val="16"/>
          <w:szCs w:val="16"/>
        </w:rPr>
        <w:t xml:space="preserve">	</w:t>
      </w:r>
      <w:r>
        <w:rPr>
          <w:rFonts w:ascii="Arial" w:cs="Arial" w:eastAsia="Arial" w:hAnsi="Arial"/>
          <w:color w:val="B6B09F"/>
          <w:spacing w:val="50"/>
          <w:sz w:val="16"/>
          <w:szCs w:val="16"/>
        </w:rPr>
        <w:t xml:space="preserve">STATUS</w:t>
      </w:r>
    </w:p>
    <w:p>
      <w:pPr>
        <w:tabs>
          <w:tab w:val="right" w:pos="9026"/>
        </w:tabs>
        <w:spacing w:after="0" w:before="0"/>
      </w:pPr>
      <w:r>
        <w:rPr>
          <w:rFonts w:ascii="Arial" w:cs="Arial" w:eastAsia="Arial" w:hAnsi="Arial"/>
          <w:color w:val="000000"/>
          <w:sz w:val="20"/>
          <w:szCs w:val="20"/>
        </w:rPr>
        <w:t xml:space="preserve">Double Materiality Working Group</w:t>
      </w:r>
      <w:r>
        <w:rPr>
          <w:rFonts w:ascii="Arial" w:cs="Arial" w:eastAsia="Arial" w:hAnsi="Arial"/>
          <w:sz w:val="20"/>
          <w:szCs w:val="20"/>
        </w:rPr>
        <w:t xml:space="preserve">	</w:t>
      </w:r>
      <w:r>
        <w:rPr>
          <w:rFonts w:ascii="Arial" w:cs="Arial" w:eastAsia="Arial" w:hAnsi="Arial"/>
          <w:color w:val="000000"/>
          <w:sz w:val="20"/>
          <w:szCs w:val="20"/>
        </w:rPr>
        <w:t xml:space="preserve">Approved  |  2 April 2026</w:t>
      </w:r>
    </w:p>
    <w:p>
      <w:pPr>
        <w:sectPr>
          <w:pgSz w:w="12240" w:h="15840" w:orient="portrait"/>
          <w:pgMar w:top="1440" w:right="1440" w:bottom="1440" w:left="1440" w:header="708" w:footer="708" w:gutter="0"/>
          <w:pgNumType/>
          <w:docGrid w:linePitch="360"/>
        </w:sectPr>
      </w:pPr>
    </w:p>
    <w:p>
      <w:pPr>
        <w:pBdr>
          <w:bottom w:val="single" w:color="B6B09F" w:sz="4"/>
        </w:pBdr>
        <w:spacing w:after="120" w:before="480"/>
      </w:pPr>
      <w:r>
        <w:rPr>
          <w:rFonts w:ascii="Georgia" w:cs="Georgia" w:eastAsia="Georgia" w:hAnsi="Georgia"/>
          <w:b w:val="false"/>
          <w:bCs w:val="false"/>
          <w:color w:val="000000"/>
          <w:sz w:val="48"/>
          <w:szCs w:val="48"/>
        </w:rPr>
        <w:t xml:space="preserve">Executive Summary</w:t>
      </w:r>
    </w:p>
    <w:p>
      <w:pPr>
        <w:spacing w:after="200" w:before="0"/>
      </w:pPr>
      <w:r>
        <w:rPr>
          <w:rFonts w:ascii="Arial" w:cs="Arial" w:eastAsia="Arial" w:hAnsi="Arial"/>
          <w:color w:val="000000"/>
          <w:sz w:val="22"/>
          <w:szCs w:val="22"/>
        </w:rPr>
        <w:t xml:space="preserve">The Double Materiality Working Group met to finalize the data collection architecture and project timeline for The Corporate's 2025 ESG assessment. To comply with evolving global reporting requirements, including CSRD readiness for the Wroclaw operations and supply chain diligence globally, the working group has approved a hybrid data architecture.</w:t>
      </w:r>
    </w:p>
    <w:p>
      <w:pPr>
        <w:spacing w:after="400" w:before="0"/>
      </w:pPr>
      <w:r>
        <w:rPr>
          <w:rFonts w:ascii="Arial" w:cs="Arial" w:eastAsia="Arial" w:hAnsi="Arial"/>
          <w:color w:val="000000"/>
          <w:sz w:val="22"/>
          <w:szCs w:val="22"/>
        </w:rPr>
        <w:t xml:space="preserve">This approach pairs high-volume quantitative collection with high-leverage qualitative engagement to build an auditable, balanced materiality matrix.</w:t>
      </w:r>
    </w:p>
    <w:p>
      <w:pPr>
        <w:pBdr>
          <w:bottom w:val="single" w:color="B6B09F" w:sz="4"/>
        </w:pBdr>
        <w:spacing w:after="120" w:before="480"/>
      </w:pPr>
      <w:r>
        <w:rPr>
          <w:rFonts w:ascii="Georgia" w:cs="Georgia" w:eastAsia="Georgia" w:hAnsi="Georgia"/>
          <w:b w:val="false"/>
          <w:bCs w:val="false"/>
          <w:color w:val="000000"/>
          <w:sz w:val="48"/>
          <w:szCs w:val="48"/>
        </w:rPr>
        <w:t xml:space="preserve">Approved Stakeholder Engagement Framework</w:t>
      </w:r>
    </w:p>
    <w:p>
      <w:pPr>
        <w:spacing w:after="200" w:before="0"/>
      </w:pPr>
      <w:r>
        <w:rPr>
          <w:rFonts w:ascii="Arial" w:cs="Arial" w:eastAsia="Arial" w:hAnsi="Arial"/>
          <w:color w:val="000000"/>
          <w:sz w:val="22"/>
          <w:szCs w:val="22"/>
        </w:rPr>
        <w:t xml:space="preserve">The working group finalized a bifurcated strategy. Generic automated surveys are not used for high-leverage external stakeholders. Anecdotal interviews are not used exclusively for the operational workforce. The architecture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380"/>
        <w:gridCol w:w="3380"/>
      </w:tblGrid>
      <w:tr>
        <w:trPr>
          <w:tblHeader/>
        </w:trPr>
        <w:tc>
          <w:tcPr>
            <w:tcW w:type="dxa" w:w="10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APPROACH</w:t>
            </w:r>
          </w:p>
        </w:tc>
        <w:tc>
          <w:tcPr>
            <w:tcW w:type="dxa" w:w="16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STAKEHOLDER GROUP</w:t>
            </w:r>
          </w:p>
        </w:tc>
        <w:tc>
          <w:tcPr>
            <w:tcW w:type="dxa" w:w="338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SAMPLE SIZE &amp; LOGISTICS</w:t>
            </w:r>
          </w:p>
        </w:tc>
        <w:tc>
          <w:tcPr>
            <w:tcW w:type="dxa" w:w="338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SCORING LOGIC / DATA PIPELINE</w:t>
            </w:r>
          </w:p>
        </w:tc>
      </w:tr>
      <w:tr>
        <w:tc>
          <w:tcPr>
            <w:tcW w:type="dxa" w:w="1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Quantitative</w:t>
            </w:r>
          </w:p>
        </w:tc>
        <w:tc>
          <w:tcPr>
            <w:tcW w:type="dxa" w:w="16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Employees</w:t>
            </w:r>
          </w:p>
        </w:tc>
        <w:tc>
          <w:tcPr>
            <w:tcW w:type="dxa" w:w="33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1,000 completed surveys via randomized, stratified selection across all 5 global manufacturing facilities.</w:t>
            </w:r>
          </w:p>
        </w:tc>
        <w:tc>
          <w:tcPr>
            <w:tcW w:type="dxa" w:w="33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Stratified Mean Formula: Blended average weighted by facility headcount to prevent Shenzhen (4,500 workers) from statistically erasing smaller sites.</w:t>
            </w:r>
          </w:p>
        </w:tc>
      </w:tr>
      <w:tr>
        <w:tc>
          <w:tcPr>
            <w:tcW w:type="dxa" w:w="1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Quantitative</w:t>
            </w:r>
          </w:p>
        </w:tc>
        <w:tc>
          <w:tcPr>
            <w:tcW w:type="dxa" w:w="1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Suppliers</w:t>
            </w:r>
          </w:p>
        </w:tc>
        <w:tc>
          <w:tcPr>
            <w:tcW w:type="dxa" w:w="33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50 key Tier-1 suppliers selected from an active database of 500+ vendors.</w:t>
            </w:r>
          </w:p>
        </w:tc>
        <w:tc>
          <w:tcPr>
            <w:tcW w:type="dxa" w:w="33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Risk &amp; Spend Weighted Formula: Inputs from high-impact raw material providers (Lithium, Cobalt, Aluminum) carry higher mathematical weight due to Scope 3 disruption risk.</w:t>
            </w:r>
          </w:p>
        </w:tc>
      </w:tr>
      <w:tr>
        <w:tc>
          <w:tcPr>
            <w:tcW w:type="dxa" w:w="1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Qualitative</w:t>
            </w:r>
          </w:p>
        </w:tc>
        <w:tc>
          <w:tcPr>
            <w:tcW w:type="dxa" w:w="16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Investors</w:t>
            </w:r>
          </w:p>
        </w:tc>
        <w:tc>
          <w:tcPr>
            <w:tcW w:type="dxa" w:w="33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5 in-depth interviews targeting top-tier institutional investors by asset size and holdings.</w:t>
            </w:r>
          </w:p>
        </w:tc>
        <w:tc>
          <w:tcPr>
            <w:tcW w:type="dxa" w:w="33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Scoring Decision Rubric: Transcripts translated into 1-5 coordinates using standardized operational and financial risk definitions.</w:t>
            </w:r>
          </w:p>
        </w:tc>
      </w:tr>
      <w:tr>
        <w:tc>
          <w:tcPr>
            <w:tcW w:type="dxa" w:w="1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Qualitative</w:t>
            </w:r>
          </w:p>
        </w:tc>
        <w:tc>
          <w:tcPr>
            <w:tcW w:type="dxa" w:w="1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Customers</w:t>
            </w:r>
          </w:p>
        </w:tc>
        <w:tc>
          <w:tcPr>
            <w:tcW w:type="dxa" w:w="33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15 structured interviews with major global B2B OEMs across Europe, APAC, and the Americas.</w:t>
            </w:r>
          </w:p>
        </w:tc>
        <w:tc>
          <w:tcPr>
            <w:tcW w:type="dxa" w:w="33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Revenue-Impact Rubric: Feedback converted to numeric scores weighted against account revenue and future contract renewals.</w:t>
            </w:r>
          </w:p>
        </w:tc>
      </w:tr>
    </w:tbl>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12"/>
              <w:bottom w:val="none"/>
              <w:right w:val="none"/>
            </w:tcBorders>
            <w:shd w:fill="EAE4D5" w:val="clear"/>
            <w:tcMar>
              <w:top w:type="dxa" w:w="120"/>
              <w:left w:type="dxa" w:w="200"/>
              <w:bottom w:type="dxa" w:w="120"/>
              <w:right w:type="dxa" w:w="200"/>
            </w:tcMar>
          </w:tcPr>
          <w:p>
            <w:r>
              <w:rPr>
                <w:rFonts w:ascii="Arial" w:cs="Arial" w:eastAsia="Arial" w:hAnsi="Arial"/>
                <w:i/>
                <w:iCs/>
                <w:color w:val="000000"/>
                <w:sz w:val="20"/>
                <w:szCs w:val="20"/>
              </w:rPr>
              <w:t xml:space="preserve">Key Alignment Note: Quantitative surveys provide statistical breadth to defend internal operational scores. Qualitative interviews provide the strategic depth required by the board. The clean divide protects data integrity.</w:t>
            </w:r>
          </w:p>
        </w:tc>
      </w:tr>
    </w:tbl>
    <w:p>
      <w:pPr>
        <w:spacing w:after="0" w:before="0"/>
      </w:pPr>
      <w:r>
        <w:rPr>
          <w:rFonts w:ascii="Arial" w:cs="Arial" w:eastAsia="Arial" w:hAnsi="Arial"/>
          <w:sz w:val="160"/>
          <w:szCs w:val="160"/>
        </w:rPr>
        <w:t xml:space="preserve"/>
      </w:r>
    </w:p>
    <w:p>
      <w:pPr>
        <w:pBdr>
          <w:bottom w:val="single" w:color="B6B09F" w:sz="4"/>
        </w:pBdr>
        <w:spacing w:after="120" w:before="480"/>
      </w:pPr>
      <w:r>
        <w:rPr>
          <w:rFonts w:ascii="Georgia" w:cs="Georgia" w:eastAsia="Georgia" w:hAnsi="Georgia"/>
          <w:b w:val="false"/>
          <w:bCs w:val="false"/>
          <w:color w:val="000000"/>
          <w:sz w:val="48"/>
          <w:szCs w:val="48"/>
        </w:rPr>
        <w:t xml:space="preserve">Cross-Stakeholder Weighting Scheme</w:t>
      </w:r>
    </w:p>
    <w:p>
      <w:pPr>
        <w:spacing w:after="200" w:before="0"/>
      </w:pPr>
      <w:r>
        <w:rPr>
          <w:rFonts w:ascii="Arial" w:cs="Arial" w:eastAsia="Arial" w:hAnsi="Arial"/>
          <w:color w:val="000000"/>
          <w:sz w:val="22"/>
          <w:szCs w:val="22"/>
        </w:rPr>
        <w:t xml:space="preserve">To produce a single blended score per topic across all 4 stakeholder groups, the working group approved equal-weight distribution. Each group contributes 25% of the final aggregated score on both the Financial Risk and Impact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STAKEHOLDER GROUP</w:t>
            </w:r>
          </w:p>
        </w:tc>
        <w:tc>
          <w:tcPr>
            <w:tcW w:type="dxa" w:w="36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WEIGHT</w:t>
            </w:r>
          </w:p>
        </w:tc>
      </w:tr>
      <w:tr>
        <w:tc>
          <w:tcPr>
            <w:tcW w:type="dxa" w:w="5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tcPr>
          <w:p>
            <w:r>
              <w:rPr>
                <w:rFonts w:ascii="Arial" w:cs="Arial" w:eastAsia="Arial" w:hAnsi="Arial"/>
                <w:color w:val="000000"/>
                <w:sz w:val="20"/>
                <w:szCs w:val="20"/>
              </w:rPr>
              <w:t xml:space="preserve">Employees</w:t>
            </w:r>
          </w:p>
        </w:tc>
        <w:tc>
          <w:tcPr>
            <w:tcW w:type="dxa" w:w="36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tcPr>
          <w:p>
            <w:r>
              <w:rPr>
                <w:rFonts w:ascii="Arial" w:cs="Arial" w:eastAsia="Arial" w:hAnsi="Arial"/>
                <w:color w:val="000000"/>
                <w:sz w:val="20"/>
                <w:szCs w:val="20"/>
              </w:rPr>
              <w:t xml:space="preserve">25%</w:t>
            </w:r>
          </w:p>
        </w:tc>
      </w:tr>
      <w:tr>
        <w:tc>
          <w:tcPr>
            <w:tcW w:type="dxa" w:w="5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tcPr>
          <w:p>
            <w:r>
              <w:rPr>
                <w:rFonts w:ascii="Arial" w:cs="Arial" w:eastAsia="Arial" w:hAnsi="Arial"/>
                <w:color w:val="000000"/>
                <w:sz w:val="20"/>
                <w:szCs w:val="20"/>
              </w:rPr>
              <w:t xml:space="preserve">Suppliers</w:t>
            </w:r>
          </w:p>
        </w:tc>
        <w:tc>
          <w:tcPr>
            <w:tcW w:type="dxa" w:w="3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tcPr>
          <w:p>
            <w:r>
              <w:rPr>
                <w:rFonts w:ascii="Arial" w:cs="Arial" w:eastAsia="Arial" w:hAnsi="Arial"/>
                <w:color w:val="000000"/>
                <w:sz w:val="20"/>
                <w:szCs w:val="20"/>
              </w:rPr>
              <w:t xml:space="preserve">25%</w:t>
            </w:r>
          </w:p>
        </w:tc>
      </w:tr>
      <w:tr>
        <w:tc>
          <w:tcPr>
            <w:tcW w:type="dxa" w:w="5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tcPr>
          <w:p>
            <w:r>
              <w:rPr>
                <w:rFonts w:ascii="Arial" w:cs="Arial" w:eastAsia="Arial" w:hAnsi="Arial"/>
                <w:color w:val="000000"/>
                <w:sz w:val="20"/>
                <w:szCs w:val="20"/>
              </w:rPr>
              <w:t xml:space="preserve">Investors</w:t>
            </w:r>
          </w:p>
        </w:tc>
        <w:tc>
          <w:tcPr>
            <w:tcW w:type="dxa" w:w="36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tcPr>
          <w:p>
            <w:r>
              <w:rPr>
                <w:rFonts w:ascii="Arial" w:cs="Arial" w:eastAsia="Arial" w:hAnsi="Arial"/>
                <w:color w:val="000000"/>
                <w:sz w:val="20"/>
                <w:szCs w:val="20"/>
              </w:rPr>
              <w:t xml:space="preserve">25%</w:t>
            </w:r>
          </w:p>
        </w:tc>
      </w:tr>
      <w:tr>
        <w:tc>
          <w:tcPr>
            <w:tcW w:type="dxa" w:w="5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tcPr>
          <w:p>
            <w:r>
              <w:rPr>
                <w:rFonts w:ascii="Arial" w:cs="Arial" w:eastAsia="Arial" w:hAnsi="Arial"/>
                <w:color w:val="000000"/>
                <w:sz w:val="20"/>
                <w:szCs w:val="20"/>
              </w:rPr>
              <w:t xml:space="preserve">Customers</w:t>
            </w:r>
          </w:p>
        </w:tc>
        <w:tc>
          <w:tcPr>
            <w:tcW w:type="dxa" w:w="3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tcPr>
          <w:p>
            <w:r>
              <w:rPr>
                <w:rFonts w:ascii="Arial" w:cs="Arial" w:eastAsia="Arial" w:hAnsi="Arial"/>
                <w:color w:val="000000"/>
                <w:sz w:val="20"/>
                <w:szCs w:val="20"/>
              </w:rPr>
              <w:t xml:space="preserve">25%</w:t>
            </w:r>
          </w:p>
        </w:tc>
      </w:tr>
      <w:tr>
        <w:tc>
          <w:tcPr>
            <w:tcW w:type="dxa" w:w="5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tcPr>
          <w:p>
            <w:r>
              <w:rPr>
                <w:rFonts w:ascii="Arial" w:cs="Arial" w:eastAsia="Arial" w:hAnsi="Arial"/>
                <w:b/>
                <w:bCs/>
                <w:color w:val="000000"/>
                <w:sz w:val="20"/>
                <w:szCs w:val="20"/>
              </w:rPr>
              <w:t xml:space="preserve">Total</w:t>
            </w:r>
          </w:p>
        </w:tc>
        <w:tc>
          <w:tcPr>
            <w:tcW w:type="dxa" w:w="3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tcPr>
          <w:p>
            <w:r>
              <w:rPr>
                <w:rFonts w:ascii="Arial" w:cs="Arial" w:eastAsia="Arial" w:hAnsi="Arial"/>
                <w:b/>
                <w:bCs/>
                <w:color w:val="000000"/>
                <w:sz w:val="20"/>
                <w:szCs w:val="20"/>
              </w:rPr>
              <w:t xml:space="preserve">100%</w:t>
            </w:r>
          </w:p>
        </w:tc>
      </w:tr>
    </w:tbl>
    <w:p>
      <w:pPr>
        <w:spacing w:after="0" w:before="0"/>
      </w:pPr>
      <w:r>
        <w:rPr>
          <w:rFonts w:ascii="Arial" w:cs="Arial" w:eastAsia="Arial" w:hAnsi="Arial"/>
          <w:sz w:val="160"/>
          <w:szCs w:val="160"/>
        </w:rPr>
        <w:t xml:space="preserve"/>
      </w:r>
    </w:p>
    <w:p>
      <w:pPr>
        <w:spacing w:after="200" w:before="0"/>
      </w:pPr>
      <w:r>
        <w:rPr>
          <w:rFonts w:ascii="Arial" w:cs="Arial" w:eastAsia="Arial" w:hAnsi="Arial"/>
          <w:color w:val="000000"/>
          <w:sz w:val="22"/>
          <w:szCs w:val="22"/>
        </w:rPr>
        <w:t xml:space="preserve">Rationale: Equal weighting ensures no single stakeholder perspective dominates. This approach is auditable, transparent, and defensible for CSRD reporting. Weighting may be revisited in future assessment cycles.</w:t>
      </w:r>
    </w:p>
    <w:p>
      <w:pPr>
        <w:spacing w:after="100" w:before="0"/>
      </w:pPr>
      <w:r>
        <w:rPr>
          <w:rFonts w:ascii="Arial" w:cs="Arial" w:eastAsia="Arial" w:hAnsi="Arial"/>
          <w:color w:val="000000"/>
          <w:sz w:val="22"/>
          <w:szCs w:val="22"/>
        </w:rPr>
        <w:t xml:space="preserve">Formula applied to both axes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12"/>
              <w:bottom w:val="none"/>
              <w:right w:val="none"/>
            </w:tcBorders>
            <w:shd w:fill="EAE4D5" w:val="clear"/>
            <w:tcMar>
              <w:top w:type="dxa" w:w="120"/>
              <w:left w:type="dxa" w:w="200"/>
              <w:bottom w:type="dxa" w:w="120"/>
              <w:right w:type="dxa" w:w="200"/>
            </w:tcMar>
          </w:tcPr>
          <w:p>
            <w:r>
              <w:rPr>
                <w:rFonts w:ascii="Arial" w:cs="Arial" w:eastAsia="Arial" w:hAnsi="Arial"/>
                <w:i/>
                <w:iCs/>
                <w:color w:val="000000"/>
                <w:sz w:val="20"/>
                <w:szCs w:val="20"/>
              </w:rPr>
              <w:t xml:space="preserve">Final Score = (Employee Score x 0.25) + (Supplier Score x 0.25) + (Investor Score x 0.25) + (Customer Score x 0.25)</w:t>
            </w:r>
          </w:p>
        </w:tc>
      </w:tr>
    </w:tbl>
    <w:p>
      <w:pPr>
        <w:spacing w:after="0" w:before="0"/>
      </w:pPr>
      <w:r>
        <w:rPr>
          <w:rFonts w:ascii="Arial" w:cs="Arial" w:eastAsia="Arial" w:hAnsi="Arial"/>
          <w:sz w:val="160"/>
          <w:szCs w:val="160"/>
        </w:rPr>
        <w:t xml:space="preserve"/>
      </w:r>
    </w:p>
    <w:p>
      <w:r>
        <w:br w:type="page"/>
      </w:r>
    </w:p>
    <w:p>
      <w:pPr>
        <w:pBdr>
          <w:bottom w:val="single" w:color="B6B09F" w:sz="4"/>
        </w:pBdr>
        <w:spacing w:after="120" w:before="480"/>
      </w:pPr>
      <w:r>
        <w:rPr>
          <w:rFonts w:ascii="Georgia" w:cs="Georgia" w:eastAsia="Georgia" w:hAnsi="Georgia"/>
          <w:b w:val="false"/>
          <w:bCs w:val="false"/>
          <w:color w:val="000000"/>
          <w:sz w:val="48"/>
          <w:szCs w:val="48"/>
        </w:rPr>
        <w:t xml:space="preserve">Materiality Threshold Definitions</w:t>
      </w:r>
    </w:p>
    <w:p>
      <w:pPr>
        <w:spacing w:after="200" w:before="0"/>
      </w:pPr>
      <w:r>
        <w:rPr>
          <w:rFonts w:ascii="Arial" w:cs="Arial" w:eastAsia="Arial" w:hAnsi="Arial"/>
          <w:color w:val="000000"/>
          <w:sz w:val="22"/>
          <w:szCs w:val="22"/>
        </w:rPr>
        <w:t xml:space="preserve">The following thresholds govern which topics are classified as material and require disclosure. Thresholds apply to final blended scores on a 1.0 to 5.0 scale across both axes.</w:t>
      </w:r>
    </w:p>
    <w:p>
      <w:pPr>
        <w:spacing w:after="200" w:before="0"/>
      </w:pPr>
      <w:r>
        <w:rPr>
          <w:rFonts w:ascii="Arial" w:cs="Arial" w:eastAsia="Arial" w:hAnsi="Arial"/>
          <w:color w:val="000000"/>
          <w:sz w:val="22"/>
          <w:szCs w:val="22"/>
        </w:rPr>
        <w:t xml:space="preserve">Priority Rule: Classifications are evaluated top-down. The highest matching classification always applies. A strong score on one axis cannot be overridden by a weak score on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rPr>
          <w:tblHeader/>
        </w:trPr>
        <w:tc>
          <w:tcPr>
            <w:tcW w:type="dxa" w:w="16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CLASSIFICATION</w:t>
            </w:r>
          </w:p>
        </w:tc>
        <w:tc>
          <w:tcPr>
            <w:tcW w:type="dxa" w:w="428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THRESHOLD CRITERIA</w:t>
            </w:r>
          </w:p>
        </w:tc>
        <w:tc>
          <w:tcPr>
            <w:tcW w:type="dxa" w:w="348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DISCLOSURE OBLIGATION</w:t>
            </w:r>
          </w:p>
        </w:tc>
      </w:tr>
      <w:tr>
        <w:tc>
          <w:tcPr>
            <w:tcW w:type="dxa" w:w="16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Highly Material</w:t>
            </w:r>
          </w:p>
        </w:tc>
        <w:tc>
          <w:tcPr>
            <w:tcW w:type="dxa" w:w="42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3.5 or above on BOTH Financial Risk AND Impact axes.</w:t>
            </w:r>
          </w:p>
        </w:tc>
        <w:tc>
          <w:tcPr>
            <w:tcW w:type="dxa" w:w="34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Mandatory disclosure with full narrative, targets, and performance data.</w:t>
            </w:r>
          </w:p>
        </w:tc>
      </w:tr>
      <w:tr>
        <w:tc>
          <w:tcPr>
            <w:tcW w:type="dxa" w:w="1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Material</w:t>
            </w:r>
          </w:p>
        </w:tc>
        <w:tc>
          <w:tcPr>
            <w:tcW w:type="dxa" w:w="42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3.0 or above on EITHER Financial Risk OR Impact axis, and does not qualify as Highly Material.</w:t>
            </w:r>
          </w:p>
        </w:tc>
        <w:tc>
          <w:tcPr>
            <w:tcW w:type="dxa" w:w="34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Mandatory disclosure required.</w:t>
            </w:r>
          </w:p>
        </w:tc>
      </w:tr>
      <w:tr>
        <w:tc>
          <w:tcPr>
            <w:tcW w:type="dxa" w:w="16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Watch List</w:t>
            </w:r>
          </w:p>
        </w:tc>
        <w:tc>
          <w:tcPr>
            <w:tcW w:type="dxa" w:w="42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At least one axis scores 2.0-2.9, and neither axis reaches 3.0.</w:t>
            </w:r>
          </w:p>
        </w:tc>
        <w:tc>
          <w:tcPr>
            <w:tcW w:type="dxa" w:w="348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Monitored and documented. Not required for current reporting cycle.</w:t>
            </w:r>
          </w:p>
        </w:tc>
      </w:tr>
      <w:tr>
        <w:tc>
          <w:tcPr>
            <w:tcW w:type="dxa" w:w="16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Not Material</w:t>
            </w:r>
          </w:p>
        </w:tc>
        <w:tc>
          <w:tcPr>
            <w:tcW w:type="dxa" w:w="42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Both axes score below 2.0.</w:t>
            </w:r>
          </w:p>
        </w:tc>
        <w:tc>
          <w:tcPr>
            <w:tcW w:type="dxa" w:w="348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Excluded from disclosure scope.</w:t>
            </w:r>
          </w:p>
        </w:tc>
      </w:tr>
    </w:tbl>
    <w:p>
      <w:pPr>
        <w:spacing w:after="0" w:before="0"/>
      </w:pPr>
      <w:r>
        <w:rPr>
          <w:rFonts w:ascii="Arial" w:cs="Arial" w:eastAsia="Arial" w:hAnsi="Arial"/>
          <w:sz w:val="160"/>
          <w:szCs w:val="160"/>
        </w:rPr>
        <w:t xml:space="preserve"/>
      </w:r>
    </w:p>
    <w:p>
      <w:pPr>
        <w:spacing w:after="400" w:before="0"/>
      </w:pPr>
      <w:r>
        <w:rPr>
          <w:rFonts w:ascii="Arial" w:cs="Arial" w:eastAsia="Arial" w:hAnsi="Arial"/>
          <w:color w:val="000000"/>
          <w:sz w:val="22"/>
          <w:szCs w:val="22"/>
        </w:rPr>
        <w:t xml:space="preserve">Worked example: A topic scoring 3.3 on Financial Risk and 2.5 on Impact is classified as Material. The Financial Risk axis clears the 3.0 threshold, which is sufficient. The 2.5 Impact score falls in the Watch List range but does not apply because the priority rule assigns the highest matching classification.</w:t>
      </w:r>
    </w:p>
    <w:p>
      <w:pPr>
        <w:pBdr>
          <w:bottom w:val="single" w:color="B6B09F" w:sz="4"/>
        </w:pBdr>
        <w:spacing w:after="120" w:before="480"/>
      </w:pPr>
      <w:r>
        <w:rPr>
          <w:rFonts w:ascii="Georgia" w:cs="Georgia" w:eastAsia="Georgia" w:hAnsi="Georgia"/>
          <w:b w:val="false"/>
          <w:bCs w:val="false"/>
          <w:color w:val="000000"/>
          <w:sz w:val="48"/>
          <w:szCs w:val="48"/>
        </w:rPr>
        <w:t xml:space="preserve">Approved Project Timeline &amp; Milestones</w:t>
      </w:r>
    </w:p>
    <w:p>
      <w:pPr>
        <w:spacing w:after="200" w:before="0"/>
      </w:pPr>
      <w:r>
        <w:rPr>
          <w:rFonts w:ascii="Arial" w:cs="Arial" w:eastAsia="Arial" w:hAnsi="Arial"/>
          <w:color w:val="000000"/>
          <w:sz w:val="22"/>
          <w:szCs w:val="22"/>
        </w:rPr>
        <w:t xml:space="preserve">The working group locked a strict 4-month roadmap to ensure final materiality scores are integrated into upcoming corporate strategy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0000" w:sz="4"/>
              <w:left w:val="single" w:color="000000" w:sz="4"/>
              <w:bottom w:val="single" w:color="000000" w:sz="4"/>
              <w:right w:val="single" w:color="000000" w:sz="4"/>
            </w:tcBorders>
            <w:shd w:fill="000000" w:val="clear"/>
            <w:tcMar>
              <w:top w:type="dxa" w:w="100"/>
              <w:left w:type="dxa" w:w="120"/>
              <w:bottom w:type="dxa" w:w="100"/>
              <w:right w:type="dxa" w:w="120"/>
            </w:tcMar>
            <w:vAlign w:val="top"/>
          </w:tcPr>
          <w:p>
            <w:r>
              <w:rPr>
                <w:rFonts w:ascii="Arial" w:cs="Arial" w:eastAsia="Arial" w:hAnsi="Arial"/>
                <w:b/>
                <w:bCs/>
                <w:color w:val="F2F2F2"/>
                <w:spacing w:val="30"/>
                <w:sz w:val="18"/>
                <w:szCs w:val="18"/>
              </w:rPr>
              <w:t xml:space="preserve">APRIL BLOCK</w:t>
            </w:r>
          </w:p>
        </w:tc>
        <w:tc>
          <w:tcPr>
            <w:tcW w:type="dxa" w:w="7960"/>
            <w:tcBorders>
              <w:top w:val="single" w:color="B6B09F" w:sz="4"/>
              <w:left w:val="single" w:color="B6B09F" w:sz="4"/>
              <w:bottom w:val="single" w:color="B6B09F" w:sz="4"/>
              <w:right w:val="single" w:color="B6B09F" w:sz="4"/>
            </w:tcBorders>
            <w:shd w:fill="EAE4D5" w:val="clear"/>
            <w:tcMar>
              <w:top w:type="dxa" w:w="100"/>
              <w:left w:type="dxa" w:w="160"/>
              <w:bottom w:type="dxa" w:w="100"/>
              <w:right w:type="dxa" w:w="160"/>
            </w:tcMar>
            <w:vAlign w:val="top"/>
          </w:tcPr>
          <w:p>
            <w:r>
              <w:rPr>
                <w:rFonts w:ascii="Arial" w:cs="Arial" w:eastAsia="Arial" w:hAnsi="Arial"/>
                <w:color w:val="000000"/>
                <w:sz w:val="20"/>
                <w:szCs w:val="20"/>
              </w:rPr>
              <w:t xml:space="preserve">Launch. Distribute digital questionnaires to employee portals and supplier compliance tracks. Begin outreach and scheduling for 20 qualitative interview slots (Investors and Customers).</w:t>
            </w:r>
          </w:p>
        </w:tc>
      </w:tr>
    </w:tbl>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0000" w:sz="4"/>
              <w:left w:val="single" w:color="000000" w:sz="4"/>
              <w:bottom w:val="single" w:color="000000" w:sz="4"/>
              <w:right w:val="single" w:color="000000" w:sz="4"/>
            </w:tcBorders>
            <w:shd w:fill="000000" w:val="clear"/>
            <w:tcMar>
              <w:top w:type="dxa" w:w="100"/>
              <w:left w:type="dxa" w:w="120"/>
              <w:bottom w:type="dxa" w:w="100"/>
              <w:right w:type="dxa" w:w="120"/>
            </w:tcMar>
            <w:vAlign w:val="top"/>
          </w:tcPr>
          <w:p>
            <w:r>
              <w:rPr>
                <w:rFonts w:ascii="Arial" w:cs="Arial" w:eastAsia="Arial" w:hAnsi="Arial"/>
                <w:b/>
                <w:bCs/>
                <w:color w:val="F2F2F2"/>
                <w:spacing w:val="30"/>
                <w:sz w:val="18"/>
                <w:szCs w:val="18"/>
              </w:rPr>
              <w:t xml:space="preserve">MAY BLOCK</w:t>
            </w:r>
          </w:p>
        </w:tc>
        <w:tc>
          <w:tcPr>
            <w:tcW w:type="dxa" w:w="7960"/>
            <w:tcBorders>
              <w:top w:val="single" w:color="B6B09F" w:sz="4"/>
              <w:left w:val="single" w:color="B6B09F" w:sz="4"/>
              <w:bottom w:val="single" w:color="B6B09F" w:sz="4"/>
              <w:right w:val="single" w:color="B6B09F" w:sz="4"/>
            </w:tcBorders>
            <w:shd w:fill="EAE4D5" w:val="clear"/>
            <w:tcMar>
              <w:top w:type="dxa" w:w="100"/>
              <w:left w:type="dxa" w:w="160"/>
              <w:bottom w:type="dxa" w:w="100"/>
              <w:right w:type="dxa" w:w="160"/>
            </w:tcMar>
            <w:vAlign w:val="top"/>
          </w:tcPr>
          <w:p>
            <w:r>
              <w:rPr>
                <w:rFonts w:ascii="Arial" w:cs="Arial" w:eastAsia="Arial" w:hAnsi="Arial"/>
                <w:color w:val="000000"/>
                <w:sz w:val="20"/>
                <w:szCs w:val="20"/>
              </w:rPr>
              <w:t xml:space="preserve">Continuous Data Collection. All survey links active. Interviews conducted throughout April and May. Hard deadline for all stakeholder feedback: 31 May 2026.</w:t>
            </w:r>
          </w:p>
        </w:tc>
      </w:tr>
    </w:tbl>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0000" w:sz="4"/>
              <w:left w:val="single" w:color="000000" w:sz="4"/>
              <w:bottom w:val="single" w:color="000000" w:sz="4"/>
              <w:right w:val="single" w:color="000000" w:sz="4"/>
            </w:tcBorders>
            <w:shd w:fill="000000" w:val="clear"/>
            <w:tcMar>
              <w:top w:type="dxa" w:w="100"/>
              <w:left w:type="dxa" w:w="120"/>
              <w:bottom w:type="dxa" w:w="100"/>
              <w:right w:type="dxa" w:w="120"/>
            </w:tcMar>
            <w:vAlign w:val="top"/>
          </w:tcPr>
          <w:p>
            <w:r>
              <w:rPr>
                <w:rFonts w:ascii="Arial" w:cs="Arial" w:eastAsia="Arial" w:hAnsi="Arial"/>
                <w:b/>
                <w:bCs/>
                <w:color w:val="F2F2F2"/>
                <w:spacing w:val="30"/>
                <w:sz w:val="18"/>
                <w:szCs w:val="18"/>
              </w:rPr>
              <w:t xml:space="preserve">JUNE BLOCK</w:t>
            </w:r>
          </w:p>
        </w:tc>
        <w:tc>
          <w:tcPr>
            <w:tcW w:type="dxa" w:w="7960"/>
            <w:tcBorders>
              <w:top w:val="single" w:color="B6B09F" w:sz="4"/>
              <w:left w:val="single" w:color="B6B09F" w:sz="4"/>
              <w:bottom w:val="single" w:color="B6B09F" w:sz="4"/>
              <w:right w:val="single" w:color="B6B09F" w:sz="4"/>
            </w:tcBorders>
            <w:shd w:fill="EAE4D5" w:val="clear"/>
            <w:tcMar>
              <w:top w:type="dxa" w:w="100"/>
              <w:left w:type="dxa" w:w="160"/>
              <w:bottom w:type="dxa" w:w="100"/>
              <w:right w:type="dxa" w:w="160"/>
            </w:tcMar>
            <w:vAlign w:val="top"/>
          </w:tcPr>
          <w:p>
            <w:r>
              <w:rPr>
                <w:rFonts w:ascii="Arial" w:cs="Arial" w:eastAsia="Arial" w:hAnsi="Arial"/>
                <w:color w:val="000000"/>
                <w:sz w:val="20"/>
                <w:szCs w:val="20"/>
              </w:rPr>
              <w:t xml:space="preserve">Evaluation. Feedback window closes. Begin data cleansing, incomplete entry removal, and qualitative transcript coding against approved scoring rubrics.</w:t>
            </w:r>
          </w:p>
        </w:tc>
      </w:tr>
    </w:tbl>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0000" w:sz="4"/>
              <w:left w:val="single" w:color="000000" w:sz="4"/>
              <w:bottom w:val="single" w:color="000000" w:sz="4"/>
              <w:right w:val="single" w:color="000000" w:sz="4"/>
            </w:tcBorders>
            <w:shd w:fill="000000" w:val="clear"/>
            <w:tcMar>
              <w:top w:type="dxa" w:w="100"/>
              <w:left w:type="dxa" w:w="120"/>
              <w:bottom w:type="dxa" w:w="100"/>
              <w:right w:type="dxa" w:w="120"/>
            </w:tcMar>
            <w:vAlign w:val="top"/>
          </w:tcPr>
          <w:p>
            <w:r>
              <w:rPr>
                <w:rFonts w:ascii="Arial" w:cs="Arial" w:eastAsia="Arial" w:hAnsi="Arial"/>
                <w:b/>
                <w:bCs/>
                <w:color w:val="F2F2F2"/>
                <w:spacing w:val="30"/>
                <w:sz w:val="18"/>
                <w:szCs w:val="18"/>
              </w:rPr>
              <w:t xml:space="preserve">JULY BLOCK</w:t>
            </w:r>
          </w:p>
        </w:tc>
        <w:tc>
          <w:tcPr>
            <w:tcW w:type="dxa" w:w="7960"/>
            <w:tcBorders>
              <w:top w:val="single" w:color="B6B09F" w:sz="4"/>
              <w:left w:val="single" w:color="B6B09F" w:sz="4"/>
              <w:bottom w:val="single" w:color="B6B09F" w:sz="4"/>
              <w:right w:val="single" w:color="B6B09F" w:sz="4"/>
            </w:tcBorders>
            <w:shd w:fill="EAE4D5" w:val="clear"/>
            <w:tcMar>
              <w:top w:type="dxa" w:w="100"/>
              <w:left w:type="dxa" w:w="160"/>
              <w:bottom w:type="dxa" w:w="100"/>
              <w:right w:type="dxa" w:w="160"/>
            </w:tcMar>
            <w:vAlign w:val="top"/>
          </w:tcPr>
          <w:p>
            <w:r>
              <w:rPr>
                <w:rFonts w:ascii="Arial" w:cs="Arial" w:eastAsia="Arial" w:hAnsi="Arial"/>
                <w:color w:val="000000"/>
                <w:sz w:val="20"/>
                <w:szCs w:val="20"/>
              </w:rPr>
              <w:t xml:space="preserve">Statistical Analysis. Apply facility population weights and 25% equal cross-stakeholder weights to produce final blended coordinates per topic.</w:t>
            </w:r>
          </w:p>
        </w:tc>
      </w:tr>
    </w:tbl>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0000" w:sz="4"/>
              <w:left w:val="single" w:color="000000" w:sz="4"/>
              <w:bottom w:val="single" w:color="000000" w:sz="4"/>
              <w:right w:val="single" w:color="000000" w:sz="4"/>
            </w:tcBorders>
            <w:shd w:fill="000000" w:val="clear"/>
            <w:tcMar>
              <w:top w:type="dxa" w:w="100"/>
              <w:left w:type="dxa" w:w="120"/>
              <w:bottom w:type="dxa" w:w="100"/>
              <w:right w:type="dxa" w:w="120"/>
            </w:tcMar>
            <w:vAlign w:val="top"/>
          </w:tcPr>
          <w:p>
            <w:r>
              <w:rPr>
                <w:rFonts w:ascii="Arial" w:cs="Arial" w:eastAsia="Arial" w:hAnsi="Arial"/>
                <w:b/>
                <w:bCs/>
                <w:color w:val="F2F2F2"/>
                <w:spacing w:val="30"/>
                <w:sz w:val="18"/>
                <w:szCs w:val="18"/>
              </w:rPr>
              <w:t xml:space="preserve">END OF JULY</w:t>
            </w:r>
          </w:p>
        </w:tc>
        <w:tc>
          <w:tcPr>
            <w:tcW w:type="dxa" w:w="7960"/>
            <w:tcBorders>
              <w:top w:val="single" w:color="B6B09F" w:sz="4"/>
              <w:left w:val="single" w:color="B6B09F" w:sz="4"/>
              <w:bottom w:val="single" w:color="B6B09F" w:sz="4"/>
              <w:right w:val="single" w:color="B6B09F" w:sz="4"/>
            </w:tcBorders>
            <w:shd w:fill="EAE4D5" w:val="clear"/>
            <w:tcMar>
              <w:top w:type="dxa" w:w="100"/>
              <w:left w:type="dxa" w:w="160"/>
              <w:bottom w:type="dxa" w:w="100"/>
              <w:right w:type="dxa" w:w="160"/>
            </w:tcMar>
            <w:vAlign w:val="top"/>
          </w:tcPr>
          <w:p>
            <w:r>
              <w:rPr>
                <w:rFonts w:ascii="Arial" w:cs="Arial" w:eastAsia="Arial" w:hAnsi="Arial"/>
                <w:color w:val="000000"/>
                <w:sz w:val="20"/>
                <w:szCs w:val="20"/>
              </w:rPr>
              <w:t xml:space="preserve">Matrix Delivery. Final aggregated scores (1.0-5.0 coordinates on both axes) classified against materiality thresholds, signed off, and formatted for executive distribution.</w:t>
            </w:r>
          </w:p>
        </w:tc>
      </w:tr>
    </w:tbl>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pBdr>
          <w:bottom w:val="single" w:color="B6B09F" w:sz="4"/>
        </w:pBdr>
        <w:spacing w:after="120" w:before="480"/>
      </w:pPr>
      <w:r>
        <w:rPr>
          <w:rFonts w:ascii="Georgia" w:cs="Georgia" w:eastAsia="Georgia" w:hAnsi="Georgia"/>
          <w:b w:val="false"/>
          <w:bCs w:val="false"/>
          <w:color w:val="000000"/>
          <w:sz w:val="48"/>
          <w:szCs w:val="48"/>
        </w:rPr>
        <w:t xml:space="preserve">Next Steps &amp; Immediate Actions</w:t>
      </w:r>
    </w:p>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RESPONSIBLE OWNER</w:t>
            </w:r>
          </w:p>
        </w:tc>
        <w:tc>
          <w:tcPr>
            <w:tcW w:type="dxa" w:w="696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ACTION REQUIRED</w:t>
            </w:r>
          </w:p>
        </w:tc>
      </w:tr>
      <w:tr>
        <w:tc>
          <w:tcPr>
            <w:tcW w:type="dxa" w:w="24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HR / Internal Comms</w:t>
            </w:r>
          </w:p>
        </w:tc>
        <w:tc>
          <w:tcPr>
            <w:tcW w:type="dxa" w:w="69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Prepare localized internal communications for the 5 manufacturing sites to optimize employee survey response rates.</w:t>
            </w:r>
          </w:p>
        </w:tc>
      </w:tr>
      <w:tr>
        <w:tc>
          <w:tcPr>
            <w:tcW w:type="dxa" w:w="24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Procurement / Supply Chain</w:t>
            </w:r>
          </w:p>
        </w:tc>
        <w:tc>
          <w:tcPr>
            <w:tcW w:type="dxa" w:w="69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Issue the supplier ESG assessment invitation to the targeted top-50 Tier-1 vendors.</w:t>
            </w:r>
          </w:p>
        </w:tc>
      </w:tr>
      <w:tr>
        <w:tc>
          <w:tcPr>
            <w:tcW w:type="dxa" w:w="24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Investor Relations</w:t>
            </w:r>
          </w:p>
        </w:tc>
        <w:tc>
          <w:tcPr>
            <w:tcW w:type="dxa" w:w="69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Initiate contact with the pre-selected 5 institutional investor groups to book structured interview slots.</w:t>
            </w:r>
          </w:p>
        </w:tc>
      </w:tr>
      <w:tr>
        <w:tc>
          <w:tcPr>
            <w:tcW w:type="dxa" w:w="24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Account Management</w:t>
            </w:r>
          </w:p>
        </w:tc>
        <w:tc>
          <w:tcPr>
            <w:tcW w:type="dxa" w:w="69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Initiate contact with the pre-selected 15 major OEM accounts to book structured interview slots.</w:t>
            </w:r>
          </w:p>
        </w:tc>
      </w:tr>
    </w:tbl>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pBdr>
          <w:top w:val="single" w:color="B6B09F" w:sz="4"/>
        </w:pBdr>
        <w:spacing w:after="80" w:before="480"/>
      </w:pPr>
      <w:r>
        <w:rPr>
          <w:rFonts w:ascii="Arial" w:cs="Arial" w:eastAsia="Arial" w:hAnsi="Arial"/>
          <w:sz w:val="18"/>
          <w:szCs w:val="18"/>
        </w:rPr>
        <w:t xml:space="preserve"/>
      </w:r>
    </w:p>
    <w:p>
      <w:pPr>
        <w:spacing w:after="0" w:before="0"/>
      </w:pPr>
      <w:r>
        <w:rPr>
          <w:rFonts w:ascii="Arial" w:cs="Arial" w:eastAsia="Arial" w:hAnsi="Arial"/>
          <w:color w:val="B6B09F"/>
          <w:sz w:val="18"/>
          <w:szCs w:val="18"/>
        </w:rPr>
        <w:t xml:space="preserve">The Corporate  |  Stakeholder Engagement &amp; Materiality Strategy  |  Approved 2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6B09F" w:sz="4"/>
      </w:pBdr>
      <w:tabs>
        <w:tab w:val="right" w:pos="9026"/>
      </w:tabs>
    </w:pPr>
    <w:r>
      <w:rPr>
        <w:rFonts w:ascii="Arial" w:cs="Arial" w:eastAsia="Arial" w:hAnsi="Arial"/>
        <w:color w:val="B6B09F"/>
        <w:sz w:val="16"/>
        <w:szCs w:val="16"/>
      </w:rPr>
      <w:t xml:space="preserve">Working Group Approved  |  2 April 2026  |  Confidential</w:t>
    </w:r>
    <w:r>
      <w:rPr>
        <w:rFonts w:ascii="Arial" w:cs="Arial" w:eastAsia="Arial" w:hAnsi="Arial"/>
        <w:sz w:val="16"/>
        <w:szCs w:val="16"/>
      </w:rPr>
      <w:t xml:space="preserve">	</w:t>
    </w:r>
    <w:r>
      <w:rPr>
        <w:rFonts w:ascii="Arial" w:cs="Arial" w:eastAsia="Arial" w:hAnsi="Arial"/>
        <w:color w:val="B6B09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B09F" w:sz="4"/>
      </w:pBdr>
      <w:tabs>
        <w:tab w:val="right" w:pos="9026"/>
      </w:tabs>
    </w:pPr>
    <w:r>
      <w:rPr>
        <w:rFonts w:ascii="Arial" w:cs="Arial" w:eastAsia="Arial" w:hAnsi="Arial"/>
        <w:color w:val="B6B09F"/>
        <w:spacing w:val="50"/>
        <w:sz w:val="16"/>
        <w:szCs w:val="16"/>
      </w:rPr>
      <w:t xml:space="preserve">THE CORPORATE</w:t>
    </w:r>
    <w:r>
      <w:rPr>
        <w:rFonts w:ascii="Arial" w:cs="Arial" w:eastAsia="Arial" w:hAnsi="Arial"/>
        <w:sz w:val="16"/>
        <w:szCs w:val="16"/>
      </w:rPr>
      <w:t xml:space="preserve">	</w:t>
    </w:r>
    <w:r>
      <w:rPr>
        <w:rFonts w:ascii="Arial" w:cs="Arial" w:eastAsia="Arial" w:hAnsi="Arial"/>
        <w:color w:val="B6B09F"/>
        <w:spacing w:val="30"/>
        <w:sz w:val="16"/>
        <w:szCs w:val="16"/>
      </w:rPr>
      <w:t xml:space="preserve">STAKEHOLDER ENGAGEMENT &amp; MATERIALITY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2026-05-29T06:35:36.989Z</dcterms:created>
  <dcterms:modified xsi:type="dcterms:W3CDTF">2026-05-29T06:35:36.989Z</dcterms:modified>
</cp:coreProperties>
</file>

<file path=docProps/custom.xml><?xml version="1.0" encoding="utf-8"?>
<Properties xmlns="http://schemas.openxmlformats.org/officeDocument/2006/custom-properties" xmlns:vt="http://schemas.openxmlformats.org/officeDocument/2006/docPropsVTypes"/>
</file>