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rPr>
          <w:b w:val="1"/>
          <w:color w:val="1b1c1d"/>
          <w:sz w:val="33"/>
          <w:szCs w:val="33"/>
        </w:rPr>
      </w:pPr>
      <w:bookmarkStart w:colFirst="0" w:colLast="0" w:name="_ibk2zq7n7suh" w:id="0"/>
      <w:bookmarkEnd w:id="0"/>
      <w:r w:rsidDel="00000000" w:rsidR="00000000" w:rsidRPr="00000000">
        <w:rPr>
          <w:b w:val="1"/>
          <w:color w:val="1b1c1d"/>
          <w:sz w:val="33"/>
          <w:szCs w:val="33"/>
          <w:rtl w:val="0"/>
        </w:rPr>
        <w:t xml:space="preserve">Consolidated Technical Research Report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Version: 1.0 (Synthesizing v2-v19)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Status: Canonical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rPr>
          <w:b w:val="1"/>
          <w:color w:val="1b1c1d"/>
          <w:sz w:val="30"/>
          <w:szCs w:val="30"/>
        </w:rPr>
      </w:pPr>
      <w:bookmarkStart w:colFirst="0" w:colLast="0" w:name="_m7lw4hpef9wb" w:id="1"/>
      <w:bookmarkEnd w:id="1"/>
      <w:r w:rsidDel="00000000" w:rsidR="00000000" w:rsidRPr="00000000">
        <w:rPr>
          <w:b w:val="1"/>
          <w:color w:val="1b1c1d"/>
          <w:sz w:val="30"/>
          <w:szCs w:val="30"/>
          <w:rtl w:val="0"/>
        </w:rPr>
        <w:t xml:space="preserve">1. Abstract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This report documents the complete conceptual evolution of a professional-grade, agentic research system. The project's journey began with a standard Retrieval-Augmented Generation (RAG) model and systematically progressed through increasingly sophisticated architectures to solve key challenges in agentic AI. Core architectural shifts include the transition from a single agent to a multi-agent "constitutional committee," the introduction of a stateful supervisor to manage context, the formalization of a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Plan-Synthesize-Evaluate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workflow with Human-in-the-Loop (HITL) gates, and a pivotal simplification to a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Teacher-Student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model for robust, independent auditing. The final, stable architecture achieves verifiability and reliability through two primary innovations: Tool-Augmented Auditing, which forces the evaluator agent to programmatically verify claims against source documents, and a simplified, single-call evaluation graph, which enhances robustness by entrusting the entire audit process to a single, guided LLM call. This narrative captures the key research findings and architectural decisions that led to the current stable, iterative, and accountable system.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rPr>
          <w:b w:val="1"/>
          <w:color w:val="1b1c1d"/>
          <w:sz w:val="30"/>
          <w:szCs w:val="30"/>
        </w:rPr>
      </w:pPr>
      <w:bookmarkStart w:colFirst="0" w:colLast="0" w:name="_wifmkva9l5nu" w:id="2"/>
      <w:bookmarkEnd w:id="2"/>
      <w:r w:rsidDel="00000000" w:rsidR="00000000" w:rsidRPr="00000000">
        <w:rPr>
          <w:b w:val="1"/>
          <w:color w:val="1b1c1d"/>
          <w:sz w:val="30"/>
          <w:szCs w:val="30"/>
          <w:rtl w:val="0"/>
        </w:rPr>
        <w:t xml:space="preserve">2. Foundational Architectures (v2-v6)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The project's inception was a Personalized AI Research Agent (v2) built on a standard LangChain RAG architecture. Its goal was to answer questions based on a user-provided knowledge corpus. Early development quickly revealed the limitations of simple RAG for complex tasks, leading to the adoption of LangGraph to create a stateful, cyclical agent (v3). This introduced the first core agentic loop: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generate-test-reflect-regenerate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, specifically for code generation.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This was then generalized into a multi-path system (v4) capable of routing between "research" and "code" generation tasks. To improve quality, a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generate -&gt; reflect -&gt; refine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loop was added to the research path (v5), and to improve debuggability, chain-of-thought logging was introduced to make the agent's internal reasoning observable (v6).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rPr>
          <w:b w:val="1"/>
          <w:color w:val="1b1c1d"/>
          <w:sz w:val="30"/>
          <w:szCs w:val="30"/>
        </w:rPr>
      </w:pPr>
      <w:bookmarkStart w:colFirst="0" w:colLast="0" w:name="_ybzd0lpvqcxk" w:id="3"/>
      <w:bookmarkEnd w:id="3"/>
      <w:r w:rsidDel="00000000" w:rsidR="00000000" w:rsidRPr="00000000">
        <w:rPr>
          <w:b w:val="1"/>
          <w:color w:val="1b1c1d"/>
          <w:sz w:val="30"/>
          <w:szCs w:val="30"/>
          <w:rtl w:val="0"/>
        </w:rPr>
        <w:t xml:space="preserve">3. The Multi-Agent System &amp; The Constitution (v7-v9)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To address the problem of self-correction bias, the architecture pivoted to a multi-agent system (v7). The initial design involved two identical agents from different LLM families critiquing each other's work. However, this led to unaligned, destructive criticism.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The solution was the introduction of a Shared System Prompt, or "Constitution" (v8), which reframed the adversarial critique into a structured, collaborative debate. All agents were governed by the same set of principles and goals, forcing them to work together. This paradigm was then extended into a tri-modal system (v9) with dedicated workflows for Research, Code, and Documentation generation.</w:t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rPr>
          <w:b w:val="1"/>
          <w:color w:val="1b1c1d"/>
          <w:sz w:val="30"/>
          <w:szCs w:val="30"/>
        </w:rPr>
      </w:pPr>
      <w:bookmarkStart w:colFirst="0" w:colLast="0" w:name="_xxc47fxiotrz" w:id="4"/>
      <w:bookmarkEnd w:id="4"/>
      <w:r w:rsidDel="00000000" w:rsidR="00000000" w:rsidRPr="00000000">
        <w:rPr>
          <w:b w:val="1"/>
          <w:color w:val="1b1c1d"/>
          <w:sz w:val="30"/>
          <w:szCs w:val="30"/>
          <w:rtl w:val="0"/>
        </w:rPr>
        <w:t xml:space="preserve">4. The State-Passing Supervisor &amp; Formalized Workflow (v10-v15)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While the constitutional system improved output, it suffered from context pollution. The Supervisor was enhanced into a Sequential, State-Passing Manager (v10) that explicitly passed the output of one stage as the primary input for the next, ensuring continuity. This was coupled with the externalization of prompts into a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prompts.yaml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file for modularity (v11).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A key logical flaw was identified: generating code directly from research was error-prone. The workflow was scientifically reordered to Research -&gt; Technical Design Specification -&gt; Code (v12), introducing a formal design phase that dramatically reduced logical errors.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To handle increasing complexity, the monolithic generation process was decomposed into a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Plan, Synthesize, Review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cognitive workflow (v13), which was later formalized under the general Perception-Reasoning-Action (PRA) framework (v14). Finally, to ensure user alignment, a critical HITL gate was introduced with Supervised Intent-Planning (v15), requiring user approval of a generated plan before synthesis could begin.</w:t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rPr>
          <w:b w:val="1"/>
          <w:color w:val="1b1c1d"/>
          <w:sz w:val="30"/>
          <w:szCs w:val="30"/>
        </w:rPr>
      </w:pPr>
      <w:bookmarkStart w:colFirst="0" w:colLast="0" w:name="_rac9wzydp137" w:id="5"/>
      <w:bookmarkEnd w:id="5"/>
      <w:r w:rsidDel="00000000" w:rsidR="00000000" w:rsidRPr="00000000">
        <w:rPr>
          <w:b w:val="1"/>
          <w:color w:val="1b1c1d"/>
          <w:sz w:val="30"/>
          <w:szCs w:val="30"/>
          <w:rtl w:val="0"/>
        </w:rPr>
        <w:t xml:space="preserve">5. The Teacher-Student Model &amp; Tool-Augmented Auditing (v16-v18)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The multi-agent "debate" committee, even with a constitution, proved inefficient and prone to cognitive echo chambers. The architecture underwent its most significant simplification and pivot to a Teacher-Student model (v17). This model designated a "Student" agent (e.g., Gemini) for all generation tasks and an independent "Teacher" agent from a different model family for evaluation. The process was no longer a debate, but a formal, independent audit.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To perfect this audit, the system adopted two professional-grade standards (v18):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Tool-Augmented Auditing: The Teacher agent was equipped with a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citation_retriever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tool, forcing it to programmatically verify the Student's claims against the source documents. This moved the audit from a qualitative opinion to a verifiable, programmatic process.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Structured JSON State Exchange: Communication between graphs (e.g., plans and evaluations) was upgraded from fragile Markdown files to reliable JSON objects, improving system robustness.</w:t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rPr>
          <w:b w:val="1"/>
          <w:color w:val="1b1c1d"/>
          <w:sz w:val="30"/>
          <w:szCs w:val="30"/>
        </w:rPr>
      </w:pPr>
      <w:bookmarkStart w:colFirst="0" w:colLast="0" w:name="_9f1v5ot3f7q" w:id="6"/>
      <w:bookmarkEnd w:id="6"/>
      <w:r w:rsidDel="00000000" w:rsidR="00000000" w:rsidRPr="00000000">
        <w:rPr>
          <w:b w:val="1"/>
          <w:color w:val="1b1c1d"/>
          <w:sz w:val="30"/>
          <w:szCs w:val="30"/>
          <w:rtl w:val="0"/>
        </w:rPr>
        <w:t xml:space="preserve">6. Final Refinement: Single-Call Evaluation (v19)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While the tool-augmented Teacher was a major step forward, early implementations using a multi-node evaluation graph proved brittle, suffering from state-passing errors. The final architectural refinement, reflected in the stable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v2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codebase, was to collapse the entire evaluation process into a single, robust evaluation node.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This node is guided by one comprehensive prompt that instructs the LLM to perform the full reasoning chain internally: parse claims, use its bound tools to verify them, assess goal alignment, and synthesize all findings into a single JSON output. This approach leverages the advanced reasoning of modern LLMs to handle complex internal workflows, eliminating multiple points of failure in the graph itself and resulting in a more resilient and maintainable system. This represents the canonical architecture of the project.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