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f3ng4s9x28f3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Reflective Coding Agent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7.0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18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 (Based on TRR v23.0)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specification details the implementation of the "Read-Think-Write" micro-cycle for the Coding Agent.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create_coding_plan_prompt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 simplified to produce a high-level plan only (a list of files and modification goals), while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code_execution_node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 enhanced to perform the dynamic generation of file content.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Prompt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prompts_v7.yaml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create_coding_plan_prompt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(Modified): This prompt will be simplified. It will now only instruct the LLM to create a list of steps, where each step contains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file_path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the change. It will no longer ask for tool calls or file content.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generate_file_content_prompt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(New): A new prompt is required for the "Think" step of the execution cycle. It will take two inputs: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instruction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(the description from the plan)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original_content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(the text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tool). Its output will be the new, complete file content.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Graph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agent_core_v7.py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coding_planning_node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logic remains the same, but it will use the new, simpler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create_coding_plan_prompt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code_execution_node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node will be completely rewritten to implement the Read-Think-Write loop. For each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step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coding_plan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the state, it will: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Invoke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step['file_path']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Invoke the LLM using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generate_file_content_prompt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passing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step['description']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content returned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Invoke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write_file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with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step['file_path']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new content generated by the LLM.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Append detailed logs of each Read, Think, and Write action to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coding_log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state.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Tool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supervisor_v7.py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read_file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tool will be updated to have a real (though still safe and sandboxed) implementation. It will attempt to read the specified file from the project directory.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write_file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tool will remain a "simulation" for safety. It will not write to disk but will log that the action was successful. This allows us to verify the content the agent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intended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write before enabling destructive file operations.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design creates a fully specified, testable Coding Agent that can generate code content dynamically based on a high-level plan.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