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Logistics Data Analysis Strategic Planning Report</w:t>
      </w:r>
    </w:p>
    <w:p>
      <w:r>
        <w:t>Week 1 internship task  |  Prepared by Ajay Veerabadhran  |  25 September 2026</w:t>
      </w:r>
    </w:p>
    <w:p>
      <w:r>
        <w:t>This report proposes a pilot for a small online retailer that dispatches orders from one warehouse to local delivery zones. The first decision is how many orders to expect by day and zone; the second is how to assign available vehicles to deliveries within promised time windows. Public transaction data can support demand analysis, while delivery and route records must be collected or simulated for a clearly labeled planning prototype. No operational improvement is claimed before a measured pilot.</w:t>
      </w:r>
    </w:p>
    <w:p>
      <w:pPr>
        <w:pStyle w:val="Heading1"/>
      </w:pPr>
      <w:r>
        <w:t>1 Project definition and objectives</w:t>
      </w:r>
    </w:p>
    <w:p>
      <w:r>
        <w:t>Scenario. A retailer faces uneven daily order volume, occasional warehouse stockouts and late deliveries. Dispatchers currently plan vehicle loads using yesterday’s orders. A 12 week analytical pilot will forecast next day order demand, identify high demand zones and test capacity constrained routes with customer time windows. The operational scope is one depot, a limited fleet and one daily dispatch cycle; the exact city and fleet size are assumptions until a partner provides records.</w:t>
      </w:r>
    </w:p>
    <w:p>
      <w:pPr>
        <w:pStyle w:val="ListBullet"/>
      </w:pPr>
      <w:r>
        <w:t>Forecast orders by day and delivery zone so staffing and vehicle capacity can be scheduled earlier.</w:t>
      </w:r>
    </w:p>
    <w:p>
      <w:pPr>
        <w:pStyle w:val="ListBullet"/>
      </w:pPr>
      <w:r>
        <w:t>Measure service reliability and distance efficiency against the current dispatch method.</w:t>
      </w:r>
    </w:p>
    <w:p>
      <w:pPr>
        <w:pStyle w:val="ListBullet"/>
      </w:pPr>
      <w:r>
        <w:t>Recommend route plans that respect vehicle capacity and delivery windows, then verify them with dispatchers.</w:t>
      </w:r>
    </w:p>
    <w:p>
      <w:pPr>
        <w:pStyle w:val="Heading1"/>
      </w:pPr>
      <w:r>
        <w:t>2 Background research and data feasibility</w:t>
      </w:r>
    </w:p>
    <w:p>
      <w:r>
        <w:t>The UCI Online Retail II dataset contains transaction records for a UK based online retailer from December 2009 to December 2011 [1]. Its invoice date, stock code, quantity and customer fields can be aggregated into daily product demand. It has no verified delivery timestamps, coordinates, routes or fleet records, so it cannot independently establish on time delivery or route savings. The analysis will either combine approved company dispatch logs with transaction records or use explicitly simulated stops solely to demonstrate the optimization method.</w:t>
      </w:r>
    </w:p>
    <w:p>
      <w:r>
        <w:t>The US Federal Highway Administration describes truck travel time and reliability as common freight performance measures [2]. Google OR Tools documents a vehicle routing problem with time windows, using a travel time matrix, vehicles, depot and customer availability windows [3]. These sources support the choice of metrics and method; they do not validate results for this fictional retailer.</w:t>
      </w:r>
    </w:p>
    <w:tbl>
      <w:tblPr>
        <w:tblStyle w:val="TableGrid"/>
        <w:tblW w:type="auto" w:w="0"/>
        <w:jc w:val="center"/>
        <w:tblLook w:firstColumn="1" w:firstRow="1" w:lastColumn="0" w:lastRow="0" w:noHBand="0" w:noVBand="1" w:val="04A0"/>
      </w:tblPr>
      <w:tblGrid>
        <w:gridCol w:w="3264"/>
        <w:gridCol w:w="3264"/>
        <w:gridCol w:w="3264"/>
      </w:tblGrid>
      <w:tr>
        <w:tc>
          <w:tcPr>
            <w:tcW w:type="dxa" w:w="1944"/>
            <w:vAlign w:val="center"/>
            <w:shd w:fill="243B53"/>
          </w:tcPr>
          <w:p>
            <w:pPr>
              <w:keepNext/>
              <w:spacing w:after="40"/>
            </w:pPr>
            <w:r>
              <w:rPr>
                <w:b/>
                <w:color w:val="FFFFFF"/>
                <w:sz w:val="16"/>
              </w:rPr>
              <w:t>Input</w:t>
            </w:r>
          </w:p>
        </w:tc>
        <w:tc>
          <w:tcPr>
            <w:tcW w:type="dxa" w:w="5256"/>
            <w:vAlign w:val="center"/>
            <w:shd w:fill="243B53"/>
          </w:tcPr>
          <w:p>
            <w:pPr>
              <w:spacing w:after="40"/>
            </w:pPr>
            <w:r>
              <w:rPr>
                <w:b/>
                <w:color w:val="FFFFFF"/>
                <w:sz w:val="16"/>
              </w:rPr>
              <w:t>Fields or purpose</w:t>
            </w:r>
          </w:p>
        </w:tc>
        <w:tc>
          <w:tcPr>
            <w:tcW w:type="dxa" w:w="2232"/>
            <w:vAlign w:val="center"/>
            <w:shd w:fill="243B53"/>
          </w:tcPr>
          <w:p>
            <w:pPr>
              <w:spacing w:after="40"/>
            </w:pPr>
            <w:r>
              <w:rPr>
                <w:b/>
                <w:color w:val="FFFFFF"/>
                <w:sz w:val="16"/>
              </w:rPr>
              <w:t>Availability</w:t>
            </w:r>
          </w:p>
        </w:tc>
      </w:tr>
      <w:tr>
        <w:tc>
          <w:tcPr>
            <w:tcW w:type="dxa" w:w="1944"/>
            <w:vAlign w:val="center"/>
            <w:shd w:fill="FFFFFF"/>
          </w:tcPr>
          <w:p>
            <w:pPr>
              <w:spacing w:after="40"/>
            </w:pPr>
            <w:r>
              <w:rPr>
                <w:sz w:val="16"/>
              </w:rPr>
              <w:t>Order history</w:t>
            </w:r>
          </w:p>
        </w:tc>
        <w:tc>
          <w:tcPr>
            <w:tcW w:type="dxa" w:w="5256"/>
            <w:vAlign w:val="center"/>
            <w:shd w:fill="FFFFFF"/>
          </w:tcPr>
          <w:p>
            <w:pPr>
              <w:spacing w:after="40"/>
            </w:pPr>
            <w:r>
              <w:rPr>
                <w:sz w:val="16"/>
              </w:rPr>
              <w:t>Invoice date, item, quantity, cancellations; aggregate daily demand</w:t>
            </w:r>
          </w:p>
        </w:tc>
        <w:tc>
          <w:tcPr>
            <w:tcW w:type="dxa" w:w="2232"/>
            <w:vAlign w:val="center"/>
            <w:shd w:fill="FFFFFF"/>
          </w:tcPr>
          <w:p>
            <w:pPr>
              <w:spacing w:after="40"/>
            </w:pPr>
            <w:r>
              <w:rPr>
                <w:sz w:val="16"/>
              </w:rPr>
              <w:t>Public UCI data [1]</w:t>
            </w:r>
          </w:p>
        </w:tc>
      </w:tr>
      <w:tr>
        <w:tc>
          <w:tcPr>
            <w:tcW w:type="dxa" w:w="1944"/>
            <w:vAlign w:val="center"/>
            <w:shd w:fill="F2F6FA"/>
          </w:tcPr>
          <w:p>
            <w:pPr>
              <w:spacing w:after="40"/>
            </w:pPr>
            <w:r>
              <w:rPr>
                <w:sz w:val="16"/>
              </w:rPr>
              <w:t>Dispatch records</w:t>
            </w:r>
          </w:p>
        </w:tc>
        <w:tc>
          <w:tcPr>
            <w:tcW w:type="dxa" w:w="5256"/>
            <w:vAlign w:val="center"/>
            <w:shd w:fill="F2F6FA"/>
          </w:tcPr>
          <w:p>
            <w:pPr>
              <w:spacing w:after="40"/>
            </w:pPr>
            <w:r>
              <w:rPr>
                <w:sz w:val="16"/>
              </w:rPr>
              <w:t>Order ID, promise window, actual delivery time, stop address, vehicle, load</w:t>
            </w:r>
          </w:p>
        </w:tc>
        <w:tc>
          <w:tcPr>
            <w:tcW w:type="dxa" w:w="2232"/>
            <w:vAlign w:val="center"/>
            <w:shd w:fill="F2F6FA"/>
          </w:tcPr>
          <w:p>
            <w:pPr>
              <w:spacing w:after="40"/>
            </w:pPr>
            <w:r>
              <w:rPr>
                <w:sz w:val="16"/>
              </w:rPr>
              <w:t>Required from partner</w:t>
            </w:r>
          </w:p>
        </w:tc>
      </w:tr>
      <w:tr>
        <w:tc>
          <w:tcPr>
            <w:tcW w:type="dxa" w:w="1944"/>
            <w:vAlign w:val="center"/>
            <w:shd w:fill="FFFFFF"/>
          </w:tcPr>
          <w:p>
            <w:pPr>
              <w:spacing w:after="40"/>
            </w:pPr>
            <w:r>
              <w:rPr>
                <w:sz w:val="16"/>
              </w:rPr>
              <w:t>Travel matrix</w:t>
            </w:r>
          </w:p>
        </w:tc>
        <w:tc>
          <w:tcPr>
            <w:tcW w:type="dxa" w:w="5256"/>
            <w:vAlign w:val="center"/>
            <w:shd w:fill="FFFFFF"/>
          </w:tcPr>
          <w:p>
            <w:pPr>
              <w:spacing w:after="40"/>
            </w:pPr>
            <w:r>
              <w:rPr>
                <w:sz w:val="16"/>
              </w:rPr>
              <w:t>Road travel time and distance among depot and stops</w:t>
            </w:r>
          </w:p>
        </w:tc>
        <w:tc>
          <w:tcPr>
            <w:tcW w:type="dxa" w:w="2232"/>
            <w:vAlign w:val="center"/>
            <w:shd w:fill="FFFFFF"/>
          </w:tcPr>
          <w:p>
            <w:pPr>
              <w:spacing w:after="40"/>
            </w:pPr>
            <w:r>
              <w:rPr>
                <w:sz w:val="16"/>
              </w:rPr>
              <w:t>Approved mapping data or labeled simulation</w:t>
            </w:r>
          </w:p>
        </w:tc>
      </w:tr>
    </w:tbl>
    <w:p>
      <w:pPr>
        <w:pStyle w:val="Heading1"/>
      </w:pPr>
      <w:r>
        <w:t>3 Key performance indicators</w:t>
      </w:r>
    </w:p>
    <w:tbl>
      <w:tblPr>
        <w:tblStyle w:val="TableGrid"/>
        <w:tblW w:type="auto" w:w="0"/>
        <w:jc w:val="center"/>
        <w:tblLook w:firstColumn="1" w:firstRow="1" w:lastColumn="0" w:lastRow="0" w:noHBand="0" w:noVBand="1" w:val="04A0"/>
      </w:tblPr>
      <w:tblGrid>
        <w:gridCol w:w="4896"/>
        <w:gridCol w:w="4896"/>
      </w:tblGrid>
      <w:tr>
        <w:tc>
          <w:tcPr>
            <w:tcW w:type="dxa" w:w="2952"/>
            <w:vAlign w:val="center"/>
            <w:shd w:fill="243B53"/>
          </w:tcPr>
          <w:p>
            <w:pPr>
              <w:keepNext/>
              <w:spacing w:after="40"/>
            </w:pPr>
            <w:r>
              <w:rPr>
                <w:b/>
                <w:color w:val="FFFFFF"/>
                <w:sz w:val="16"/>
              </w:rPr>
              <w:t>KPI</w:t>
            </w:r>
          </w:p>
        </w:tc>
        <w:tc>
          <w:tcPr>
            <w:tcW w:type="dxa" w:w="6480"/>
            <w:vAlign w:val="center"/>
            <w:shd w:fill="243B53"/>
          </w:tcPr>
          <w:p>
            <w:pPr>
              <w:spacing w:after="40"/>
            </w:pPr>
            <w:r>
              <w:rPr>
                <w:b/>
                <w:color w:val="FFFFFF"/>
                <w:sz w:val="16"/>
              </w:rPr>
              <w:t>Definition and decision use</w:t>
            </w:r>
          </w:p>
        </w:tc>
      </w:tr>
      <w:tr>
        <w:tc>
          <w:tcPr>
            <w:tcW w:type="dxa" w:w="2952"/>
            <w:vAlign w:val="center"/>
            <w:shd w:fill="FFFFFF"/>
          </w:tcPr>
          <w:p>
            <w:pPr>
              <w:spacing w:after="40"/>
            </w:pPr>
            <w:r>
              <w:rPr>
                <w:sz w:val="16"/>
              </w:rPr>
              <w:t>On time delivery rate</w:t>
            </w:r>
          </w:p>
        </w:tc>
        <w:tc>
          <w:tcPr>
            <w:tcW w:type="dxa" w:w="6480"/>
            <w:vAlign w:val="center"/>
            <w:shd w:fill="FFFFFF"/>
          </w:tcPr>
          <w:p>
            <w:pPr>
              <w:spacing w:after="40"/>
            </w:pPr>
            <w:r>
              <w:rPr>
                <w:sz w:val="16"/>
              </w:rPr>
              <w:t>100 × deliveries completed within promised window / completed deliveries; monitor by zone and day.</w:t>
            </w:r>
          </w:p>
        </w:tc>
      </w:tr>
      <w:tr>
        <w:tc>
          <w:tcPr>
            <w:tcW w:type="dxa" w:w="2952"/>
            <w:vAlign w:val="center"/>
            <w:shd w:fill="F2F6FA"/>
          </w:tcPr>
          <w:p>
            <w:pPr>
              <w:spacing w:after="40"/>
            </w:pPr>
            <w:r>
              <w:rPr>
                <w:sz w:val="16"/>
              </w:rPr>
              <w:t>Forecast error WAPE</w:t>
            </w:r>
          </w:p>
        </w:tc>
        <w:tc>
          <w:tcPr>
            <w:tcW w:type="dxa" w:w="6480"/>
            <w:vAlign w:val="center"/>
            <w:shd w:fill="F2F6FA"/>
          </w:tcPr>
          <w:p>
            <w:pPr>
              <w:spacing w:after="40"/>
            </w:pPr>
            <w:r>
              <w:rPr>
                <w:sz w:val="16"/>
              </w:rPr>
              <w:t>100 × sum absolute forecast error / sum actual orders; evaluate demand planning on held out weeks.</w:t>
            </w:r>
          </w:p>
        </w:tc>
      </w:tr>
      <w:tr>
        <w:tc>
          <w:tcPr>
            <w:tcW w:type="dxa" w:w="2952"/>
            <w:vAlign w:val="center"/>
            <w:shd w:fill="FFFFFF"/>
          </w:tcPr>
          <w:p>
            <w:pPr>
              <w:spacing w:after="40"/>
            </w:pPr>
            <w:r>
              <w:rPr>
                <w:sz w:val="16"/>
              </w:rPr>
              <w:t>Distance per delivered order</w:t>
            </w:r>
          </w:p>
        </w:tc>
        <w:tc>
          <w:tcPr>
            <w:tcW w:type="dxa" w:w="6480"/>
            <w:vAlign w:val="center"/>
            <w:shd w:fill="FFFFFF"/>
          </w:tcPr>
          <w:p>
            <w:pPr>
              <w:spacing w:after="40"/>
            </w:pPr>
            <w:r>
              <w:rPr>
                <w:sz w:val="16"/>
              </w:rPr>
              <w:t>Total route kilometres / completed deliveries; compare route efficiency for similar daily loads.</w:t>
            </w:r>
          </w:p>
        </w:tc>
      </w:tr>
      <w:tr>
        <w:tc>
          <w:tcPr>
            <w:tcW w:type="dxa" w:w="2952"/>
            <w:vAlign w:val="center"/>
            <w:shd w:fill="F2F6FA"/>
          </w:tcPr>
          <w:p>
            <w:pPr>
              <w:spacing w:after="40"/>
            </w:pPr>
            <w:r>
              <w:rPr>
                <w:sz w:val="16"/>
              </w:rPr>
              <w:t>Vehicle utilization</w:t>
            </w:r>
          </w:p>
        </w:tc>
        <w:tc>
          <w:tcPr>
            <w:tcW w:type="dxa" w:w="6480"/>
            <w:vAlign w:val="center"/>
            <w:shd w:fill="F2F6FA"/>
          </w:tcPr>
          <w:p>
            <w:pPr>
              <w:spacing w:after="40"/>
            </w:pPr>
            <w:r>
              <w:rPr>
                <w:sz w:val="16"/>
              </w:rPr>
              <w:t>100 × dispatched load / total available vehicle capacity; monitor feasible allocation.</w:t>
            </w:r>
          </w:p>
        </w:tc>
      </w:tr>
    </w:tbl>
    <w:p>
      <w:r>
        <w:t>Before evaluation, freeze the promise window definition, the treatment of cancelled and failed deliveries, and the unit of vehicle capacity. Report each KPI with its numerator, denominator and coverage period. Illustrative pilot goals are a 10% relative reduction in WAPE and 5% fewer kilometres per completed order, subject to no decline in on time delivery; these are targets, not observed results.</w:t>
      </w:r>
    </w:p>
    <w:p>
      <w:pPr>
        <w:pStyle w:val="Heading1"/>
      </w:pPr>
      <w:r>
        <w:t>4 Data science strategy</w:t>
      </w:r>
    </w:p>
    <w:p>
      <w:r>
        <w:t>Demand forecasting. Aggregate valid transactions into daily counts by product group and zone. Use a seasonal naive baseline (same weekday last week), then fit a regression model using calendar effects, lagged demand and rolling averages. Compare errors on a chronological holdout; never calculate lag features using future dates.</w:t>
      </w:r>
    </w:p>
    <w:p>
      <w:r>
        <w:t>Zone analysis. With real coordinates and enough observations, cluster stops or demand density to identify persistent delivery concentrations. Clusters are descriptive planning aids, not guaranteed route boundaries. Without location data, defer this step rather than invent geographic findings.</w:t>
      </w:r>
    </w:p>
    <w:p>
      <w:r>
        <w:t>Route optimization. Feed predicted demand, observed stops, vehicle capacities, service durations, travel times and promised windows to a vehicle routing solver. Compare the resulting feasible plan with actual dispatcher routes using the same set of stops. A solver may return a good feasible answer without proving global optimality.</w:t>
      </w:r>
    </w:p>
    <w:p>
      <w:pPr>
        <w:pStyle w:val="Heading1"/>
      </w:pPr>
      <w:r>
        <w:t>5 Strategic roadmap</w:t>
      </w:r>
    </w:p>
    <w:tbl>
      <w:tblPr>
        <w:tblStyle w:val="TableGrid"/>
        <w:tblW w:type="auto" w:w="0"/>
        <w:jc w:val="center"/>
        <w:tblLook w:firstColumn="1" w:firstRow="1" w:lastColumn="0" w:lastRow="0" w:noHBand="0" w:noVBand="1" w:val="04A0"/>
      </w:tblPr>
      <w:tblGrid>
        <w:gridCol w:w="4896"/>
        <w:gridCol w:w="4896"/>
      </w:tblGrid>
      <w:tr>
        <w:tc>
          <w:tcPr>
            <w:tcW w:type="dxa" w:w="1656"/>
            <w:vAlign w:val="center"/>
            <w:shd w:fill="243B53"/>
          </w:tcPr>
          <w:p>
            <w:pPr>
              <w:keepNext/>
              <w:spacing w:after="40"/>
            </w:pPr>
            <w:r>
              <w:rPr>
                <w:b/>
                <w:color w:val="FFFFFF"/>
                <w:sz w:val="16"/>
              </w:rPr>
              <w:t>Stage</w:t>
            </w:r>
          </w:p>
        </w:tc>
        <w:tc>
          <w:tcPr>
            <w:tcW w:type="dxa" w:w="7776"/>
            <w:vAlign w:val="center"/>
            <w:shd w:fill="243B53"/>
          </w:tcPr>
          <w:p>
            <w:pPr>
              <w:spacing w:after="40"/>
            </w:pPr>
            <w:r>
              <w:rPr>
                <w:b/>
                <w:color w:val="FFFFFF"/>
                <w:sz w:val="16"/>
              </w:rPr>
              <w:t>Work and output</w:t>
            </w:r>
          </w:p>
        </w:tc>
      </w:tr>
      <w:tr>
        <w:tc>
          <w:tcPr>
            <w:tcW w:type="dxa" w:w="1656"/>
            <w:vAlign w:val="center"/>
            <w:shd w:fill="FFFFFF"/>
          </w:tcPr>
          <w:p>
            <w:pPr>
              <w:spacing w:after="40"/>
            </w:pPr>
            <w:r>
              <w:rPr>
                <w:sz w:val="16"/>
              </w:rPr>
              <w:t>1 Collect</w:t>
            </w:r>
          </w:p>
        </w:tc>
        <w:tc>
          <w:tcPr>
            <w:tcW w:type="dxa" w:w="7776"/>
            <w:vAlign w:val="center"/>
            <w:shd w:fill="FFFFFF"/>
          </w:tcPr>
          <w:p>
            <w:pPr>
              <w:spacing w:after="40"/>
            </w:pPr>
            <w:r>
              <w:rPr>
                <w:sz w:val="16"/>
              </w:rPr>
              <w:t>Document source fields, access permissions, time zone, identifiers and data dictionary.</w:t>
            </w:r>
          </w:p>
        </w:tc>
      </w:tr>
      <w:tr>
        <w:tc>
          <w:tcPr>
            <w:tcW w:type="dxa" w:w="1656"/>
            <w:vAlign w:val="center"/>
            <w:shd w:fill="F2F6FA"/>
          </w:tcPr>
          <w:p>
            <w:pPr>
              <w:spacing w:after="40"/>
            </w:pPr>
            <w:r>
              <w:rPr>
                <w:sz w:val="16"/>
              </w:rPr>
              <w:t>2 Clean</w:t>
            </w:r>
          </w:p>
        </w:tc>
        <w:tc>
          <w:tcPr>
            <w:tcW w:type="dxa" w:w="7776"/>
            <w:vAlign w:val="center"/>
            <w:shd w:fill="F2F6FA"/>
          </w:tcPr>
          <w:p>
            <w:pPr>
              <w:spacing w:after="40"/>
            </w:pPr>
            <w:r>
              <w:rPr>
                <w:sz w:val="16"/>
              </w:rPr>
              <w:t>Deduplicate orders; remove or flag cancellations/returns; validate dates, quantities, coordinates and impossible delivery times.</w:t>
            </w:r>
          </w:p>
        </w:tc>
      </w:tr>
      <w:tr>
        <w:tc>
          <w:tcPr>
            <w:tcW w:type="dxa" w:w="1656"/>
            <w:vAlign w:val="center"/>
            <w:shd w:fill="FFFFFF"/>
          </w:tcPr>
          <w:p>
            <w:pPr>
              <w:spacing w:after="40"/>
            </w:pPr>
            <w:r>
              <w:rPr>
                <w:sz w:val="16"/>
              </w:rPr>
              <w:t>3 Explore</w:t>
            </w:r>
          </w:p>
        </w:tc>
        <w:tc>
          <w:tcPr>
            <w:tcW w:type="dxa" w:w="7776"/>
            <w:vAlign w:val="center"/>
            <w:shd w:fill="FFFFFF"/>
          </w:tcPr>
          <w:p>
            <w:pPr>
              <w:spacing w:after="40"/>
            </w:pPr>
            <w:r>
              <w:rPr>
                <w:sz w:val="16"/>
              </w:rPr>
              <w:t>Chart order counts by day and zone, peak hours, lateness and route kilometres; inspect missingness and outliers.</w:t>
            </w:r>
          </w:p>
        </w:tc>
      </w:tr>
      <w:tr>
        <w:tc>
          <w:tcPr>
            <w:tcW w:type="dxa" w:w="1656"/>
            <w:vAlign w:val="center"/>
            <w:shd w:fill="F2F6FA"/>
          </w:tcPr>
          <w:p>
            <w:pPr>
              <w:spacing w:after="40"/>
            </w:pPr>
            <w:r>
              <w:rPr>
                <w:sz w:val="16"/>
              </w:rPr>
              <w:t>4 Model</w:t>
            </w:r>
          </w:p>
        </w:tc>
        <w:tc>
          <w:tcPr>
            <w:tcW w:type="dxa" w:w="7776"/>
            <w:vAlign w:val="center"/>
            <w:shd w:fill="F2F6FA"/>
          </w:tcPr>
          <w:p>
            <w:pPr>
              <w:spacing w:after="40"/>
            </w:pPr>
            <w:r>
              <w:rPr>
                <w:sz w:val="16"/>
              </w:rPr>
              <w:t>Build naive baseline and regression forecast; apply chronological validation and report WAPE by zone.</w:t>
            </w:r>
          </w:p>
        </w:tc>
      </w:tr>
      <w:tr>
        <w:tc>
          <w:tcPr>
            <w:tcW w:type="dxa" w:w="1656"/>
            <w:vAlign w:val="center"/>
            <w:shd w:fill="FFFFFF"/>
          </w:tcPr>
          <w:p>
            <w:pPr>
              <w:spacing w:after="40"/>
            </w:pPr>
            <w:r>
              <w:rPr>
                <w:sz w:val="16"/>
              </w:rPr>
              <w:t>5 Optimize</w:t>
            </w:r>
          </w:p>
        </w:tc>
        <w:tc>
          <w:tcPr>
            <w:tcW w:type="dxa" w:w="7776"/>
            <w:vAlign w:val="center"/>
            <w:shd w:fill="FFFFFF"/>
          </w:tcPr>
          <w:p>
            <w:pPr>
              <w:spacing w:after="40"/>
            </w:pPr>
            <w:r>
              <w:rPr>
                <w:sz w:val="16"/>
              </w:rPr>
              <w:t>Construct travel matrix; add depot, capacities, windows and service durations; solve and check feasibility.</w:t>
            </w:r>
          </w:p>
        </w:tc>
      </w:tr>
      <w:tr>
        <w:tc>
          <w:tcPr>
            <w:tcW w:type="dxa" w:w="1656"/>
            <w:vAlign w:val="center"/>
            <w:shd w:fill="F2F6FA"/>
          </w:tcPr>
          <w:p>
            <w:pPr>
              <w:spacing w:after="40"/>
            </w:pPr>
            <w:r>
              <w:rPr>
                <w:sz w:val="16"/>
              </w:rPr>
              <w:t>6 Pilot</w:t>
            </w:r>
          </w:p>
        </w:tc>
        <w:tc>
          <w:tcPr>
            <w:tcW w:type="dxa" w:w="7776"/>
            <w:vAlign w:val="center"/>
            <w:shd w:fill="F2F6FA"/>
          </w:tcPr>
          <w:p>
            <w:pPr>
              <w:spacing w:after="40"/>
            </w:pPr>
            <w:r>
              <w:rPr>
                <w:sz w:val="16"/>
              </w:rPr>
              <w:t>Run shadow plans, then a supervised field trial; compare matched dispatch days and record exceptions.</w:t>
            </w:r>
          </w:p>
        </w:tc>
      </w:tr>
    </w:tbl>
    <w:p>
      <w:pPr>
        <w:pStyle w:val="Heading1"/>
      </w:pPr>
      <w:r>
        <w:t>6 Python code illustration</w:t>
      </w:r>
    </w:p>
    <w:p>
      <w:r>
        <w:t>The following executable style snippets illustrate the workflow. Field names in dispatch.csv represent the proposed partner schema, not columns in the UCI dataset.</w:t>
      </w:r>
    </w:p>
    <w:p>
      <w:pPr>
        <w:pStyle w:val="Code"/>
      </w:pPr>
      <w:r>
        <w:t>import pandas as pd</w:t>
      </w:r>
    </w:p>
    <w:p>
      <w:pPr>
        <w:pStyle w:val="Code"/>
      </w:pPr>
      <w:r>
        <w:t>orders = pd.read_excel("online_retail_II.xlsx", sheet_name=0)</w:t>
      </w:r>
    </w:p>
    <w:p>
      <w:pPr>
        <w:pStyle w:val="Code"/>
      </w:pPr>
      <w:r>
        <w:t>orders["InvoiceDate"] = pd.to_datetime(orders["InvoiceDate"])</w:t>
      </w:r>
    </w:p>
    <w:p>
      <w:pPr>
        <w:pStyle w:val="Code"/>
      </w:pPr>
      <w:r>
        <w:t>orders = orders[orders["Quantity"] &gt; 0].copy()</w:t>
      </w:r>
    </w:p>
    <w:p>
      <w:pPr>
        <w:pStyle w:val="Code"/>
      </w:pPr>
      <w:r>
        <w:t>orders["date"] = orders["InvoiceDate"].dt.floor("D")</w:t>
      </w:r>
    </w:p>
    <w:p>
      <w:pPr>
        <w:pStyle w:val="Code"/>
      </w:pPr>
      <w:r>
        <w:t>daily = orders.groupby("date")["Invoice"].nunique().rename("orders")</w:t>
      </w:r>
    </w:p>
    <w:p>
      <w:pPr>
        <w:pStyle w:val="Code"/>
      </w:pPr>
      <w:r>
        <w:t>weekly_naive = daily.shift(7)  # same weekday last week</w:t>
      </w:r>
    </w:p>
    <w:p>
      <w:pPr>
        <w:pStyle w:val="Code"/>
      </w:pPr>
      <w:r>
        <w:t>valid = daily.notna() &amp; weekly_naive.notna()</w:t>
      </w:r>
    </w:p>
    <w:p>
      <w:pPr>
        <w:pStyle w:val="Code"/>
      </w:pPr>
      <w:r>
        <w:t>wape = 100 * (daily[valid] - weekly_naive[valid]).abs().sum() / daily[valid].sum()</w:t>
      </w:r>
    </w:p>
    <w:p>
      <w:pPr>
        <w:pStyle w:val="Code"/>
      </w:pPr>
      <w:r>
        <w:t>print(f"Baseline WAPE: {wape:.1f}%")</w:t>
      </w:r>
    </w:p>
    <w:p>
      <w:r>
        <w:t>Confirm spreadsheet column names and sheet names after download. A model comparison uses a date split, for example the last four weeks as test data, and includes a fallback if the WAPE denominator is zero.</w:t>
      </w:r>
    </w:p>
    <w:p>
      <w:pPr>
        <w:pStyle w:val="Code"/>
      </w:pPr>
      <w:r>
        <w:t>dispatch = pd.read_csv("dispatch.csv", parse_dates=["promised_end", "delivered_at"])</w:t>
      </w:r>
    </w:p>
    <w:p>
      <w:pPr>
        <w:pStyle w:val="Code"/>
      </w:pPr>
      <w:r>
        <w:t>completed = dispatch[dispatch["delivered_at"].notna()].copy()</w:t>
      </w:r>
    </w:p>
    <w:p>
      <w:pPr>
        <w:pStyle w:val="Code"/>
      </w:pPr>
      <w:r>
        <w:t>on_time_pct = 100 * completed["delivered_at"].le(completed["promised_end"]).mean()</w:t>
      </w:r>
    </w:p>
    <w:p>
      <w:pPr>
        <w:pStyle w:val="Code"/>
      </w:pPr>
      <w:r>
        <w:t># OR-Tools concept: build RoutingIndexManager and RoutingModel;</w:t>
      </w:r>
    </w:p>
    <w:p>
      <w:pPr>
        <w:pStyle w:val="Code"/>
      </w:pPr>
      <w:r>
        <w:t># register travel-time callback, set vehicle capacities and Time dimension;</w:t>
      </w:r>
    </w:p>
    <w:p>
      <w:pPr>
        <w:pStyle w:val="Code"/>
      </w:pPr>
      <w:r>
        <w:t># constrain each stop to its promised time window; solve and audit routes.</w:t>
      </w:r>
    </w:p>
    <w:p>
      <w:pPr>
        <w:pStyle w:val="Heading1"/>
      </w:pPr>
      <w:r>
        <w:t>7 Validation risks and expected outcomes</w:t>
      </w:r>
    </w:p>
    <w:p>
      <w:r>
        <w:t>Main risks are missing delivery timestamps, inaccurate stop coordinates, changing promised windows, nonrepresentative historical demand and underestimated travel times. Record missing field rates; check cancellation rules with operations staff; compare the pilot against matched days with similar order counts; and require a dispatcher to review route feasibility before use. Monitor fairness across zones so distance savings do not shift delays to one area.</w:t>
      </w:r>
    </w:p>
    <w:p>
      <w:r>
        <w:t>The expected deliverables are a cleaned data dictionary, baseline KPI dashboard, forecast validation summary and example feasible route plans. If a field pilot confirms gains, managers can adjust daily staffing, vehicle allocation and dispatch order. If the pilot does not improve service, retain the baseline and investigate the error sources before changing operations.</w:t>
      </w:r>
    </w:p>
    <w:p>
      <w:pPr>
        <w:pStyle w:val="Heading1"/>
      </w:pPr>
      <w:r>
        <w:t>References</w:t>
      </w:r>
    </w:p>
    <w:p>
      <w:r>
        <w:t>[1] UCI Machine Learning Repository. Online Retail II. https://archive.ics.uci.edu/dataset/502/online+retail+ii (accessed 25 September 2026).</w:t>
      </w:r>
    </w:p>
    <w:p>
      <w:r>
        <w:t>[2] Federal Highway Administration. Freight Performance Measure Primer, Chapter 4 Common Freight Measures. https://ops.fhwa.dot.gov/publications/fhwahop16089/chp4.htm (accessed 25 September 2026).</w:t>
      </w:r>
    </w:p>
    <w:p>
      <w:r>
        <w:t>[3] Google for Developers. OR Tools Vehicle Routing Problem with Time Windows. https://developers.google.com/optimization/routing/vrptw (accessed 25 September 2026).</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Ajay Veerabadhran  •  Week 1 Logistics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920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