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Catalog of Noncanonical HTH and RHH DNA Binding Domain Families in Archaea</w:t>
      </w:r>
    </w:p>
    <w:p>
      <w:pPr>
        <w:jc w:val="center"/>
      </w:pPr>
      <w:r>
        <w:rPr>
          <w:b/>
          <w:sz w:val="24"/>
        </w:rPr>
        <w:t>Ajay Vellanki* and Shaurya Dosapati*</w:t>
      </w:r>
    </w:p>
    <w:p>
      <w:pPr>
        <w:jc w:val="center"/>
      </w:pPr>
      <w:r>
        <w:t>Independent researchers, West Windsor, New Jersey, United States of America</w:t>
      </w:r>
    </w:p>
    <w:p>
      <w:pPr>
        <w:jc w:val="center"/>
      </w:pPr>
      <w:r>
        <w:t>Correspondence: ajayvellanki0720@gmail.com; devshaurya25@gmail.com</w:t>
      </w:r>
    </w:p>
    <w:p>
      <w:pPr>
        <w:jc w:val="center"/>
      </w:pPr>
      <w:r>
        <w:t>Ajay Vellanki ORCID: 0009-0008-7994-152X</w:t>
      </w:r>
    </w:p>
    <w:p>
      <w:pPr>
        <w:jc w:val="center"/>
      </w:pPr>
      <w:r>
        <w:rPr>
          <w:i/>
        </w:rPr>
        <w:t>*These authors contributed equally.</w:t>
      </w:r>
    </w:p>
    <w:p>
      <w:pPr>
        <w:jc w:val="center"/>
      </w:pPr>
      <w:r>
        <w:t>Keywords: Archaea; DNA binding domain; helix turn helix; ribbon helix helix; comparative genomics; protein structure</w:t>
      </w:r>
    </w:p>
    <w:p>
      <w:pPr>
        <w:pStyle w:val="Heading1"/>
        <w:keepNext/>
      </w:pPr>
      <w:r>
        <w:t>Abstract</w:t>
      </w:r>
    </w:p>
    <w:p>
      <w:pPr>
        <w:pStyle w:val="BodyText"/>
      </w:pPr>
      <w:r>
        <w:t>Archaeal regulatory annotation is dominated by a small set of familiar helix turn helix, ribbon helix helix, and metal responsive families. We asked how much additional sequence diversity is visible within the two Pfam clans that contain these domain classes after a nineteen family reference set is removed. This is a bounded catalog of noncanonical HTH and RHH clan members, not a comprehensive census of all archaeal DNA binding proteins or transcription factors. A reproducible rule retained all genomes from five underrepresented archaeal groups and capped the two largest groups, yielding 331 genomes and 804,755 proteins. Of 38,153 proteins assigned to the two target clans, 16,535 belonged to the reference set, 14,451 carried another characterized domain, and 7,167 were uncharacterized. Clustering the noncanonical fraction at 30 percent identity and 60 percent coverage, followed by size, genome count, and nonregulatory filters, defined 250 candidate families with 13,237 members. Within panel resampling recovered all 250 families in every lineage stratified 80 percent subsample, although retention above the five genome eligibility threshold declined in smaller panels. Family HMMs assigned held out members with 97.3 percent accuracy. Structural and conserved domain comparisons resolved most apparently dark families: 56 of 79 had a Conserved Domain Database match and 14 more had a recognized fold, leaving nine unresolved by the resources tested. Genomic neighborhood and upstream sequence analyses nominate testable functions, but do not establish direct regulation. The result is a scoped, reproducible map of sequence families that expands annotation beyond a standard reference set and identifies a small set of high priority targets for biochemical validation.</w:t>
      </w:r>
    </w:p>
    <w:p>
      <w:pPr>
        <w:pStyle w:val="Heading1"/>
        <w:keepNext/>
      </w:pPr>
      <w:r>
        <w:t>Introduction</w:t>
      </w:r>
    </w:p>
    <w:p>
      <w:pPr>
        <w:pStyle w:val="BodyText"/>
      </w:pPr>
      <w:r>
        <w:t>Archaea combine a eukaryote related basal transcription apparatus with many compact bacterial type regulators. Most annotated archaeal one component regulators are assigned to a familiar set of HTH, RHH, and metal responsive families [1–6]. That reference set is useful, but it can also make the recognizable fraction appear more complete than it is.</w:t>
      </w:r>
    </w:p>
    <w:p>
      <w:pPr>
        <w:pStyle w:val="BodyText"/>
      </w:pPr>
      <w:r>
        <w:t>A protein that carries a small DNA binding fold is not necessarily a transcription factor. Related domains occur in antitoxins, defense and mobile element proteins, chromosome proteins, and enzymes involved in DNA transactions. Sequence, structure, genomic neighborhood, motif, phylogenetic, and expression evidence therefore answer different questions. In this study, DNA 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pPr>
      <w:r>
        <w:t>Our question is deliberately narrower than a survey of every archaeal DNA binding protein. We examine members of Pfam clans CL0123 and CL0057 that are not explained by a nineteen family reference set, group them into reproducible families, map their distribution, and prioritize families for experiments. Proteins outside these clans, highly diverged sequences missed by their profiles, and non HTH or RHH DNA binding mechanisms are outside the search universe.</w:t>
      </w:r>
    </w:p>
    <w:p>
      <w:pPr>
        <w:pStyle w:val="Heading1"/>
        <w:keepNext/>
      </w:pPr>
      <w:r>
        <w:t>Results</w:t>
      </w:r>
    </w:p>
    <w:p>
      <w:pPr>
        <w:pStyle w:val="Heading2"/>
        <w:keepNext/>
      </w:pPr>
      <w:r>
        <w:t>A rule based discovery panel</w:t>
      </w:r>
    </w:p>
    <w:p>
      <w:pPr>
        <w:pStyle w:val="BodyText"/>
      </w:pPr>
      <w:r>
        <w:t>The discovery panel was generated by an explicit rule rather than by selecting a target of 331 genomes. All genomes available for Thaumarchaeota, DPANN, Asgardarchaeota, other deep TACK lineages, and Korarchaeota were retained. Euryarchaeota and Crenarchaeota were capped at 140 and 70 genomes, respectively; genomes within those two groups were sampled in proportion to subgroup abundance with random seed 42. The rule produced 331 genomes: 140 Euryarchaeota, 70 Crenarchaeota, 51 Thaumarchaeota, 33 DPANN, 19 Asgardarchaeota, 15 other deep TACK, and 3 Korarchaeota. The caps are pragmatic controls for database imbalance rather than biologically optimal values.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2880"/>
            <w:vAlign w:val="center"/>
            <w:shd w:fill="DCE6F1"/>
          </w:tcPr>
          <w:p>
            <w:r>
              <w:rPr>
                <w:b/>
                <w:sz w:val="17"/>
              </w:rPr>
              <w:t>Major group</w:t>
            </w:r>
          </w:p>
        </w:tc>
        <w:tc>
          <w:tcPr>
            <w:tcW w:type="dxa" w:w="1008"/>
            <w:vAlign w:val="center"/>
            <w:shd w:fill="DCE6F1"/>
          </w:tcPr>
          <w:p>
            <w:r>
              <w:rPr>
                <w:b/>
                <w:sz w:val="17"/>
              </w:rPr>
              <w:t>Genomes</w:t>
            </w:r>
          </w:p>
        </w:tc>
        <w:tc>
          <w:tcPr>
            <w:tcW w:type="dxa" w:w="4608"/>
            <w:vAlign w:val="center"/>
            <w:shd w:fill="DCE6F1"/>
          </w:tcPr>
          <w:p>
            <w:r>
              <w:rPr>
                <w:b/>
                <w:sz w:val="17"/>
              </w:rPr>
              <w:t>Panel rule</w:t>
            </w:r>
          </w:p>
        </w:tc>
      </w:tr>
      <w:tr>
        <w:tc>
          <w:tcPr>
            <w:tcW w:type="dxa" w:w="2880"/>
            <w:vAlign w:val="center"/>
          </w:tcPr>
          <w:p>
            <w:r>
              <w:rPr>
                <w:sz w:val="17"/>
              </w:rPr>
              <w:t>Euryarchaeota</w:t>
            </w:r>
          </w:p>
        </w:tc>
        <w:tc>
          <w:tcPr>
            <w:tcW w:type="dxa" w:w="1008"/>
            <w:vAlign w:val="center"/>
          </w:tcPr>
          <w:p>
            <w:r>
              <w:rPr>
                <w:sz w:val="17"/>
              </w:rPr>
              <w:t>140</w:t>
            </w:r>
          </w:p>
        </w:tc>
        <w:tc>
          <w:tcPr>
            <w:tcW w:type="dxa" w:w="4608"/>
            <w:vAlign w:val="center"/>
          </w:tcPr>
          <w:p>
            <w:r>
              <w:rPr>
                <w:sz w:val="17"/>
              </w:rPr>
              <w:t>Proportional sampling within group; cap 140</w:t>
            </w:r>
          </w:p>
        </w:tc>
      </w:tr>
      <w:tr>
        <w:tc>
          <w:tcPr>
            <w:tcW w:type="dxa" w:w="2880"/>
            <w:vAlign w:val="center"/>
          </w:tcPr>
          <w:p>
            <w:r>
              <w:rPr>
                <w:sz w:val="17"/>
              </w:rPr>
              <w:t>Crenarchaeota and TACK</w:t>
            </w:r>
          </w:p>
        </w:tc>
        <w:tc>
          <w:tcPr>
            <w:tcW w:type="dxa" w:w="1008"/>
            <w:vAlign w:val="center"/>
          </w:tcPr>
          <w:p>
            <w:r>
              <w:rPr>
                <w:sz w:val="17"/>
              </w:rPr>
              <w:t>70</w:t>
            </w:r>
          </w:p>
        </w:tc>
        <w:tc>
          <w:tcPr>
            <w:tcW w:type="dxa" w:w="4608"/>
            <w:vAlign w:val="center"/>
          </w:tcPr>
          <w:p>
            <w:r>
              <w:rPr>
                <w:sz w:val="17"/>
              </w:rPr>
              <w:t>Proportional sampling within group; cap 70</w:t>
            </w:r>
          </w:p>
        </w:tc>
      </w:tr>
      <w:tr>
        <w:tc>
          <w:tcPr>
            <w:tcW w:type="dxa" w:w="2880"/>
            <w:vAlign w:val="center"/>
          </w:tcPr>
          <w:p>
            <w:r>
              <w:rPr>
                <w:sz w:val="17"/>
              </w:rPr>
              <w:t>Thaumarchaeota</w:t>
            </w:r>
          </w:p>
        </w:tc>
        <w:tc>
          <w:tcPr>
            <w:tcW w:type="dxa" w:w="1008"/>
            <w:vAlign w:val="center"/>
          </w:tcPr>
          <w:p>
            <w:r>
              <w:rPr>
                <w:sz w:val="17"/>
              </w:rPr>
              <w:t>51</w:t>
            </w:r>
          </w:p>
        </w:tc>
        <w:tc>
          <w:tcPr>
            <w:tcW w:type="dxa" w:w="4608"/>
            <w:vAlign w:val="center"/>
          </w:tcPr>
          <w:p>
            <w:r>
              <w:rPr>
                <w:sz w:val="17"/>
              </w:rPr>
              <w:t>All available genomes retained</w:t>
            </w:r>
          </w:p>
        </w:tc>
      </w:tr>
      <w:tr>
        <w:tc>
          <w:tcPr>
            <w:tcW w:type="dxa" w:w="2880"/>
            <w:vAlign w:val="center"/>
          </w:tcPr>
          <w:p>
            <w:r>
              <w:rPr>
                <w:sz w:val="17"/>
              </w:rPr>
              <w:t>DPANN</w:t>
            </w:r>
          </w:p>
        </w:tc>
        <w:tc>
          <w:tcPr>
            <w:tcW w:type="dxa" w:w="1008"/>
            <w:vAlign w:val="center"/>
          </w:tcPr>
          <w:p>
            <w:r>
              <w:rPr>
                <w:sz w:val="17"/>
              </w:rPr>
              <w:t>33</w:t>
            </w:r>
          </w:p>
        </w:tc>
        <w:tc>
          <w:tcPr>
            <w:tcW w:type="dxa" w:w="4608"/>
            <w:vAlign w:val="center"/>
          </w:tcPr>
          <w:p>
            <w:r>
              <w:rPr>
                <w:sz w:val="17"/>
              </w:rPr>
              <w:t>All available genomes retained</w:t>
            </w:r>
          </w:p>
        </w:tc>
      </w:tr>
      <w:tr>
        <w:tc>
          <w:tcPr>
            <w:tcW w:type="dxa" w:w="2880"/>
            <w:vAlign w:val="center"/>
          </w:tcPr>
          <w:p>
            <w:r>
              <w:rPr>
                <w:sz w:val="17"/>
              </w:rPr>
              <w:t>Asgardarchaeota</w:t>
            </w:r>
          </w:p>
        </w:tc>
        <w:tc>
          <w:tcPr>
            <w:tcW w:type="dxa" w:w="1008"/>
            <w:vAlign w:val="center"/>
          </w:tcPr>
          <w:p>
            <w:r>
              <w:rPr>
                <w:sz w:val="17"/>
              </w:rPr>
              <w:t>19</w:t>
            </w:r>
          </w:p>
        </w:tc>
        <w:tc>
          <w:tcPr>
            <w:tcW w:type="dxa" w:w="4608"/>
            <w:vAlign w:val="center"/>
          </w:tcPr>
          <w:p>
            <w:r>
              <w:rPr>
                <w:sz w:val="17"/>
              </w:rPr>
              <w:t>All available genomes retained</w:t>
            </w:r>
          </w:p>
        </w:tc>
      </w:tr>
      <w:tr>
        <w:tc>
          <w:tcPr>
            <w:tcW w:type="dxa" w:w="2880"/>
            <w:vAlign w:val="center"/>
          </w:tcPr>
          <w:p>
            <w:r>
              <w:rPr>
                <w:sz w:val="17"/>
              </w:rPr>
              <w:t>Other deep TACK</w:t>
            </w:r>
          </w:p>
        </w:tc>
        <w:tc>
          <w:tcPr>
            <w:tcW w:type="dxa" w:w="1008"/>
            <w:vAlign w:val="center"/>
          </w:tcPr>
          <w:p>
            <w:r>
              <w:rPr>
                <w:sz w:val="17"/>
              </w:rPr>
              <w:t>15</w:t>
            </w:r>
          </w:p>
        </w:tc>
        <w:tc>
          <w:tcPr>
            <w:tcW w:type="dxa" w:w="4608"/>
            <w:vAlign w:val="center"/>
          </w:tcPr>
          <w:p>
            <w:r>
              <w:rPr>
                <w:sz w:val="17"/>
              </w:rPr>
              <w:t>All available genomes retained</w:t>
            </w:r>
          </w:p>
        </w:tc>
      </w:tr>
      <w:tr>
        <w:tc>
          <w:tcPr>
            <w:tcW w:type="dxa" w:w="2880"/>
            <w:vAlign w:val="center"/>
          </w:tcPr>
          <w:p>
            <w:r>
              <w:rPr>
                <w:sz w:val="17"/>
              </w:rPr>
              <w:t>Korarchaeota</w:t>
            </w:r>
          </w:p>
        </w:tc>
        <w:tc>
          <w:tcPr>
            <w:tcW w:type="dxa" w:w="1008"/>
            <w:vAlign w:val="center"/>
          </w:tcPr>
          <w:p>
            <w:r>
              <w:rPr>
                <w:sz w:val="17"/>
              </w:rPr>
              <w:t>3</w:t>
            </w:r>
          </w:p>
        </w:tc>
        <w:tc>
          <w:tcPr>
            <w:tcW w:type="dxa" w:w="4608"/>
            <w:vAlign w:val="center"/>
          </w:tcPr>
          <w:p>
            <w:r>
              <w:rPr>
                <w:sz w:val="17"/>
              </w:rPr>
              <w:t>All available genomes retained</w:t>
            </w:r>
          </w:p>
        </w:tc>
      </w:tr>
    </w:tbl>
    <w:p>
      <w:pPr>
        <w:pStyle w:val="BodyText"/>
      </w:pPr>
      <w:r>
        <w:t>The panel includes 155 complete assemblies, 4 chromosome level assemblies, 58 scaffolds, and 114 contig level assemblies. This mixture broadens lineage representation but makes absence calls conservative, especially in incomplete genomes.</w:t>
      </w:r>
    </w:p>
    <w:p>
      <w:pPr>
        <w:pStyle w:val="Heading2"/>
        <w:keepNext/>
      </w:pPr>
      <w:r>
        <w:t>A bounded search reveals extensive sequence diversity beyond the reference set</w:t>
      </w:r>
    </w:p>
    <w:p>
      <w:pPr>
        <w:pStyle w:val="BodyText"/>
      </w:pPr>
      <w:r>
        <w:t>We scanned the 331 proteomes against profiles from Pfam clans CL0123 and CL0057 after removing the twenty profile models used to represent the nineteen canonical families. Candidate and canonical matches were compared on the aligned domain interval, not on an upstream DNA regulatory region. For each protein, the highest scoring candidate interval was retained. A canonical hit excluded that candidate only when it overlapped more than half of the candidate interval and its domain bit score was no more than 5 bits below the candidate score. Thus the 5 bit value is a score tolerance in a reciprocal domain assignment rule; it is not a biological threshold. Because the released archive does not contain the complete prefilter hit tables, its sensitivity cannot be recomputed here and remains a limitation.</w:t>
      </w:r>
    </w:p>
    <w:p>
      <w:pPr>
        <w:pStyle w:val="BodyText"/>
      </w:pPr>
      <w:r>
        <w:t>Within this defined universe, 38,153 proteins carried a targeted domain. Of these, 16,535 (43.3 percent) matched the nineteen 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jc w:val="center"/>
      </w:pPr>
      <w:r>
        <w:drawing>
          <wp:inline xmlns:a="http://schemas.openxmlformats.org/drawingml/2006/main" xmlns:pic="http://schemas.openxmlformats.org/drawingml/2006/picture">
            <wp:extent cx="5623560" cy="3371159"/>
            <wp:docPr id="1" name="Picture 1"/>
            <wp:cNvGraphicFramePr>
              <a:graphicFrameLocks noChangeAspect="1"/>
            </wp:cNvGraphicFramePr>
            <a:graphic>
              <a:graphicData uri="http://schemas.openxmlformats.org/drawingml/2006/picture">
                <pic:pic>
                  <pic:nvPicPr>
                    <pic:cNvPr id="0" name="Figure02_regulatory_domain_tiers.png"/>
                    <pic:cNvPicPr/>
                  </pic:nvPicPr>
                  <pic:blipFill>
                    <a:blip r:embed="rId11"/>
                    <a:stretch>
                      <a:fillRect/>
                    </a:stretch>
                  </pic:blipFill>
                  <pic:spPr>
                    <a:xfrm>
                      <a:off x="0" y="0"/>
                      <a:ext cx="5623560" cy="3371159"/>
                    </a:xfrm>
                    <a:prstGeom prst="rect"/>
                  </pic:spPr>
                </pic:pic>
              </a:graphicData>
            </a:graphic>
          </wp:inline>
        </w:drawing>
      </w:r>
    </w:p>
    <w:p>
      <w:pPr>
        <w:pStyle w:val="Caption"/>
      </w:pPr>
      <w:r>
        <w:t>Figure 1. Composition of the targeted HTH and RHH clan proteins in the 331 genome panel. The noncanonical categories are defined relative to the nineteen family reference set and should not be read as all archaeal DNA binding proteins.</w:t>
      </w:r>
    </w:p>
    <w:p>
      <w:pPr>
        <w:pStyle w:val="Heading2"/>
        <w:keepNext/>
      </w:pPr>
      <w:r>
        <w:t>Sequence clustering defines 250 candidate families</w:t>
      </w:r>
    </w:p>
    <w:p>
      <w:pPr>
        <w:pStyle w:val="BodyText"/>
      </w:pPr>
      <w: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 1 through nArcR 250, comprising 13,237 proteins. Of the families, 171 have a characterized domain outside the reference set and 79 were uncharacterized by Pfam. Accordingly, the main novelty is the family level organization and archaeal distribution of noncanonical clan members, not 250 newly discovered DNA binding folds.</w:t>
      </w:r>
    </w:p>
    <w:p>
      <w:pPr>
        <w:pStyle w:val="BodyText"/>
      </w:pPr>
      <w:r>
        <w:t>A previously completed 24 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pPr>
      <w:r>
        <w:t>Within panel resampling separates detection from abundance threshold sensitivity</w:t>
      </w:r>
    </w:p>
    <w:p>
      <w:pPr>
        <w:pStyle w:val="BodyText"/>
      </w:pPr>
      <w:r>
        <w:t>We added a 500 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 genomes (218 to 231). A deliberately smaller panel capped every major group at 30 genomes, producing 157 genomes, recovered a median of 242 families at least once (235 to 247) and 137 at five genomes (127 to 148). The analysis supports the robustness of catalog detection to moderate within panel resampling, while showing that the five genome inclusion rule is sensitive to panel size. It cannot substitute for full rediscovery from alternative draws of the unreleased 1,069 genome candidate pool.</w:t>
      </w:r>
    </w:p>
    <w:p>
      <w:pPr>
        <w:jc w:val="center"/>
      </w:pPr>
      <w:r>
        <w:drawing>
          <wp:inline xmlns:a="http://schemas.openxmlformats.org/drawingml/2006/main" xmlns:pic="http://schemas.openxmlformats.org/drawingml/2006/picture">
            <wp:extent cx="5806440" cy="2253900"/>
            <wp:docPr id="2" name="Picture 2"/>
            <wp:cNvGraphicFramePr>
              <a:graphicFrameLocks noChangeAspect="1"/>
            </wp:cNvGraphicFramePr>
            <a:graphic>
              <a:graphicData uri="http://schemas.openxmlformats.org/drawingml/2006/picture">
                <pic:pic>
                  <pic:nvPicPr>
                    <pic:cNvPr id="0" name="FigureS5_panel_resampling_sensitivity.png"/>
                    <pic:cNvPicPr/>
                  </pic:nvPicPr>
                  <pic:blipFill>
                    <a:blip r:embed="rId12"/>
                    <a:stretch>
                      <a:fillRect/>
                    </a:stretch>
                  </pic:blipFill>
                  <pic:spPr>
                    <a:xfrm>
                      <a:off x="0" y="0"/>
                      <a:ext cx="5806440" cy="2253900"/>
                    </a:xfrm>
                    <a:prstGeom prst="rect"/>
                  </pic:spPr>
                </pic:pic>
              </a:graphicData>
            </a:graphic>
          </wp:inline>
        </w:drawing>
      </w:r>
    </w:p>
    <w:p>
      <w:pPr>
        <w:pStyle w:val="Caption"/>
      </w:pPr>
      <w:r>
        <w:t>Figure 2. Within panel resampling sensitivity. Boxes summarize 500 replicates per scheme. The dashed line marks the complete 250 family catalog. Family detection is robust to moderate stratified resampling, whereas retention above the five genome criterion declines with sample size.</w:t>
      </w:r>
    </w:p>
    <w:p>
      <w:pPr>
        <w:pStyle w:val="Heading2"/>
        <w:keepNext/>
      </w:pPr>
      <w:r>
        <w:t>Family profiles are separable and distributions span broad to restricted</w:t>
      </w:r>
    </w:p>
    <w:p>
      <w:pPr>
        <w:pStyle w:val="BodyText"/>
      </w:pPr>
      <w:r>
        <w:t>For 96 families with at least 20 members, 30 percent of sequences were withheld, family HMMs were rebuilt, and the withheld sequences were reassigned. The correct family was recovered for 3,444 of 3,538 sequences (97.3 percent); the median best versus second best score margin was 85.9 bits. This tests assignment separability after the families have been defined, not whether the initial search universe was exhaustive.</w:t>
      </w:r>
    </w:p>
    <w:p>
      <w:pPr>
        <w:pStyle w:val="BodyText"/>
      </w:pPr>
      <w:r>
        <w:t>Projection placed the families across an accounting set of 3,526 archaeal genomes: 1,324 isolates, 1,986 metagenome assembled genomes, and 216 single amplified genomes. Corrected prevalence was recomputed against the full lineage denominators after 379 initially zero hit genomes were rescued by HMM scanning. The released raw presence absence and copy number matrices contain only the earlier 3,192 genome pass; therefore corrected prevalence tables, not those legacy matrices, support the 3,526 genome summaries. Because MAGs and SAGs may be incomplete, no confident hit is not equivalent to confirmed biological absence.</w:t>
      </w:r>
    </w:p>
    <w:p>
      <w:pPr>
        <w:jc w:val="center"/>
      </w:pPr>
      <w:r>
        <w:drawing>
          <wp:inline xmlns:a="http://schemas.openxmlformats.org/drawingml/2006/main" xmlns:pic="http://schemas.openxmlformats.org/drawingml/2006/picture">
            <wp:extent cx="5532120" cy="2433352"/>
            <wp:docPr id="3" name="Picture 3"/>
            <wp:cNvGraphicFramePr>
              <a:graphicFrameLocks noChangeAspect="1"/>
            </wp:cNvGraphicFramePr>
            <a:graphic>
              <a:graphicData uri="http://schemas.openxmlformats.org/drawingml/2006/picture">
                <pic:pic>
                  <pic:nvPicPr>
                    <pic:cNvPr id="0" name="Figure03_prevalence_vs_breadth.png"/>
                    <pic:cNvPicPr/>
                  </pic:nvPicPr>
                  <pic:blipFill>
                    <a:blip r:embed="rId13"/>
                    <a:stretch>
                      <a:fillRect/>
                    </a:stretch>
                  </pic:blipFill>
                  <pic:spPr>
                    <a:xfrm>
                      <a:off x="0" y="0"/>
                      <a:ext cx="5532120" cy="2433352"/>
                    </a:xfrm>
                    <a:prstGeom prst="rect"/>
                  </pic:spPr>
                </pic:pic>
              </a:graphicData>
            </a:graphic>
          </wp:inline>
        </w:drawing>
      </w:r>
    </w:p>
    <w:p>
      <w:pPr>
        <w:pStyle w:val="Caption"/>
      </w:pPr>
      <w:r>
        <w:t>Figure 3. Family prevalence and phylogenetic breadth using the corrected projection summaries. Broadly distributed families form a small head, while many families have restricted distributions. Absence in incomplete assemblies should be treated as a lower bound on prevalence.</w:t>
      </w:r>
    </w:p>
    <w:p>
      <w:pPr>
        <w:jc w:val="center"/>
      </w:pPr>
      <w:r>
        <w:drawing>
          <wp:inline xmlns:a="http://schemas.openxmlformats.org/drawingml/2006/main" xmlns:pic="http://schemas.openxmlformats.org/drawingml/2006/picture">
            <wp:extent cx="5166360" cy="7547504"/>
            <wp:docPr id="4" name="Picture 4"/>
            <wp:cNvGraphicFramePr>
              <a:graphicFrameLocks noChangeAspect="1"/>
            </wp:cNvGraphicFramePr>
            <a:graphic>
              <a:graphicData uri="http://schemas.openxmlformats.org/drawingml/2006/picture">
                <pic:pic>
                  <pic:nvPicPr>
                    <pic:cNvPr id="0" name="Figure06_cross_phylum_prevalence.png"/>
                    <pic:cNvPicPr/>
                  </pic:nvPicPr>
                  <pic:blipFill>
                    <a:blip r:embed="rId14"/>
                    <a:stretch>
                      <a:fillRect/>
                    </a:stretch>
                  </pic:blipFill>
                  <pic:spPr>
                    <a:xfrm>
                      <a:off x="0" y="0"/>
                      <a:ext cx="5166360" cy="7547504"/>
                    </a:xfrm>
                    <a:prstGeom prst="rect"/>
                  </pic:spPr>
                </pic:pic>
              </a:graphicData>
            </a:graphic>
          </wp:inline>
        </w:drawing>
      </w:r>
    </w:p>
    <w:p>
      <w:pPr>
        <w:pStyle w:val="Caption"/>
      </w:pPr>
      <w:r>
        <w:t>Figure 4. Corrected cross lineage prevalence of the 250 families. Values use the full 3,526 genome denominators and should be interpreted as confident detections rather than definitive absences.</w:t>
      </w:r>
    </w:p>
    <w:p>
      <w:pPr>
        <w:pStyle w:val="Heading2"/>
        <w:keepNext/>
      </w:pPr>
      <w:r>
        <w:t>Genomic neighborhoods generate hypotheses rather than confirmed regulons</w:t>
      </w:r>
    </w:p>
    <w:p>
      <w:pPr>
        <w:pStyle w:val="BodyText"/>
      </w:pPr>
      <w:r>
        <w:t>An initial genome shuffled enrichment screen found at least one neighboring category for 178 families. The most frequent top categories included toxin antitoxin systems, HalOD1 type signaling, DNA repair and replication, transport, oxidoreductases, methyltransferases, and metallohydrolases. A stricter genus collapsed and whole neighborhood block permutation analysis was used to reduce phylogenetic nonindependence and locus pseudoreplication. Strong associations for nArcR 10, 13, 20, 28, and 50 near toxin antitoxin loci; nArcR 107 near CRISPR and defense loci; nArcR 9 near peptidase and kinase genes; and nArcR 2 near HalOD1 signaling survived at the empirical permutation floor. Other associations weakened under the dependence aware analysis.</w:t>
      </w:r>
    </w:p>
    <w:p>
      <w:pPr>
        <w:pStyle w:val="BodyText"/>
      </w:pPr>
      <w:r>
        <w:t>Upstream motif discovery provides a separate line of evidence. Eleven of twelve tested families produced a motif that exceeded mononucleotide, dinucleotide, and shuffled family assignment nulls after multiple testing correction. nArcR 6 failed the assignment null. In a deeper analysis of six flagship families, motifs derived from regulator upstreams were generally not enriched upstream of their predicted neighboring targets; five of six tests had p greater than 0.5 and nArcR 20 was marginal at p equals 0.04. These negative results rule out a direct regulon claim from the present data. The neighborhood and motif results instead nominate protein families and loci for binding assays and genetic perturbation.</w:t>
      </w:r>
    </w:p>
    <w:p>
      <w:pPr>
        <w:jc w:val="center"/>
      </w:pPr>
      <w:r>
        <w:drawing>
          <wp:inline xmlns:a="http://schemas.openxmlformats.org/drawingml/2006/main" xmlns:pic="http://schemas.openxmlformats.org/drawingml/2006/picture">
            <wp:extent cx="5715000" cy="5418919"/>
            <wp:docPr id="5" name="Picture 5"/>
            <wp:cNvGraphicFramePr>
              <a:graphicFrameLocks noChangeAspect="1"/>
            </wp:cNvGraphicFramePr>
            <a:graphic>
              <a:graphicData uri="http://schemas.openxmlformats.org/drawingml/2006/picture">
                <pic:pic>
                  <pic:nvPicPr>
                    <pic:cNvPr id="0" name="Figure04_predicted_regulon_heatmap.png"/>
                    <pic:cNvPicPr/>
                  </pic:nvPicPr>
                  <pic:blipFill>
                    <a:blip r:embed="rId15"/>
                    <a:stretch>
                      <a:fillRect/>
                    </a:stretch>
                  </pic:blipFill>
                  <pic:spPr>
                    <a:xfrm>
                      <a:off x="0" y="0"/>
                      <a:ext cx="5715000" cy="5418919"/>
                    </a:xfrm>
                    <a:prstGeom prst="rect"/>
                  </pic:spPr>
                </pic:pic>
              </a:graphicData>
            </a:graphic>
          </wp:inline>
        </w:drawing>
      </w:r>
    </w:p>
    <w:p>
      <w:pPr>
        <w:pStyle w:val="Caption"/>
      </w:pPr>
      <w:r>
        <w:t>Figure 5. Genomic neighborhood enrichment for selected families. The heatmap is a hypothesis map. Only the strongest associations were retained by the dependence aware genus collapse and block permutation checks, and none establishes direct transcriptional regulation.</w:t>
      </w:r>
    </w:p>
    <w:p>
      <w:pPr>
        <w:pStyle w:val="Heading2"/>
        <w:keepNext/>
      </w:pPr>
      <w:r>
        <w:t>Most apparently dark families resolve to known sequence or fold classes</w:t>
      </w:r>
    </w:p>
    <w:p>
      <w:pPr>
        <w:pStyle w:val="BodyText"/>
      </w:pPr>
      <w:r>
        <w:t>Structural comparisons were available for 184 family representatives. Using a curated reference of 66 DNA binding and non DNA binding folds and a TM score threshold of 0.55, 175 representatives matched a known DNA binding fold and nine had no match among the tested references. The latter are candidates for further structural investigation, not established new folds. The reference library is curated rather than exhaustive, and nine families lacked a scored structure.</w:t>
      </w:r>
    </w:p>
    <w:p>
      <w:pPr>
        <w:pStyle w:val="BodyText"/>
      </w:pPr>
      <w:r>
        <w:t>Among the 79 families uncharacterized by Pfam, Conserved Domain Database searches resolved 56, including 44 to a functionally named orthologous group. Structural comparison resolved 14 additional families. Nine remained unresolved by both resources. These nine are the highest priority experimental targets because they survive both sequence and fold based annotation attempts.</w:t>
      </w:r>
    </w:p>
    <w:p>
      <w:pPr>
        <w:jc w:val="center"/>
      </w:pPr>
      <w:r>
        <w:drawing>
          <wp:inline xmlns:a="http://schemas.openxmlformats.org/drawingml/2006/main" xmlns:pic="http://schemas.openxmlformats.org/drawingml/2006/picture">
            <wp:extent cx="5303520" cy="2110343"/>
            <wp:docPr id="6" name="Picture 6"/>
            <wp:cNvGraphicFramePr>
              <a:graphicFrameLocks noChangeAspect="1"/>
            </wp:cNvGraphicFramePr>
            <a:graphic>
              <a:graphicData uri="http://schemas.openxmlformats.org/drawingml/2006/picture">
                <pic:pic>
                  <pic:nvPicPr>
                    <pic:cNvPr id="0" name="Figure11_uncharacterized_db_comparison.png"/>
                    <pic:cNvPicPr/>
                  </pic:nvPicPr>
                  <pic:blipFill>
                    <a:blip r:embed="rId16"/>
                    <a:stretch>
                      <a:fillRect/>
                    </a:stretch>
                  </pic:blipFill>
                  <pic:spPr>
                    <a:xfrm>
                      <a:off x="0" y="0"/>
                      <a:ext cx="5303520" cy="2110343"/>
                    </a:xfrm>
                    <a:prstGeom prst="rect"/>
                  </pic:spPr>
                </pic:pic>
              </a:graphicData>
            </a:graphic>
          </wp:inline>
        </w:drawing>
      </w:r>
    </w:p>
    <w:p>
      <w:pPr>
        <w:pStyle w:val="Caption"/>
      </w:pPr>
      <w: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pPr>
      <w:r>
        <w:t>Discussion</w:t>
      </w:r>
    </w:p>
    <w:p>
      <w:pPr>
        <w:pStyle w:val="Heading2"/>
        <w:keepNext/>
      </w:pPr>
      <w:r>
        <w:t>The central result is an expanded but bounded catalog</w:t>
      </w:r>
    </w:p>
    <w:p>
      <w:pPr>
        <w:pStyle w:val="BodyText"/>
      </w:pPr>
      <w:r>
        <w:t>The two targeted Pfam clans contain substantial archaeal diversity outside a standard nineteen family reference set.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pPr>
      <w:r>
        <w:t>The result is narrower than the original framing of a domain wide map of transcription factors. The workflow begins with CL0123 and CL0057, so it cannot discover DNA 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Heading2"/>
        <w:keepNext/>
      </w:pPr>
      <w:r>
        <w:t>Panel design and robustness</w:t>
      </w:r>
    </w:p>
    <w:p>
      <w:pPr>
        <w:pStyle w:val="BodyText"/>
      </w:pPr>
      <w:r>
        <w:t>The 331 genome panel is the deterministic output of a lineage balancing rule, except for the seeded proportional samples within the two capped groups. Its purpose is to prevent heavily sequenced clades from dominating family discovery while retaining all genomes from five underrepresented groups. The particular caps remain pragmatic. Within panel resampling shows that moderate reductions preserve detection of every family, but smaller panels disproportionately remove families near the five genome threshold. A stronger future test should rerun the complete scan and clustering workflow on alternative panels drawn from the full candidate pool and quantify family matching across runs.</w:t>
      </w:r>
    </w:p>
    <w:p>
      <w:pPr>
        <w:pStyle w:val="Heading2"/>
        <w:keepNext/>
      </w:pPr>
      <w:r>
        <w:t>Evidence boundaries and experimental priorities</w:t>
      </w:r>
    </w:p>
    <w:p>
      <w:pPr>
        <w:pStyle w:val="BodyText"/>
      </w:pPr>
      <w:r>
        <w:t>The evidence is strongest for family coherence and for the conclusion that most proteins adopt known DNA binding folds. Genomic context suggests biological settings, but direct regulatory relationships remain unproven. The motif analysis strengthens the case that some families encounter recurrent upstream sequence patterns, yet its failure to connect flagship motifs to predicted targets prevents a direct autoregulation claim. The phylogenetic analysis of ten families indicates within phylum clustering for eight, which is compatible with vertical inheritance or ancient origin but does not distinguish these mechanisms. The Haloferax volcanii transcriptomic analysis confirms expression for most mapped loci; its oxidative stress comparison is exploratory because the released script uses simple tests on three replicates per condition rather than a count based dispersion model.</w:t>
      </w:r>
    </w:p>
    <w:p>
      <w:pPr>
        <w:pStyle w:val="BodyText"/>
      </w:pPr>
      <w:r>
        <w:t>The nine families unresolved by both CDD and the curated structural library, together with the strongest dependence corrected neighborhood associations, provide a focused experimental agenda. Electrophoretic mobility shift assays, DNA affinity measurements, knockouts or CRISPR interference, and transcriptome profiling after perturbation would establish which families are transcription factors, their operators, and their direct targets.</w:t>
      </w:r>
    </w:p>
    <w:p>
      <w:pPr>
        <w:pStyle w:val="Heading2"/>
        <w:keepNext/>
      </w:pPr>
      <w:r>
        <w:t>Limitations</w:t>
      </w:r>
    </w:p>
    <w:p>
      <w:pPr>
        <w:pStyle w:val="BodyText"/>
      </w:pPr>
      <w:r>
        <w:t>First, the search universe is restricted to two Pfam clans. Second, the 5 bit reciprocal exclusion tolerance and the lineage caps lack a full sensitivity analysis because the released archive omits the complete raw candidate and canonical domain hit tables and the 1,069 genome candidate pool. Third, the final 3,526 genome prevalence summaries are supported by corrected tables, while the released raw matrices contain 3,192 genomes and should be treated as legacy intermediates. Fourth, the dependence corrected neighborhood and deep motif source tables cited in the manuscript are absent from the archive even though their figures are present. Fifth, several scripts rely on an internal runtime and absolute paths; a portable command line workflow and manifest remain necessary for one command reproduction. These limitations do not erase the catalog, but they constrain claims of exhaustiveness and full computational reproducibility.</w:t>
      </w:r>
    </w:p>
    <w:p>
      <w:pPr>
        <w:pStyle w:val="Heading1"/>
        <w:keepNext/>
      </w:pPr>
      <w:r>
        <w:t>Methods</w:t>
      </w:r>
    </w:p>
    <w:p>
      <w:pPr>
        <w:pStyle w:val="Heading2"/>
        <w:keepNext/>
      </w:pPr>
      <w:r>
        <w:t>Genome panel assembly</w:t>
      </w:r>
    </w:p>
    <w:p>
      <w:pPr>
        <w:pStyle w:val="BodyText"/>
      </w:pPr>
      <w:r>
        <w:t>Archaeal assemblies were grouped into seven major lineage categories. All genomes in the five underrepresented categories were retained. Euryarchaeota and Crenarchaeota were capped at 140 and 70, respectively. For each capped group, subgroup sample sizes were allocated in proportion to their abundance and genomes were sampled without replacement with random seed 42. The resulting panel contained 331 genomes and 804,755 predicted proteins.</w:t>
      </w:r>
    </w:p>
    <w:p>
      <w:pPr>
        <w:pStyle w:val="Heading2"/>
        <w:keepNext/>
      </w:pPr>
      <w:r>
        <w:t>Targeted domain scan and reciprocal exclusion</w:t>
      </w:r>
    </w:p>
    <w:p>
      <w:pPr>
        <w:pStyle w:val="BodyText"/>
      </w:pPr>
      <w:r>
        <w:t>Pfam profiles in clans CL0123 and CL0057 were designated the search universe. Twenty models representing the nineteen family canonical set were separated from 747 candidate profiles. HMMER searches used each model gathering threshold. For every protein, the highest domain score candidate interval, with coordinates ali_from to ali_to, was compared with the highest scoring canonical hit. Interval overlap was calculated as the number of shared aligned residues divided by the candidate interval length. A candidate was excluded when overlap exceeded 0.5 and canonical score was at least candidate score minus 5 bits. Otherwise it was retained. When multiple candidate domains remained on a protein, the highest scoring retained candidate was used in family construction.</w:t>
      </w:r>
    </w:p>
    <w:p>
      <w:pPr>
        <w:pStyle w:val="Heading2"/>
        <w:keepNext/>
      </w:pPr>
      <w:r>
        <w:t>Family construction and sensitivity analyses</w:t>
      </w:r>
    </w:p>
    <w:p>
      <w:pPr>
        <w:pStyle w:val="BodyText"/>
      </w:pPr>
      <w:r>
        <w:t>Retained proteins were clustered with MMseqs2 using minimum sequence identity 0.30, coverage 0.60, coverage mode 0, and cluster mode 1 [19,20]. Clusters were required to have median length below 250 amino acids, at least 60 percent of members shorter than 250 amino acids, and occurrence in at least five genomes. Keyword based exclusions removed clusters with annotations indicating clearly nonregulatory functions. The existing clustering sensitivity analysis varied identity from 0.25 to 0.40, coverage from 0.50 to 0.80, and clustering mode across 24 settings.</w:t>
      </w:r>
    </w:p>
    <w:p>
      <w:pPr>
        <w:pStyle w:val="BodyText"/>
      </w:pPr>
      <w: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 genomes. This analysis uses fixed released family memberships and therefore measures catalog retention, not de novo rediscovery.</w:t>
      </w:r>
    </w:p>
    <w:p>
      <w:pPr>
        <w:pStyle w:val="Heading2"/>
        <w:keepNext/>
      </w:pPr>
      <w:r>
        <w:t>Family projection and validation</w:t>
      </w:r>
    </w:p>
    <w:p>
      <w:pPr>
        <w:pStyle w:val="BodyText"/>
      </w:pPr>
      <w:r>
        <w:t>A profile HMM was built for each family. In held out validation for families with at least 20 members, 30 percent of sequences were removed, HMMs were rebuilt from the remaining members, and withheld sequences were assigned by their best score. Assignments were summarized by correct family and best versus second best margin. Projection used the family HMM library and corrected lineage denominators for 3,526 genomes. The final origin composition was 1,324 isolates, 1,986 MAGs, and 216 SAGs.</w:t>
      </w:r>
    </w:p>
    <w:p>
      <w:pPr>
        <w:pStyle w:val="Heading2"/>
        <w:keepNext/>
      </w:pPr>
      <w:r>
        <w:t>Genomic neighborhood and motif analyses</w:t>
      </w:r>
    </w:p>
    <w:p>
      <w:pPr>
        <w:pStyle w:val="BodyText"/>
      </w:pPr>
      <w:r>
        <w:t>Genes within five coding sequences of family members were assigned functional categories. Initial family category enrichment used genome conditioned label sampling, binomial tests, and Benjamini Hochberg correction [35]. Strong links were retested after collapse to one observation per genus and by shuffling whole neighborhood blocks for 2,000 permutations with seed 42. Up to 250 strand aware upstream nucleotides were used for motif discovery under a zero or one occurrence model. Motif information content was tested against mononucleotide shuffle, dinucleotide shuffle, and shuffled family assignment nulls with 100 replicates each and false discovery rate control. Six flagship family motifs were additionally assessed with 1,000 permutations and scanned against upstream regions of predicted target genes.</w:t>
      </w:r>
    </w:p>
    <w:p>
      <w:pPr>
        <w:pStyle w:val="Heading2"/>
        <w:keepNext/>
      </w:pPr>
      <w:r>
        <w:t>Phylogenetic structural and transcriptomic analyses</w:t>
      </w:r>
    </w:p>
    <w:p>
      <w:pPr>
        <w:pStyle w:val="BodyText"/>
      </w:pPr>
      <w:r>
        <w:t>For ten selected families, sequences were aligned with MAFFT, trimmed with trimAl, and analyzed with IQ TREE 2 using model selection and 1,000 ultrafast bootstrap replicates [22–27]. Phylum clustering was measured by Fitch parsimony and compared with 500 tip label shuffles. AlphaFold Database structures were available for 193 representatives, of which 184 produced scored Foldseek comparisons against 66 curated reference folds [30–32]. A TM score of at least 0.55 was treated as a reference fold match. Representatives of the 79 Pfam uncharacterized families were also searched against CDD version 3.21 at E value 0.01.</w:t>
      </w:r>
    </w:p>
    <w:p>
      <w:pPr>
        <w:pStyle w:val="BodyText"/>
      </w:pPr>
      <w:r>
        <w:t>Haloferax volcanii featureCounts data from GSE293312 were used only as an exploratory expression analysis [14,34]. The released script transforms counts as log2 counts per million plus one, performs per gene two sample tests between three control and three oxidative stress replicates, and applies Benjamini Hochberg correction. We therefore do not describe this analysis as edgeR style or use it as evidence of family wide stress regulation.</w:t>
      </w:r>
    </w:p>
    <w:p>
      <w:pPr>
        <w:pStyle w:val="Heading2"/>
        <w:keepNext/>
      </w:pPr>
      <w:r>
        <w:t>Data and code availability</w:t>
      </w:r>
    </w:p>
    <w:p>
      <w:pPr>
        <w:pStyle w:val="BodyText"/>
      </w:pPr>
      <w:r>
        <w:t>The accompanying reproducibility archive contains fourteen analysis scripts, family membership and HMM data, IQ TREE outputs, Foldseek outputs, nineteen summary tables, and sixteen figures. A reproducibility audit supplied with this revision identifies missing source tables, legacy projection matrices, internal runtime dependencies, and hard coded paths. The archive supports verification of many reported summaries but is not yet a portable end to end rerun package. Before resubmission, the missing raw and derived tables should be deposited, path and runtime dependencies removed, environment versions pinned, and a single documented entry point added.</w:t>
      </w:r>
    </w:p>
    <w:p>
      <w:pPr>
        <w:pStyle w:val="Heading1"/>
        <w:keepNext/>
      </w:pPr>
      <w:r>
        <w:t>Conclusions</w:t>
      </w:r>
    </w:p>
    <w:p>
      <w:pPr>
        <w:pStyle w:val="BodyText"/>
      </w:pPr>
      <w:r>
        <w:t>A search bounded to two major archaeal HTH and RHH Pfam clans identifies 250 coherent sequence families outside a nineteen family reference set. Most apparent novelty resolves to known sequence or structural classes, while nine families remain unresolved by the resources tested. The catalog expands the map of archaeal DNA binding domain diversity and prioritizes experiments, but it does not by itself establish 250 transcription factor families or a comprehensive archaeal regulome.</w:t>
      </w:r>
    </w:p>
    <w:p>
      <w:pPr>
        <w:pStyle w:val="Heading1"/>
        <w:keepNext/>
      </w:pPr>
      <w:r>
        <w:t>References</w:t>
      </w:r>
    </w:p>
    <w:p>
      <w:pPr>
        <w:spacing w:after="40"/>
        <w:ind w:left="288" w:hanging="288"/>
      </w:pPr>
      <w:r>
        <w:rPr>
          <w:sz w:val="17"/>
        </w:rPr>
        <w:t>1. Aravind L et al. DNA binding proteins and evolution of transcription regulation in the archaea. Nucleic Acids Research. 1999. https://doi.org/10.1093/nar/27.23.4658</w:t>
      </w:r>
    </w:p>
    <w:p>
      <w:pPr>
        <w:spacing w:after="40"/>
        <w:ind w:left="288" w:hanging="288"/>
      </w:pPr>
      <w:r>
        <w:rPr>
          <w:sz w:val="17"/>
        </w:rPr>
        <w:t>2. Dodd IB et al. Improved detection of helix turn helix DNA binding motifs in protein sequences. Nucleic Acids Research. 1990. https://doi.org/10.1093/nar/18.17.5019</w:t>
      </w:r>
    </w:p>
    <w:p>
      <w:pPr>
        <w:spacing w:after="40"/>
        <w:ind w:left="288" w:hanging="288"/>
      </w:pPr>
      <w:r>
        <w:rPr>
          <w:sz w:val="17"/>
        </w:rPr>
        <w:t>3. Schreiter ER and Drennan CL. Ribbon helix helix transcription factors. Nature Reviews Microbiology. 2007. https://doi.org/10.1038/nrmicro1717</w:t>
      </w:r>
    </w:p>
    <w:p>
      <w:pPr>
        <w:spacing w:after="40"/>
        <w:ind w:left="288" w:hanging="288"/>
      </w:pPr>
      <w:r>
        <w:rPr>
          <w:sz w:val="17"/>
        </w:rPr>
        <w:t>4. Guerra AJ et al. Crystal structure of the zinc dependent MarR family transcriptional regulator AdcR. Journal of the American Chemical Society. 2011. https://doi.org/10.1021/ja2080532</w:t>
      </w:r>
    </w:p>
    <w:p>
      <w:pPr>
        <w:spacing w:after="40"/>
        <w:ind w:left="288" w:hanging="288"/>
      </w:pPr>
      <w:r>
        <w:rPr>
          <w:sz w:val="17"/>
        </w:rPr>
        <w:t>5. Thaw P et al. Structural insight into gene transcriptional regulation and effector binding by the Lrp AsnC family. Nucleic Acids Research. 2006. https://doi.org/10.1093/nar/gkl009</w:t>
      </w:r>
    </w:p>
    <w:p>
      <w:pPr>
        <w:spacing w:after="40"/>
        <w:ind w:left="288" w:hanging="288"/>
      </w:pPr>
      <w:r>
        <w:rPr>
          <w:sz w:val="17"/>
        </w:rPr>
        <w:t>6. Reichelt R et al. Genome wide binding analysis of TrmBL1 in Pyrococcus furiosus. BMC Genomics. 2016. https://doi.org/10.1186/s12864-015-2360-0</w:t>
      </w:r>
    </w:p>
    <w:p>
      <w:pPr>
        <w:spacing w:after="40"/>
        <w:ind w:left="288" w:hanging="288"/>
      </w:pPr>
      <w:r>
        <w:rPr>
          <w:sz w:val="17"/>
        </w:rPr>
        <w:t>7. Makarova KS et al. Comparative genomic analysis of type 2 toxin antitoxin systems. Biology Direct. 2009. https://doi.org/10.1186/1745-6150-4-19</w:t>
      </w:r>
    </w:p>
    <w:p>
      <w:pPr>
        <w:spacing w:after="40"/>
        <w:ind w:left="288" w:hanging="288"/>
      </w:pPr>
      <w:r>
        <w:rPr>
          <w:sz w:val="17"/>
        </w:rPr>
        <w:t>8. Makarova KS et al. The HicAB cassette. Bioinformatics. 2006. https://doi.org/10.1093/bioinformatics/btl418</w:t>
      </w:r>
    </w:p>
    <w:p>
      <w:pPr>
        <w:spacing w:after="40"/>
        <w:ind w:left="288" w:hanging="288"/>
      </w:pPr>
      <w:r>
        <w:rPr>
          <w:sz w:val="17"/>
        </w:rPr>
        <w:t>9. Arcus VL et al. The PIN domain ribonucleases and VapBC toxin antitoxin array. Protein Engineering Design and Selection. 2010. https://doi.org/10.1093/protein/gzq081</w:t>
      </w:r>
    </w:p>
    <w:p>
      <w:pPr>
        <w:spacing w:after="40"/>
        <w:ind w:left="288" w:hanging="288"/>
      </w:pPr>
      <w:r>
        <w:rPr>
          <w:sz w:val="17"/>
        </w:rPr>
        <w:t>10. Liu T et al. Coupling transcriptional activation of CRISPR Cas and DNA repair genes by Csa3a. Nucleic Acids Research. 2017. https://doi.org/10.1093/nar/gkx612</w:t>
      </w:r>
    </w:p>
    <w:p>
      <w:pPr>
        <w:spacing w:after="40"/>
        <w:ind w:left="288" w:hanging="288"/>
      </w:pPr>
      <w:r>
        <w:rPr>
          <w:sz w:val="17"/>
        </w:rPr>
        <w:t>11. Sorek R et al. CRISPR mediated adaptive immune systems in bacteria and archaea. Annual Review of Biochemistry. 2013. https://doi.org/10.1146/annurev-biochem-072911-172315</w:t>
      </w:r>
    </w:p>
    <w:p>
      <w:pPr>
        <w:spacing w:after="40"/>
        <w:ind w:left="288" w:hanging="288"/>
      </w:pPr>
      <w:r>
        <w:rPr>
          <w:sz w:val="17"/>
        </w:rPr>
        <w:t>12. Xie R et al. Expanding Asgard members in the domain of Archaea. Science China Life Sciences. 2021. https://doi.org/10.1007/s11427-021-1969-6</w:t>
      </w:r>
    </w:p>
    <w:p>
      <w:pPr>
        <w:spacing w:after="40"/>
        <w:ind w:left="288" w:hanging="288"/>
      </w:pPr>
      <w:r>
        <w:rPr>
          <w:sz w:val="17"/>
        </w:rPr>
        <w:t>13. Dombrowski N et al. Undinarchaeota illuminate DPANN phylogeny. Nature Communications. 2020. https://doi.org/10.1038/s41467-020-17408-w</w:t>
      </w:r>
    </w:p>
    <w:p>
      <w:pPr>
        <w:spacing w:after="40"/>
        <w:ind w:left="288" w:hanging="288"/>
      </w:pPr>
      <w:r>
        <w:rPr>
          <w:sz w:val="17"/>
        </w:rPr>
        <w:t>14. Allers T et al. Development of selectable markers for Haloferax volcanii. Applied and Environmental Microbiology. 2004. https://doi.org/10.1128/AEM.70.2.943-953.2004</w:t>
      </w:r>
    </w:p>
    <w:p>
      <w:pPr>
        <w:spacing w:after="40"/>
        <w:ind w:left="288" w:hanging="288"/>
      </w:pPr>
      <w:r>
        <w:rPr>
          <w:sz w:val="17"/>
        </w:rPr>
        <w:t>15. Chaumeil PA et al. GTDB Tk. Bioinformatics. 2019. https://doi.org/10.1093/bioinformatics/btz848</w:t>
      </w:r>
    </w:p>
    <w:p>
      <w:pPr>
        <w:spacing w:after="40"/>
        <w:ind w:left="288" w:hanging="288"/>
      </w:pPr>
      <w:r>
        <w:rPr>
          <w:sz w:val="17"/>
        </w:rPr>
        <w:t>16. O Leary NA et al. Reference sequence database at NCBI. Nucleic Acids Research. 2015. https://doi.org/10.1093/nar/gkv1189</w:t>
      </w:r>
    </w:p>
    <w:p>
      <w:pPr>
        <w:spacing w:after="40"/>
        <w:ind w:left="288" w:hanging="288"/>
      </w:pPr>
      <w:r>
        <w:rPr>
          <w:sz w:val="17"/>
        </w:rPr>
        <w:t>17. Eddy SR. Accelerated profile HMM searches. PLOS Computational Biology. 2011. https://doi.org/10.1371/journal.pcbi.1002195</w:t>
      </w:r>
    </w:p>
    <w:p>
      <w:pPr>
        <w:spacing w:after="40"/>
        <w:ind w:left="288" w:hanging="288"/>
      </w:pPr>
      <w:r>
        <w:rPr>
          <w:sz w:val="17"/>
        </w:rPr>
        <w:t>18. Mistry J et al. Pfam. Nucleic Acids Research. 2020. https://doi.org/10.1093/nar/gkaa913</w:t>
      </w:r>
    </w:p>
    <w:p>
      <w:pPr>
        <w:spacing w:after="40"/>
        <w:ind w:left="288" w:hanging="288"/>
      </w:pPr>
      <w:r>
        <w:rPr>
          <w:sz w:val="17"/>
        </w:rPr>
        <w:t>19. Steinegger M and Soding J. MMseqs2. Nature Biotechnology. 2017. https://doi.org/10.1038/nbt.3988</w:t>
      </w:r>
    </w:p>
    <w:p>
      <w:pPr>
        <w:spacing w:after="40"/>
        <w:ind w:left="288" w:hanging="288"/>
      </w:pPr>
      <w:r>
        <w:rPr>
          <w:sz w:val="17"/>
        </w:rPr>
        <w:t>20. Steinegger M and Soding J. Clustering huge protein sequence sets in linear time. Nature Communications. 2018. https://doi.org/10.1038/s41467-018-04964-5</w:t>
      </w:r>
    </w:p>
    <w:p>
      <w:pPr>
        <w:spacing w:after="40"/>
        <w:ind w:left="288" w:hanging="288"/>
      </w:pPr>
      <w:r>
        <w:rPr>
          <w:sz w:val="17"/>
        </w:rPr>
        <w:t>21. Buchfink B et al. Sensitive protein alignments at tree of life scale using DIAMOND. Nature Methods. 2021. https://doi.org/10.1038/s41592-021-01101-x</w:t>
      </w:r>
    </w:p>
    <w:p>
      <w:pPr>
        <w:spacing w:after="40"/>
        <w:ind w:left="288" w:hanging="288"/>
      </w:pPr>
      <w:r>
        <w:rPr>
          <w:sz w:val="17"/>
        </w:rPr>
        <w:t>22. Katoh K and Standley DM. MAFFT version 7. Molecular Biology and Evolution. 2013. https://doi.org/10.1093/molbev/mst010</w:t>
      </w:r>
    </w:p>
    <w:p>
      <w:pPr>
        <w:spacing w:after="40"/>
        <w:ind w:left="288" w:hanging="288"/>
      </w:pPr>
      <w:r>
        <w:rPr>
          <w:sz w:val="17"/>
        </w:rPr>
        <w:t>23. Capella Gutierrez S et al. trimAl. Bioinformatics. 2009. https://doi.org/10.1093/bioinformatics/btp348</w:t>
      </w:r>
    </w:p>
    <w:p>
      <w:pPr>
        <w:spacing w:after="40"/>
        <w:ind w:left="288" w:hanging="288"/>
      </w:pPr>
      <w:r>
        <w:rPr>
          <w:sz w:val="17"/>
        </w:rPr>
        <w:t>24. Price MN et al. FastTree 2. PLOS ONE. 2010. https://doi.org/10.1371/journal.pone.0009490</w:t>
      </w:r>
    </w:p>
    <w:p>
      <w:pPr>
        <w:spacing w:after="40"/>
        <w:ind w:left="288" w:hanging="288"/>
      </w:pPr>
      <w:r>
        <w:rPr>
          <w:sz w:val="17"/>
        </w:rPr>
        <w:t>25. Minh BQ et al. IQ TREE 2. Molecular Biology and Evolution. 2020. https://doi.org/10.1093/molbev/msaa015</w:t>
      </w:r>
    </w:p>
    <w:p>
      <w:pPr>
        <w:spacing w:after="40"/>
        <w:ind w:left="288" w:hanging="288"/>
      </w:pPr>
      <w:r>
        <w:rPr>
          <w:sz w:val="17"/>
        </w:rPr>
        <w:t>26. Kalyaanamoorthy S et al. ModelFinder. Nature Methods. 2017. https://doi.org/10.1038/nmeth.4285</w:t>
      </w:r>
    </w:p>
    <w:p>
      <w:pPr>
        <w:spacing w:after="40"/>
        <w:ind w:left="288" w:hanging="288"/>
      </w:pPr>
      <w:r>
        <w:rPr>
          <w:sz w:val="17"/>
        </w:rPr>
        <w:t>27. Hoang DT et al. UFBoot2. Molecular Biology and Evolution. 2018. https://doi.org/10.1093/molbev/msx281</w:t>
      </w:r>
    </w:p>
    <w:p>
      <w:pPr>
        <w:spacing w:after="40"/>
        <w:ind w:left="288" w:hanging="288"/>
      </w:pPr>
      <w:r>
        <w:rPr>
          <w:sz w:val="17"/>
        </w:rPr>
        <w:t>28. Bailey TL et al. The MEME Suite. Nucleic Acids Research. 2015. https://doi.org/10.1093/nar/gkv416</w:t>
      </w:r>
    </w:p>
    <w:p>
      <w:pPr>
        <w:spacing w:after="40"/>
        <w:ind w:left="288" w:hanging="288"/>
      </w:pPr>
      <w:r>
        <w:rPr>
          <w:sz w:val="17"/>
        </w:rPr>
        <w:t>29. Hyatt D et al. Prodigal. BMC Bioinformatics. 2010. https://doi.org/10.1186/1471-2105-11-119</w:t>
      </w:r>
    </w:p>
    <w:p>
      <w:pPr>
        <w:spacing w:after="40"/>
        <w:ind w:left="288" w:hanging="288"/>
      </w:pPr>
      <w:r>
        <w:rPr>
          <w:sz w:val="17"/>
        </w:rPr>
        <w:t>30. Jumper J et al. Highly accurate protein structure prediction with AlphaFold. Nature. 2021. https://doi.org/10.1038/s41586-021-03819-2</w:t>
      </w:r>
    </w:p>
    <w:p>
      <w:pPr>
        <w:spacing w:after="40"/>
        <w:ind w:left="288" w:hanging="288"/>
      </w:pPr>
      <w:r>
        <w:rPr>
          <w:sz w:val="17"/>
        </w:rPr>
        <w:t>31. Varadi M et al. AlphaFold Protein Structure Database. Nucleic Acids Research. 2021. https://doi.org/10.1093/nar/gkab1061</w:t>
      </w:r>
    </w:p>
    <w:p>
      <w:pPr>
        <w:spacing w:after="40"/>
        <w:ind w:left="288" w:hanging="288"/>
      </w:pPr>
      <w:r>
        <w:rPr>
          <w:sz w:val="17"/>
        </w:rPr>
        <w:t>32. van Kempen M et al. Fast and accurate protein structure search with Foldseek. Nature Biotechnology. 2023. https://doi.org/10.1038/s41587-023-01773-0</w:t>
      </w:r>
    </w:p>
    <w:p>
      <w:pPr>
        <w:spacing w:after="40"/>
        <w:ind w:left="288" w:hanging="288"/>
      </w:pPr>
      <w:r>
        <w:rPr>
          <w:sz w:val="17"/>
        </w:rPr>
        <w:t>33. Kunzmann P and Hamacher K. Biotite. BMC Bioinformatics. 2018. https://doi.org/10.1186/s12859-018-2367-z</w:t>
      </w:r>
    </w:p>
    <w:p>
      <w:pPr>
        <w:spacing w:after="40"/>
        <w:ind w:left="288" w:hanging="288"/>
      </w:pPr>
      <w:r>
        <w:rPr>
          <w:sz w:val="17"/>
        </w:rPr>
        <w:t>34. Liao Y et al. featureCounts. Bioinformatics. 2013. https://doi.org/10.1093/bioinformatics/btt656</w:t>
      </w:r>
    </w:p>
    <w:p>
      <w:pPr>
        <w:spacing w:after="40"/>
        <w:ind w:left="288" w:hanging="288"/>
      </w:pPr>
      <w:r>
        <w:rPr>
          <w:sz w:val="17"/>
        </w:rPr>
        <w:t>35. Benjamini Y and Hochberg Y. Controlling the false discovery rate. Journal of the Royal Statistical Society Series B. 1995. https://doi.org/10.1111/j.2517-6161.1995.tb02031.x</w:t>
      </w:r>
    </w:p>
    <w:p>
      <w:pPr>
        <w:spacing w:after="40"/>
        <w:ind w:left="288" w:hanging="288"/>
      </w:pPr>
      <w:r>
        <w:rPr>
          <w:sz w:val="17"/>
        </w:rPr>
        <w:t>36. Harris CR et al. Array programming with NumPy. Nature. 2020. https://doi.org/10.1038/s41586-020-2649-2</w:t>
      </w:r>
    </w:p>
    <w:p>
      <w:pPr>
        <w:spacing w:after="40"/>
        <w:ind w:left="288" w:hanging="288"/>
      </w:pPr>
      <w:r>
        <w:rPr>
          <w:sz w:val="17"/>
        </w:rPr>
        <w:t>37. Virtanen P et al. SciPy 1.0. Nature Methods. 2020. https://doi.org/10.1038/s41592-019-0686-2</w:t>
      </w:r>
    </w:p>
    <w:p>
      <w:pPr>
        <w:spacing w:after="40"/>
        <w:ind w:left="288" w:hanging="288"/>
      </w:pPr>
      <w:r>
        <w:rPr>
          <w:sz w:val="17"/>
        </w:rPr>
        <w:t>38. McKinney W. Data structures for statistical computing in Python. Proceedings of the Python in Science Conferences. 2010. https://doi.org/10.25080/Majora-92bf1922-00a</w:t>
      </w:r>
    </w:p>
    <w:p>
      <w:pPr>
        <w:spacing w:after="40"/>
        <w:ind w:left="288" w:hanging="288"/>
      </w:pPr>
      <w:r>
        <w:rPr>
          <w:sz w:val="17"/>
        </w:rPr>
        <w:t>39. Seabold S and Perktold J. Statsmodels. Proceedings of the Python in Science Conferences. 2010. https://doi.org/10.25080/Majora-92bf1922-011</w:t>
      </w:r>
    </w:p>
    <w:p>
      <w:pPr>
        <w:spacing w:after="40"/>
        <w:ind w:left="288" w:hanging="288"/>
      </w:pPr>
      <w:r>
        <w:rPr>
          <w:sz w:val="17"/>
        </w:rPr>
        <w:t>40. Cock PJA et al. Biopython. Bioinformatics. 2009. https://doi.org/10.1093/bioinformatics/btp163</w:t>
      </w:r>
    </w:p>
    <w:sectPr w:rsidR="00FC693F" w:rsidRPr="0006063C" w:rsidSect="00034616">
      <w:headerReference w:type="default" r:id="rId9"/>
      <w:footerReference w:type="default" r:id="rId10"/>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Noncanonical archaeal DNA binding domains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Noncanonical HTH and RHH DNA Binding Domain Families in Archaea</dc:title>
  <dc:subject>Revised manuscript with scoped claims and reproducibility audit corrections</dc:subject>
  <dc:creator>Ajay Vellanki; Shaurya Dosapati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