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Response to Editorial and Reviewer Comments</w:t>
      </w:r>
    </w:p>
    <w:p>
      <w:pPr>
        <w:spacing w:line="360" w:lineRule="auto"/>
        <w:jc w:val="left"/>
      </w:pPr>
      <w:r>
        <w:t>Manuscript: A catalog of archaeal HTH and RHH DNA-binding-domain families outside a nineteen-family reference set</w:t>
      </w:r>
    </w:p>
    <w:p>
      <w:pPr>
        <w:spacing w:line="360" w:lineRule="auto"/>
        <w:jc w:val="left"/>
      </w:pPr>
      <w:r>
        <w:rPr>
          <w:rFonts w:ascii="Arial" w:hAnsi="Arial"/>
        </w:rPr>
        <w:t>We thank the editor and reviewer for identifying problems in scope, narrative, sampling justification and methods transparency. We rebuilt the paper around a bounded catalog and addressed each substantive point below. Page references refer to the line-numbered Scientific Reports submission manuscript.</w:t>
      </w:r>
    </w:p>
    <w:p>
      <w:pPr>
        <w:pStyle w:val="Heading1"/>
        <w:spacing w:line="360" w:lineRule="auto"/>
        <w:jc w:val="left"/>
      </w:pPr>
      <w:r>
        <w:rPr>
          <w:rFonts w:ascii="Arial" w:hAnsi="Arial"/>
        </w:rPr>
        <w:t>Editor comment on narrative and synthesis</w:t>
      </w:r>
    </w:p>
    <w:p>
      <w:pPr>
        <w:spacing w:line="360" w:lineRule="auto"/>
        <w:jc w:val="left"/>
      </w:pPr>
      <w:r>
        <w:rPr>
          <w:rFonts w:ascii="Arial" w:hAnsi="Arial"/>
        </w:rPr>
        <w:t>We rewrote the title, Abstract, Results, Discussion and Methods around one question: what family-level diversity is detectable within Pfam clans CL0123 and CL0057 after removal of a nineteen-family reference set? Six main figures now follow the discovery, family, distribution, context and annotation sequence. Secondary analyses are labelled as validation, sensitivity or exploration (pp. 1-13).</w:t>
      </w:r>
    </w:p>
    <w:p>
      <w:pPr>
        <w:pStyle w:val="Heading1"/>
        <w:spacing w:line="360" w:lineRule="auto"/>
        <w:jc w:val="left"/>
      </w:pPr>
      <w:r>
        <w:rPr>
          <w:rFonts w:ascii="Arial" w:hAnsi="Arial"/>
        </w:rPr>
        <w:t>Major comment 1 on the scope of the map</w:t>
      </w:r>
    </w:p>
    <w:p>
      <w:pPr>
        <w:spacing w:line="360" w:lineRule="auto"/>
        <w:jc w:val="left"/>
      </w:pPr>
      <w:r>
        <w:rPr>
          <w:rFonts w:ascii="Arial" w:hAnsi="Arial"/>
        </w:rPr>
        <w:t>The title now says catalog rather than map. The Abstract and Introduction define the two-clan universe, and the Discussion states that proteins outside those clans or missed by their profiles are outside the study. We also distinguish a DNA-binding-domain assignment, a candidate regulator and an experimentally demonstrated transcription factor (pp. 1-3 and 11-13).</w:t>
      </w:r>
    </w:p>
    <w:p>
      <w:pPr>
        <w:pStyle w:val="Heading1"/>
        <w:spacing w:line="360" w:lineRule="auto"/>
        <w:jc w:val="left"/>
      </w:pPr>
      <w:r>
        <w:rPr>
          <w:rFonts w:ascii="Arial" w:hAnsi="Arial"/>
        </w:rPr>
        <w:t>Major comment 2 on the 331-genome panel</w:t>
      </w:r>
    </w:p>
    <w:p>
      <w:pPr>
        <w:spacing w:line="360" w:lineRule="auto"/>
        <w:jc w:val="left"/>
      </w:pPr>
      <w:r>
        <w:rPr>
          <w:rFonts w:ascii="Arial" w:hAnsi="Arial"/>
        </w:rPr>
        <w:t>The revised Results and Methods give the complete selection rule, lineage caps, proportional allocation and seed. The total of 331 is the rule's output. Three 500-replicate panel sensitivity schemes, a 10-100% lineage-stratified accumulation analysis and 500 independent-accession projection samples quantify robustness while explicitly stopping short of a de novo rediscovery claim (pp. 3-7 and 14-16).</w:t>
      </w:r>
    </w:p>
    <w:p>
      <w:pPr>
        <w:pStyle w:val="Heading1"/>
        <w:spacing w:line="360" w:lineRule="auto"/>
        <w:jc w:val="left"/>
      </w:pPr>
      <w:r>
        <w:rPr>
          <w:rFonts w:ascii="Arial" w:hAnsi="Arial"/>
        </w:rPr>
        <w:t>Major comment 3 on the regulatory region and exclusion rule</w:t>
      </w:r>
    </w:p>
    <w:p>
      <w:pPr>
        <w:spacing w:line="360" w:lineRule="auto"/>
        <w:jc w:val="left"/>
      </w:pPr>
      <w:r>
        <w:rPr>
          <w:rFonts w:ascii="Arial" w:hAnsi="Arial"/>
        </w:rPr>
        <w:t>We removed the term regulatory region from domain assignment. The revised Methods define the aligned candidate-domain interval, overlap denominator, greater-than-0.5 overlap condition, 5-bit score tolerance and handling of multiple hits. The inherited 5-bit value is described as operational rather than prospectively calibrated (pp. 4 and 14-15).</w:t>
      </w:r>
    </w:p>
    <w:p>
      <w:pPr>
        <w:pStyle w:val="Heading1"/>
        <w:spacing w:line="360" w:lineRule="auto"/>
        <w:jc w:val="left"/>
      </w:pPr>
      <w:r>
        <w:rPr>
          <w:rFonts w:ascii="Arial" w:hAnsi="Arial"/>
        </w:rPr>
        <w:t>Comment on regulatory claims and genomic-context statistics</w:t>
      </w:r>
    </w:p>
    <w:p>
      <w:pPr>
        <w:spacing w:line="360" w:lineRule="auto"/>
        <w:jc w:val="left"/>
      </w:pPr>
      <w:r>
        <w:rPr>
          <w:rFonts w:ascii="Arial" w:hAnsi="Arial"/>
        </w:rPr>
        <w:t>The manuscript reserves transcription factor for experimental evidence. Neighborhood associations are exploratory, and motif results are predictive. Because the historical dependence-corrected neighborhood table was not preserved, we removed individual claims that associations survived that analysis. Figure 5 now reports only the deposited initial table with an explicit limitation. Genome-, genus- and major-lineage-blocked motif analyses are reported separately (pp. 8-10 and 16-17).</w:t>
      </w:r>
    </w:p>
    <w:p>
      <w:pPr>
        <w:pStyle w:val="Heading1"/>
        <w:spacing w:line="360" w:lineRule="auto"/>
        <w:jc w:val="left"/>
      </w:pPr>
      <w:r>
        <w:rPr>
          <w:rFonts w:ascii="Arial" w:hAnsi="Arial"/>
        </w:rPr>
        <w:t>Comment on novelty and reproducibility</w:t>
      </w:r>
    </w:p>
    <w:p>
      <w:pPr>
        <w:spacing w:line="360" w:lineRule="auto"/>
        <w:jc w:val="left"/>
      </w:pPr>
      <w:r>
        <w:rPr>
          <w:rFonts w:ascii="Arial" w:hAnsi="Arial"/>
        </w:rPr>
        <w:t>The revised paper distinguishes being outside the nineteen-family reference set from broader sequence or fold novelty. Most Pfam-uncharacterized families resolve through CDD or structural comparison, leaving nine unresolved by the tested resources. The public release now includes sequences for all 13,237 family members, recovered from versioned NCBI records with URLs, dates and checksums. Remaining unavailable raw discovery artifacts are listed in the Data Availability statement and are not replaced or inferred (pp. 10-13 and 17-18).</w:t>
      </w:r>
    </w:p>
    <w:p>
      <w:pPr>
        <w:pStyle w:val="Heading1"/>
      </w:pPr>
      <w:r>
        <w:t>Additional publication-readiness review</w:t>
      </w:r>
    </w:p>
    <w:p>
      <w:r>
        <w:t>We added complete-genus holdout across all deposited catalog sequences. The analysis evaluated 13,166 sequences from 245 families and produced a median family accuracy of 0.826, substantially below the random sequence-split result. The manuscript now reports both values and identifies the random split as optimistic.</w:t>
      </w:r>
    </w:p>
    <w:p>
      <w:r>
        <w:t>We also corrected the final genome-accounting hit flag, restricted accession-level prevalence inference to the deposited 3,192-genome matrices, documented the unavailable historical reference-profile inventory, standardized seven mutually exclusive taxonomic labels, added explicit phylogenetic Results, removed the unsupported transcriptomic narrative, and replaced confirmatory terminology with secondary validation.</w:t>
      </w:r>
    </w:p>
    <w:sectPr>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