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color w:val="000000"/>
        </w:rPr>
        <w:t>Supplementary Information</w:t>
      </w:r>
    </w:p>
    <w:p>
      <w:pPr>
        <w:spacing w:line="360" w:lineRule="auto"/>
        <w:jc w:val="left"/>
      </w:pPr>
      <w:r>
        <w:t>A catalog of archaeal HTH and RHH DNA-binding-domain families outside a nineteen-family reference set</w:t>
      </w:r>
    </w:p>
    <w:p>
      <w:pPr>
        <w:spacing w:line="360" w:lineRule="auto"/>
        <w:jc w:val="left"/>
      </w:pPr>
      <w:r>
        <w:rPr>
          <w:rFonts w:ascii="Arial" w:hAnsi="Arial"/>
        </w:rPr>
        <w:t>Ajay Vellanki and Shaurya Dosapati</w:t>
      </w:r>
    </w:p>
    <w:p>
      <w:pPr>
        <w:pStyle w:val="Heading1"/>
        <w:spacing w:line="360" w:lineRule="auto"/>
        <w:jc w:val="left"/>
      </w:pPr>
      <w:r>
        <w:rPr>
          <w:rFonts w:ascii="Arial" w:hAnsi="Arial"/>
        </w:rPr>
        <w:t>Supplementary Methods</w:t>
      </w:r>
    </w:p>
    <w:p>
      <w:pPr>
        <w:pStyle w:val="Heading2"/>
        <w:spacing w:line="360" w:lineRule="auto"/>
        <w:jc w:val="left"/>
      </w:pPr>
      <w:r>
        <w:rPr>
          <w:rFonts w:ascii="Arial" w:hAnsi="Arial"/>
        </w:rPr>
        <w:t>Operational scope and terminology</w:t>
      </w:r>
    </w:p>
    <w:p>
      <w:pPr>
        <w:spacing w:line="360" w:lineRule="auto"/>
        <w:jc w:val="left"/>
      </w:pPr>
      <w:r>
        <w:t>The historical discovery universe comprised archaeal proteins detected by profiles in Pfam clans CL0123 and CL0057. Outside the reference set means not explained by the nineteen-family assignment used in that analysis. The exact mapping of families to twenty reference models, the 747 candidate-model accessions and the Pfam release were not preserved. The term therefore does not mean previously undescribed in all databases and does not establish transcription-factor activity.</w:t>
      </w:r>
    </w:p>
    <w:p>
      <w:pPr>
        <w:pStyle w:val="Heading2"/>
        <w:spacing w:line="360" w:lineRule="auto"/>
        <w:jc w:val="left"/>
      </w:pPr>
      <w:r>
        <w:rPr>
          <w:rFonts w:ascii="Arial" w:hAnsi="Arial"/>
        </w:rPr>
        <w:t>Panel construction</w:t>
      </w:r>
    </w:p>
    <w:p>
      <w:pPr>
        <w:spacing w:line="360" w:lineRule="auto"/>
        <w:jc w:val="left"/>
      </w:pPr>
      <w:r>
        <w:t>Assemblies were assigned to seven mutually exclusive historical categories: Euryarchaeota, Crenarchaeota within TACK, Thaumarchaeota within TACK, other deep TACK, Korarchaeota within TACK, DPANN and Asgardarchaeota. All genomes from five underrepresented groups were retained. Euryarchaeota and Crenarchaeota within TACK were capped at 140 and 70. The exact GTDB release was not preserved.</w:t>
      </w:r>
    </w:p>
    <w:p>
      <w:pPr>
        <w:pStyle w:val="Heading2"/>
        <w:spacing w:line="360" w:lineRule="auto"/>
        <w:jc w:val="left"/>
      </w:pPr>
      <w:r>
        <w:rPr>
          <w:rFonts w:ascii="Arial" w:hAnsi="Arial"/>
        </w:rPr>
        <w:t>Reciprocal exclusion</w:t>
      </w:r>
    </w:p>
    <w:p>
      <w:pPr>
        <w:spacing w:line="360" w:lineRule="auto"/>
        <w:jc w:val="left"/>
      </w:pPr>
      <w:r>
        <w:rPr>
          <w:rFonts w:ascii="Arial" w:hAnsi="Arial"/>
        </w:rPr>
        <w:t>For each protein, the best-scoring candidate-domain interval was compared with the best canonical hit. Overlap was shared aligned residues divided by candidate-interval length. A candidate was excluded when overlap exceeded 0.5 and the canonical domain score was at least the candidate score minus 5 bits. The highest-scoring retained candidate was used when multiple candidates remained.</w:t>
      </w:r>
    </w:p>
    <w:p>
      <w:pPr>
        <w:pStyle w:val="Heading2"/>
        <w:spacing w:line="360" w:lineRule="auto"/>
        <w:jc w:val="left"/>
      </w:pPr>
      <w:r>
        <w:rPr>
          <w:rFonts w:ascii="Arial" w:hAnsi="Arial"/>
        </w:rPr>
        <w:t>Family construction</w:t>
      </w:r>
    </w:p>
    <w:p>
      <w:pPr>
        <w:spacing w:line="360" w:lineRule="auto"/>
        <w:jc w:val="left"/>
      </w:pPr>
      <w:r>
        <w:rPr>
          <w:rFonts w:ascii="Arial" w:hAnsi="Arial"/>
        </w:rPr>
        <w:t>Retained proteins were clustered with MMseqs2 at minimum identity 0.30 and coverage 0.60, coverage mode 0, cluster mode 1. Clusters required occurrence in at least five genomes, median length below 250 amino acids, at least 60 percent of members below 250 amino acids, and absence of clearly nonregulatory annotation keywords.</w:t>
      </w:r>
    </w:p>
    <w:p>
      <w:pPr>
        <w:pStyle w:val="Heading2"/>
        <w:spacing w:line="360" w:lineRule="auto"/>
        <w:jc w:val="left"/>
      </w:pPr>
      <w:r>
        <w:rPr>
          <w:rFonts w:ascii="Arial" w:hAnsi="Arial"/>
        </w:rPr>
        <w:t>Nonregulatory exclusion list</w:t>
      </w:r>
    </w:p>
    <w:p>
      <w:pPr>
        <w:spacing w:line="360" w:lineRule="auto"/>
        <w:jc w:val="left"/>
      </w:pPr>
      <w:r>
        <w:rPr>
          <w:rFonts w:ascii="Arial" w:hAnsi="Arial"/>
        </w:rPr>
        <w:t>A cluster was excluded when its dominant Pfam label exactly matched or began with one of the following patterns: eIF-5_eIF-2B, Ribosomal_S19e, TFIIE_alpha, SRP19, TFIIE_beta, RNA_pol_Rpb, S10_plectin, Ribosomal_L29, Ribosomal_S13, tRNA_bind, RuvA_N, RuvA_C, DNA_pol, Rad51, RecA, DEAD, Helicase_C, ResIII, HNH, GIY-YIG, Homeodomain, Pou, Ets, Fork_head, CBFD_NFYB_HMF, Myb_DNA-binding, Myb_DNA-bind, HTH_psq, zf-, Integrase, rve, Recombinase, Resolvase, Terminase, Phage, DNA_binding_1, Sigma54_activat, Sigma70_r2, Sigma70_r3, Sigma70_r1, AAA, Cdc6_C, Mor, CsrA, KH, OB_, RRM, dsrm, PAZ or Piwi. This rule removes obvious non-target families but cannot establish regulatory activity for retained clusters.</w:t>
      </w:r>
    </w:p>
    <w:p>
      <w:pPr>
        <w:pStyle w:val="Heading2"/>
        <w:spacing w:line="360" w:lineRule="auto"/>
        <w:jc w:val="left"/>
      </w:pPr>
      <w:r>
        <w:rPr>
          <w:rFonts w:ascii="Arial" w:hAnsi="Arial"/>
        </w:rPr>
        <w:t>Catalog sequence recovery</w:t>
      </w:r>
    </w:p>
    <w:p>
      <w:pPr>
        <w:spacing w:line="360" w:lineRule="auto"/>
        <w:jc w:val="left"/>
      </w:pPr>
      <w:r>
        <w:rPr>
          <w:rFonts w:ascii="Arial" w:hAnsi="Arial"/>
        </w:rPr>
        <w:t>Protein sequences for all 13,237 released family members were recovered by accession. Versioned NCBI assembly protein FASTA files supplied 13,232 sequences; five accessions absent from their current assembly files were recovered through NCBI Protein. Every recovered sequence matched the length recorded in the membership table. The release includes a deterministic compressed FASTA, source URLs, retrieval dates, source-file checksums, accession-level fallback records and an empty missing-sequence report.</w:t>
      </w:r>
    </w:p>
    <w:p>
      <w:pPr>
        <w:pStyle w:val="Heading2"/>
        <w:spacing w:line="360" w:lineRule="auto"/>
        <w:jc w:val="left"/>
      </w:pPr>
      <w:r>
        <w:rPr>
          <w:rFonts w:ascii="Arial" w:hAnsi="Arial"/>
        </w:rPr>
        <w:t>Panel and projection sensitivity</w:t>
      </w:r>
    </w:p>
    <w:p>
      <w:pPr>
        <w:spacing w:line="360" w:lineRule="auto"/>
        <w:jc w:val="left"/>
      </w:pPr>
      <w:r>
        <w:rPr>
          <w:rFonts w:ascii="Arial" w:hAnsi="Arial"/>
        </w:rPr>
        <w:t>Five hundred seeded within-panel resamples tested three alternative sampling schemes using fixed family membership. A lineage-stratified accumulation analysis sampled 10 to 100% of each major group in 10% increments, with 500 replicates below the complete panel. A separate 500-replicate analysis sampled 331 lineage-matched genomes from the independent 3,192-genome projection matrix after removing discovery-panel accessions. These analyses test fixed-catalog observation, retention and HMM transfer, not de novo rediscovery.</w:t>
      </w:r>
    </w:p>
    <w:p>
      <w:pPr>
        <w:pStyle w:val="Heading2"/>
        <w:spacing w:line="360" w:lineRule="auto"/>
        <w:jc w:val="left"/>
      </w:pPr>
      <w:r>
        <w:rPr>
          <w:rFonts w:ascii="Arial" w:hAnsi="Arial"/>
        </w:rPr>
        <w:t>Genome-quality sensitivity</w:t>
      </w:r>
    </w:p>
    <w:p>
      <w:pPr>
        <w:spacing w:line="360" w:lineRule="auto"/>
        <w:jc w:val="left"/>
      </w:pPr>
      <w:r>
        <w:rPr>
          <w:rFonts w:ascii="Arial" w:hAnsi="Arial"/>
        </w:rPr>
        <w:t>The 3,192 accession-resolved projection genomes were stratified by origin, assembly level, and reported completeness/contamination. Per-family prevalence and detected-family counts were reported. Contrasts are descriptive because strata are confounded with lineage and sampling.</w:t>
      </w:r>
    </w:p>
    <w:p>
      <w:pPr>
        <w:pStyle w:val="Heading2"/>
        <w:spacing w:line="360" w:lineRule="auto"/>
        <w:jc w:val="left"/>
      </w:pPr>
      <w:r>
        <w:rPr>
          <w:rFonts w:ascii="Arial" w:hAnsi="Arial"/>
        </w:rPr>
        <w:t>Taxonomic clustered prevalence</w:t>
      </w:r>
    </w:p>
    <w:p>
      <w:pPr>
        <w:spacing w:line="360" w:lineRule="auto"/>
        <w:jc w:val="left"/>
      </w:pPr>
      <w:r>
        <w:rPr>
          <w:rFonts w:ascii="Arial" w:hAnsi="Arial"/>
        </w:rPr>
        <w:t>Organism names defined 533 inferred genus clusters. Genera were resampled with replacement for 1,000 seeded replicates to obtain genus-balanced and cluster-weighted prevalence intervals. This addresses cluster sampling but is not a species-tree model.</w:t>
      </w:r>
    </w:p>
    <w:p>
      <w:pPr>
        <w:pStyle w:val="Heading2"/>
        <w:spacing w:line="360" w:lineRule="auto"/>
        <w:jc w:val="left"/>
      </w:pPr>
      <w:r>
        <w:rPr>
          <w:rFonts w:ascii="Arial" w:hAnsi="Arial"/>
        </w:rPr>
        <w:t>Motif holdout</w:t>
      </w:r>
    </w:p>
    <w:p>
      <w:pPr>
        <w:spacing w:line="360" w:lineRule="auto"/>
        <w:jc w:val="left"/>
      </w:pPr>
      <w:r>
        <w:rPr>
          <w:rFonts w:ascii="Arial" w:hAnsi="Arial"/>
        </w:rPr>
        <w:t>For twelve families, PWMs were fitted on taxonomically separated training data. Genome-blocked splits held out genomes, genus-blocked splits held out complete genera, and the strictest analysis left out one major lineage at a time with same-lineage other-family controls. Minimum sample-size failures were reported as unevaluable. Results remain predictive rather than biochemical.</w:t>
      </w:r>
    </w:p>
    <w:p>
      <w:pPr>
        <w:pStyle w:val="Heading2"/>
        <w:spacing w:line="360" w:lineRule="auto"/>
        <w:jc w:val="left"/>
      </w:pPr>
      <w:r>
        <w:t>Catalog-wide complete-genus family separability</w:t>
      </w:r>
    </w:p>
    <w:p>
      <w:pPr>
        <w:spacing w:line="360" w:lineRule="auto"/>
        <w:jc w:val="left"/>
      </w:pPr>
      <w:r>
        <w:t>All 13,237 deposited proteins were represented by normalized dipeptide frequencies. Each test sequence was classified against family centroids fitted after every sequence from its inferred genus had been removed. Families required at least two remaining training sequences. The analysis evaluated 13,166 sequences from 245 families and reports sequence assignments, family-level exact binomial intervals, macro- and micro-accuracy and separation margins. It is a complete-genus composition check, not calibrated HMM validation.</w:t>
      </w:r>
    </w:p>
    <w:p>
      <w:pPr>
        <w:pStyle w:val="Heading2"/>
        <w:spacing w:line="360" w:lineRule="auto"/>
        <w:jc w:val="left"/>
      </w:pPr>
      <w:r>
        <w:rPr>
          <w:rFonts w:ascii="Arial" w:hAnsi="Arial"/>
        </w:rPr>
        <w:t>Evidence limits</w:t>
      </w:r>
    </w:p>
    <w:p>
      <w:pPr>
        <w:spacing w:line="360" w:lineRule="auto"/>
        <w:jc w:val="left"/>
      </w:pPr>
      <w:r>
        <w:rPr>
          <w:rFonts w:ascii="Arial" w:hAnsi="Arial"/>
        </w:rPr>
        <w:t>Neighborhood enrichment is treated as association, motif prediction as sequence-level prediction, and structure matching as similarity to a curated reference set. None alone demonstrates direct DNA binding or transcriptional regulation.</w:t>
      </w:r>
    </w:p>
    <w:p>
      <w:pPr>
        <w:pStyle w:val="Heading1"/>
        <w:spacing w:line="360" w:lineRule="auto"/>
        <w:jc w:val="left"/>
      </w:pPr>
      <w:r>
        <w:t>Supplementary Table S1 Analysis classification</w:t>
      </w:r>
    </w:p>
    <w:tbl>
      <w:tblPr>
        <w:tblStyle w:val="TableGrid"/>
        <w:tblW w:type="auto" w:w="0"/>
        <w:tblLook w:firstColumn="1" w:firstRow="1" w:lastColumn="0" w:lastRow="0" w:noHBand="0" w:noVBand="1" w:val="04A0"/>
      </w:tblPr>
      <w:tblGrid>
        <w:gridCol w:w="2448"/>
        <w:gridCol w:w="2448"/>
        <w:gridCol w:w="2448"/>
        <w:gridCol w:w="2448"/>
      </w:tblGrid>
      <w:tr>
        <w:trPr>
          <w:cantSplit/>
          <w:tblHeader/>
        </w:trPr>
        <w:tc>
          <w:tcPr>
            <w:tcW w:type="dxa" w:w="2448"/>
          </w:tcPr>
          <w:p>
            <w:pPr>
              <w:spacing w:line="240" w:lineRule="auto" w:after="0"/>
            </w:pPr>
            <w:r>
              <w:rPr>
                <w:rFonts w:ascii="Arial" w:hAnsi="Arial"/>
                <w:b/>
                <w:sz w:val="16"/>
              </w:rPr>
              <w:t>Analysis</w:t>
            </w:r>
          </w:p>
        </w:tc>
        <w:tc>
          <w:tcPr>
            <w:tcW w:type="dxa" w:w="2448"/>
          </w:tcPr>
          <w:p>
            <w:pPr>
              <w:spacing w:line="240" w:lineRule="auto" w:after="0"/>
            </w:pPr>
            <w:r>
              <w:rPr>
                <w:rFonts w:ascii="Arial" w:hAnsi="Arial"/>
                <w:b/>
                <w:sz w:val="16"/>
              </w:rPr>
              <w:t>Role</w:t>
            </w:r>
          </w:p>
        </w:tc>
        <w:tc>
          <w:tcPr>
            <w:tcW w:type="dxa" w:w="2448"/>
          </w:tcPr>
          <w:p>
            <w:pPr>
              <w:spacing w:line="240" w:lineRule="auto" w:after="0"/>
            </w:pPr>
            <w:r>
              <w:rPr>
                <w:rFonts w:ascii="Arial" w:hAnsi="Arial"/>
                <w:b/>
                <w:sz w:val="16"/>
              </w:rPr>
              <w:t>Question</w:t>
            </w:r>
          </w:p>
        </w:tc>
        <w:tc>
          <w:tcPr>
            <w:tcW w:type="dxa" w:w="2448"/>
          </w:tcPr>
          <w:p>
            <w:pPr>
              <w:spacing w:line="240" w:lineRule="auto" w:after="0"/>
            </w:pPr>
            <w:r>
              <w:rPr>
                <w:rFonts w:ascii="Arial" w:hAnsi="Arial"/>
                <w:b/>
                <w:sz w:val="16"/>
              </w:rPr>
              <w:t>Principal limit</w:t>
            </w:r>
          </w:p>
        </w:tc>
      </w:tr>
      <w:tr>
        <w:trPr>
          <w:cantSplit/>
        </w:trPr>
        <w:tc>
          <w:tcPr>
            <w:tcW w:type="dxa" w:w="2448"/>
          </w:tcPr>
          <w:p>
            <w:pPr>
              <w:spacing w:line="240" w:lineRule="auto" w:after="0"/>
            </w:pPr>
            <w:r>
              <w:rPr>
                <w:rFonts w:ascii="Arial" w:hAnsi="Arial"/>
                <w:sz w:val="16"/>
              </w:rPr>
              <w:t>Catalog size and membership</w:t>
            </w:r>
          </w:p>
        </w:tc>
        <w:tc>
          <w:tcPr>
            <w:tcW w:type="dxa" w:w="2448"/>
          </w:tcPr>
          <w:p>
            <w:pPr>
              <w:spacing w:line="240" w:lineRule="auto" w:after="0"/>
            </w:pPr>
            <w:r>
              <w:rPr>
                <w:rFonts w:ascii="Arial" w:hAnsi="Arial"/>
                <w:sz w:val="16"/>
              </w:rPr>
              <w:t>Primary descriptive</w:t>
            </w:r>
          </w:p>
        </w:tc>
        <w:tc>
          <w:tcPr>
            <w:tcW w:type="dxa" w:w="2448"/>
          </w:tcPr>
          <w:p>
            <w:pPr>
              <w:spacing w:line="240" w:lineRule="auto" w:after="0"/>
            </w:pPr>
            <w:r>
              <w:rPr>
                <w:rFonts w:ascii="Arial" w:hAnsi="Arial"/>
                <w:sz w:val="16"/>
              </w:rPr>
              <w:t>Prespecified released pipeline summaries</w:t>
            </w:r>
          </w:p>
        </w:tc>
        <w:tc>
          <w:tcPr>
            <w:tcW w:type="dxa" w:w="2448"/>
          </w:tcPr>
          <w:p>
            <w:pPr>
              <w:spacing w:line="240" w:lineRule="auto" w:after="0"/>
            </w:pPr>
            <w:r>
              <w:rPr>
                <w:rFonts w:ascii="Arial" w:hAnsi="Arial"/>
                <w:sz w:val="16"/>
              </w:rPr>
              <w:t>Bounded to two Pfam clans</w:t>
            </w:r>
          </w:p>
        </w:tc>
      </w:tr>
      <w:tr>
        <w:trPr>
          <w:cantSplit/>
        </w:trPr>
        <w:tc>
          <w:tcPr>
            <w:tcW w:type="dxa" w:w="2448"/>
          </w:tcPr>
          <w:p>
            <w:pPr>
              <w:spacing w:line="240" w:lineRule="auto" w:after="0"/>
            </w:pPr>
            <w:r>
              <w:rPr>
                <w:rFonts w:ascii="Arial" w:hAnsi="Arial"/>
                <w:sz w:val="16"/>
              </w:rPr>
              <w:t>Held-out family HMM assignment</w:t>
            </w:r>
          </w:p>
        </w:tc>
        <w:tc>
          <w:tcPr>
            <w:tcW w:type="dxa" w:w="2448"/>
          </w:tcPr>
          <w:p>
            <w:pPr>
              <w:spacing w:line="240" w:lineRule="auto" w:after="0"/>
            </w:pPr>
            <w:r>
              <w:rPr>
                <w:rFonts w:ascii="Arial" w:hAnsi="Arial"/>
                <w:sz w:val="16"/>
              </w:rPr>
              <w:t>Secondary validation</w:t>
            </w:r>
          </w:p>
        </w:tc>
        <w:tc>
          <w:tcPr>
            <w:tcW w:type="dxa" w:w="2448"/>
          </w:tcPr>
          <w:p>
            <w:pPr>
              <w:spacing w:line="240" w:lineRule="auto" w:after="0"/>
            </w:pPr>
            <w:r>
              <w:rPr>
                <w:rFonts w:ascii="Arial" w:hAnsi="Arial"/>
                <w:sz w:val="16"/>
              </w:rPr>
              <w:t>Withheld sequence assignment</w:t>
            </w:r>
          </w:p>
        </w:tc>
        <w:tc>
          <w:tcPr>
            <w:tcW w:type="dxa" w:w="2448"/>
          </w:tcPr>
          <w:p>
            <w:pPr>
              <w:spacing w:line="240" w:lineRule="auto" w:after="0"/>
            </w:pPr>
            <w:r>
              <w:rPr>
                <w:rFonts w:ascii="Arial" w:hAnsi="Arial"/>
                <w:sz w:val="16"/>
              </w:rPr>
              <w:t>Random split; possible taxonomic leakage</w:t>
            </w:r>
          </w:p>
        </w:tc>
      </w:tr>
      <w:tr>
        <w:trPr>
          <w:cantSplit/>
        </w:trPr>
        <w:tc>
          <w:tcPr>
            <w:tcW w:type="dxa" w:w="2448"/>
          </w:tcPr>
          <w:p>
            <w:pPr>
              <w:spacing w:line="240" w:lineRule="auto" w:after="0"/>
            </w:pPr>
            <w:r>
              <w:rPr>
                <w:rFonts w:ascii="Arial" w:hAnsi="Arial"/>
                <w:sz w:val="16"/>
              </w:rPr>
              <w:t>Independent-genome projection</w:t>
            </w:r>
          </w:p>
        </w:tc>
        <w:tc>
          <w:tcPr>
            <w:tcW w:type="dxa" w:w="2448"/>
          </w:tcPr>
          <w:p>
            <w:pPr>
              <w:spacing w:line="240" w:lineRule="auto" w:after="0"/>
            </w:pPr>
            <w:r>
              <w:rPr>
                <w:rFonts w:ascii="Arial" w:hAnsi="Arial"/>
                <w:sz w:val="16"/>
              </w:rPr>
              <w:t>Secondary validation</w:t>
            </w:r>
          </w:p>
        </w:tc>
        <w:tc>
          <w:tcPr>
            <w:tcW w:type="dxa" w:w="2448"/>
          </w:tcPr>
          <w:p>
            <w:pPr>
              <w:spacing w:line="240" w:lineRule="auto" w:after="0"/>
            </w:pPr>
            <w:r>
              <w:rPr>
                <w:rFonts w:ascii="Arial" w:hAnsi="Arial"/>
                <w:sz w:val="16"/>
              </w:rPr>
              <w:t>Zero accession overlap</w:t>
            </w:r>
          </w:p>
        </w:tc>
        <w:tc>
          <w:tcPr>
            <w:tcW w:type="dxa" w:w="2448"/>
          </w:tcPr>
          <w:p>
            <w:pPr>
              <w:spacing w:line="240" w:lineRule="auto" w:after="0"/>
            </w:pPr>
            <w:r>
              <w:rPr>
                <w:rFonts w:ascii="Arial" w:hAnsi="Arial"/>
                <w:sz w:val="16"/>
              </w:rPr>
              <w:t>Fixed HMMs; no rediscovery</w:t>
            </w:r>
          </w:p>
        </w:tc>
      </w:tr>
      <w:tr>
        <w:trPr>
          <w:cantSplit/>
        </w:trPr>
        <w:tc>
          <w:tcPr>
            <w:tcW w:type="dxa" w:w="2448"/>
          </w:tcPr>
          <w:p>
            <w:pPr>
              <w:spacing w:line="240" w:lineRule="auto" w:after="0"/>
            </w:pPr>
            <w:r>
              <w:rPr>
                <w:rFonts w:ascii="Arial" w:hAnsi="Arial"/>
                <w:sz w:val="16"/>
              </w:rPr>
              <w:t>Genome/genus/lineage-blocked motif AUC</w:t>
            </w:r>
          </w:p>
        </w:tc>
        <w:tc>
          <w:tcPr>
            <w:tcW w:type="dxa" w:w="2448"/>
          </w:tcPr>
          <w:p>
            <w:pPr>
              <w:spacing w:line="240" w:lineRule="auto" w:after="0"/>
            </w:pPr>
            <w:r>
              <w:rPr>
                <w:rFonts w:ascii="Arial" w:hAnsi="Arial"/>
                <w:sz w:val="16"/>
              </w:rPr>
              <w:t>Robustness</w:t>
            </w:r>
          </w:p>
        </w:tc>
        <w:tc>
          <w:tcPr>
            <w:tcW w:type="dxa" w:w="2448"/>
          </w:tcPr>
          <w:p>
            <w:pPr>
              <w:spacing w:line="240" w:lineRule="auto" w:after="0"/>
            </w:pPr>
            <w:r>
              <w:rPr>
                <w:rFonts w:ascii="Arial" w:hAnsi="Arial"/>
                <w:sz w:val="16"/>
              </w:rPr>
              <w:t>Out-of-sample discrimination</w:t>
            </w:r>
          </w:p>
        </w:tc>
        <w:tc>
          <w:tcPr>
            <w:tcW w:type="dxa" w:w="2448"/>
          </w:tcPr>
          <w:p>
            <w:pPr>
              <w:spacing w:line="240" w:lineRule="auto" w:after="0"/>
            </w:pPr>
            <w:r>
              <w:rPr>
                <w:rFonts w:ascii="Arial" w:hAnsi="Arial"/>
                <w:sz w:val="16"/>
              </w:rPr>
              <w:t>Predictive, not biochemical</w:t>
            </w:r>
          </w:p>
        </w:tc>
      </w:tr>
      <w:tr>
        <w:trPr>
          <w:cantSplit/>
        </w:trPr>
        <w:tc>
          <w:tcPr>
            <w:tcW w:type="dxa" w:w="2448"/>
          </w:tcPr>
          <w:p>
            <w:pPr>
              <w:spacing w:line="240" w:lineRule="auto" w:after="0"/>
            </w:pPr>
            <w:r>
              <w:rPr>
                <w:rFonts w:ascii="Arial" w:hAnsi="Arial"/>
                <w:sz w:val="16"/>
              </w:rPr>
              <w:t>Genome-quality stratification</w:t>
            </w:r>
          </w:p>
        </w:tc>
        <w:tc>
          <w:tcPr>
            <w:tcW w:type="dxa" w:w="2448"/>
          </w:tcPr>
          <w:p>
            <w:pPr>
              <w:spacing w:line="240" w:lineRule="auto" w:after="0"/>
            </w:pPr>
            <w:r>
              <w:rPr>
                <w:rFonts w:ascii="Arial" w:hAnsi="Arial"/>
                <w:sz w:val="16"/>
              </w:rPr>
              <w:t>Sensitivity</w:t>
            </w:r>
          </w:p>
        </w:tc>
        <w:tc>
          <w:tcPr>
            <w:tcW w:type="dxa" w:w="2448"/>
          </w:tcPr>
          <w:p>
            <w:pPr>
              <w:spacing w:line="240" w:lineRule="auto" w:after="0"/>
            </w:pPr>
            <w:r>
              <w:rPr>
                <w:rFonts w:ascii="Arial" w:hAnsi="Arial"/>
                <w:sz w:val="16"/>
              </w:rPr>
              <w:t>Robustness across deposited strata</w:t>
            </w:r>
          </w:p>
        </w:tc>
        <w:tc>
          <w:tcPr>
            <w:tcW w:type="dxa" w:w="2448"/>
          </w:tcPr>
          <w:p>
            <w:pPr>
              <w:spacing w:line="240" w:lineRule="auto" w:after="0"/>
            </w:pPr>
            <w:r>
              <w:rPr>
                <w:rFonts w:ascii="Arial" w:hAnsi="Arial"/>
                <w:sz w:val="16"/>
              </w:rPr>
              <w:t>Descriptive; confounded</w:t>
            </w:r>
          </w:p>
        </w:tc>
      </w:tr>
      <w:tr>
        <w:trPr>
          <w:cantSplit/>
        </w:trPr>
        <w:tc>
          <w:tcPr>
            <w:tcW w:type="dxa" w:w="2448"/>
          </w:tcPr>
          <w:p>
            <w:pPr>
              <w:spacing w:line="240" w:lineRule="auto" w:after="0"/>
            </w:pPr>
            <w:r>
              <w:rPr>
                <w:rFonts w:ascii="Arial" w:hAnsi="Arial"/>
                <w:sz w:val="16"/>
              </w:rPr>
              <w:t>Genus-clustered prevalence</w:t>
            </w:r>
          </w:p>
        </w:tc>
        <w:tc>
          <w:tcPr>
            <w:tcW w:type="dxa" w:w="2448"/>
          </w:tcPr>
          <w:p>
            <w:pPr>
              <w:spacing w:line="240" w:lineRule="auto" w:after="0"/>
            </w:pPr>
            <w:r>
              <w:rPr>
                <w:rFonts w:ascii="Arial" w:hAnsi="Arial"/>
                <w:sz w:val="16"/>
              </w:rPr>
              <w:t>Sensitivity</w:t>
            </w:r>
          </w:p>
        </w:tc>
        <w:tc>
          <w:tcPr>
            <w:tcW w:type="dxa" w:w="2448"/>
          </w:tcPr>
          <w:p>
            <w:pPr>
              <w:spacing w:line="240" w:lineRule="auto" w:after="0"/>
            </w:pPr>
            <w:r>
              <w:rPr>
                <w:rFonts w:ascii="Arial" w:hAnsi="Arial"/>
                <w:sz w:val="16"/>
              </w:rPr>
              <w:t>Taxonomic sampling imbalance</w:t>
            </w:r>
          </w:p>
        </w:tc>
        <w:tc>
          <w:tcPr>
            <w:tcW w:type="dxa" w:w="2448"/>
          </w:tcPr>
          <w:p>
            <w:pPr>
              <w:spacing w:line="240" w:lineRule="auto" w:after="0"/>
            </w:pPr>
            <w:r>
              <w:rPr>
                <w:rFonts w:ascii="Arial" w:hAnsi="Arial"/>
                <w:sz w:val="16"/>
              </w:rPr>
              <w:t>Organism-name genera; no species tree</w:t>
            </w:r>
          </w:p>
        </w:tc>
      </w:tr>
      <w:tr>
        <w:trPr>
          <w:cantSplit/>
        </w:trPr>
        <w:tc>
          <w:tcPr>
            <w:tcW w:type="dxa" w:w="2448"/>
          </w:tcPr>
          <w:p>
            <w:pPr>
              <w:spacing w:line="240" w:lineRule="auto" w:after="0"/>
            </w:pPr>
            <w:r>
              <w:rPr>
                <w:rFonts w:ascii="Arial" w:hAnsi="Arial"/>
                <w:sz w:val="16"/>
              </w:rPr>
              <w:t>Catalog-wide complete-genus separability</w:t>
            </w:r>
          </w:p>
        </w:tc>
        <w:tc>
          <w:tcPr>
            <w:tcW w:type="dxa" w:w="2448"/>
          </w:tcPr>
          <w:p>
            <w:pPr>
              <w:spacing w:line="240" w:lineRule="auto" w:after="0"/>
            </w:pPr>
            <w:r>
              <w:rPr>
                <w:rFonts w:ascii="Arial" w:hAnsi="Arial"/>
                <w:sz w:val="16"/>
              </w:rPr>
              <w:t>Secondary validation</w:t>
            </w:r>
          </w:p>
        </w:tc>
        <w:tc>
          <w:tcPr>
            <w:tcW w:type="dxa" w:w="2448"/>
          </w:tcPr>
          <w:p>
            <w:pPr>
              <w:spacing w:line="240" w:lineRule="auto" w:after="0"/>
            </w:pPr>
            <w:r>
              <w:rPr>
                <w:rFonts w:ascii="Arial" w:hAnsi="Arial"/>
                <w:sz w:val="16"/>
              </w:rPr>
              <w:t>Taxonomically blocked boundary coherence</w:t>
            </w:r>
          </w:p>
        </w:tc>
        <w:tc>
          <w:tcPr>
            <w:tcW w:type="dxa" w:w="2448"/>
          </w:tcPr>
          <w:p>
            <w:pPr>
              <w:spacing w:line="240" w:lineRule="auto" w:after="0"/>
            </w:pPr>
            <w:r>
              <w:rPr>
                <w:rFonts w:ascii="Arial" w:hAnsi="Arial"/>
                <w:sz w:val="16"/>
              </w:rPr>
              <w:t>Composition-based; five families unevaluable</w:t>
            </w:r>
          </w:p>
        </w:tc>
      </w:tr>
      <w:tr>
        <w:trPr>
          <w:cantSplit/>
        </w:trPr>
        <w:tc>
          <w:tcPr>
            <w:tcW w:type="dxa" w:w="2448"/>
          </w:tcPr>
          <w:p>
            <w:pPr>
              <w:spacing w:line="240" w:lineRule="auto" w:after="0"/>
            </w:pPr>
            <w:r>
              <w:rPr>
                <w:rFonts w:ascii="Arial" w:hAnsi="Arial"/>
                <w:sz w:val="16"/>
              </w:rPr>
              <w:t>Neighborhood enrichment</w:t>
            </w:r>
          </w:p>
        </w:tc>
        <w:tc>
          <w:tcPr>
            <w:tcW w:type="dxa" w:w="2448"/>
          </w:tcPr>
          <w:p>
            <w:pPr>
              <w:spacing w:line="240" w:lineRule="auto" w:after="0"/>
            </w:pPr>
            <w:r>
              <w:rPr>
                <w:rFonts w:ascii="Arial" w:hAnsi="Arial"/>
                <w:sz w:val="16"/>
              </w:rPr>
              <w:t>Exploratory</w:t>
            </w:r>
          </w:p>
        </w:tc>
        <w:tc>
          <w:tcPr>
            <w:tcW w:type="dxa" w:w="2448"/>
          </w:tcPr>
          <w:p>
            <w:pPr>
              <w:spacing w:line="240" w:lineRule="auto" w:after="0"/>
            </w:pPr>
            <w:r>
              <w:rPr>
                <w:rFonts w:ascii="Arial" w:hAnsi="Arial"/>
                <w:sz w:val="16"/>
              </w:rPr>
              <w:t>Functional hypothesis generation</w:t>
            </w:r>
          </w:p>
        </w:tc>
        <w:tc>
          <w:tcPr>
            <w:tcW w:type="dxa" w:w="2448"/>
          </w:tcPr>
          <w:p>
            <w:pPr>
              <w:spacing w:line="240" w:lineRule="auto" w:after="0"/>
            </w:pPr>
            <w:r>
              <w:rPr>
                <w:rFonts w:ascii="Arial" w:hAnsi="Arial"/>
                <w:sz w:val="16"/>
              </w:rPr>
              <w:t>No direct target claim</w:t>
            </w:r>
          </w:p>
        </w:tc>
      </w:tr>
    </w:tbl>
    <w:p>
      <w:pPr>
        <w:pStyle w:val="Heading1"/>
        <w:pageBreakBefore/>
        <w:spacing w:line="360" w:lineRule="auto"/>
        <w:jc w:val="left"/>
      </w:pPr>
      <w:r>
        <w:t>Supplementary Table S2 Data artifact definitions</w:t>
      </w:r>
    </w:p>
    <w:tbl>
      <w:tblPr>
        <w:tblStyle w:val="TableGrid"/>
        <w:tblW w:type="auto" w:w="0"/>
        <w:tblLook w:firstColumn="1" w:firstRow="1" w:lastColumn="0" w:lastRow="0" w:noHBand="0" w:noVBand="1" w:val="04A0"/>
      </w:tblPr>
      <w:tblGrid>
        <w:gridCol w:w="3264"/>
        <w:gridCol w:w="3264"/>
        <w:gridCol w:w="3264"/>
      </w:tblGrid>
      <w:tr>
        <w:trPr>
          <w:cantSplit/>
          <w:tblHeader/>
        </w:trPr>
        <w:tc>
          <w:tcPr>
            <w:tcW w:type="dxa" w:w="3264"/>
          </w:tcPr>
          <w:p>
            <w:pPr>
              <w:spacing w:line="240" w:lineRule="auto" w:after="0"/>
            </w:pPr>
            <w:r>
              <w:rPr>
                <w:rFonts w:ascii="Arial" w:hAnsi="Arial"/>
                <w:b/>
                <w:sz w:val="16"/>
              </w:rPr>
              <w:t>Artifact</w:t>
            </w:r>
          </w:p>
        </w:tc>
        <w:tc>
          <w:tcPr>
            <w:tcW w:type="dxa" w:w="3264"/>
          </w:tcPr>
          <w:p>
            <w:pPr>
              <w:spacing w:line="240" w:lineRule="auto" w:after="0"/>
            </w:pPr>
            <w:r>
              <w:rPr>
                <w:rFonts w:ascii="Arial" w:hAnsi="Arial"/>
                <w:b/>
                <w:sz w:val="16"/>
              </w:rPr>
              <w:t>Scope</w:t>
            </w:r>
          </w:p>
        </w:tc>
        <w:tc>
          <w:tcPr>
            <w:tcW w:type="dxa" w:w="3264"/>
          </w:tcPr>
          <w:p>
            <w:pPr>
              <w:spacing w:line="240" w:lineRule="auto" w:after="0"/>
            </w:pPr>
            <w:r>
              <w:rPr>
                <w:rFonts w:ascii="Arial" w:hAnsi="Arial"/>
                <w:b/>
                <w:sz w:val="16"/>
              </w:rPr>
              <w:t>Permitted interpretation</w:t>
            </w:r>
          </w:p>
        </w:tc>
      </w:tr>
      <w:tr>
        <w:trPr>
          <w:cantSplit/>
        </w:trPr>
        <w:tc>
          <w:tcPr>
            <w:tcW w:type="dxa" w:w="3264"/>
          </w:tcPr>
          <w:p>
            <w:pPr>
              <w:spacing w:line="240" w:lineRule="auto" w:after="0"/>
            </w:pPr>
            <w:r>
              <w:rPr>
                <w:rFonts w:ascii="Arial" w:hAnsi="Arial"/>
                <w:sz w:val="16"/>
              </w:rPr>
              <w:t>Discovery panel</w:t>
            </w:r>
          </w:p>
        </w:tc>
        <w:tc>
          <w:tcPr>
            <w:tcW w:type="dxa" w:w="3264"/>
          </w:tcPr>
          <w:p>
            <w:pPr>
              <w:spacing w:line="240" w:lineRule="auto" w:after="0"/>
            </w:pPr>
            <w:r>
              <w:rPr>
                <w:rFonts w:ascii="Arial" w:hAnsi="Arial"/>
                <w:sz w:val="16"/>
              </w:rPr>
              <w:t>331 accessions</w:t>
            </w:r>
          </w:p>
        </w:tc>
        <w:tc>
          <w:tcPr>
            <w:tcW w:type="dxa" w:w="3264"/>
          </w:tcPr>
          <w:p>
            <w:pPr>
              <w:spacing w:line="240" w:lineRule="auto" w:after="0"/>
            </w:pPr>
            <w:r>
              <w:rPr>
                <w:rFonts w:ascii="Arial" w:hAnsi="Arial"/>
                <w:sz w:val="16"/>
              </w:rPr>
              <w:t>Family discovery and fixed-member sensitivity</w:t>
            </w:r>
          </w:p>
        </w:tc>
      </w:tr>
      <w:tr>
        <w:trPr>
          <w:cantSplit/>
        </w:trPr>
        <w:tc>
          <w:tcPr>
            <w:tcW w:type="dxa" w:w="3264"/>
          </w:tcPr>
          <w:p>
            <w:pPr>
              <w:spacing w:line="240" w:lineRule="auto" w:after="0"/>
            </w:pPr>
            <w:r>
              <w:rPr>
                <w:rFonts w:ascii="Arial" w:hAnsi="Arial"/>
                <w:sz w:val="16"/>
              </w:rPr>
              <w:t>Legacy projection matrix</w:t>
            </w:r>
          </w:p>
        </w:tc>
        <w:tc>
          <w:tcPr>
            <w:tcW w:type="dxa" w:w="3264"/>
          </w:tcPr>
          <w:p>
            <w:pPr>
              <w:spacing w:line="240" w:lineRule="auto" w:after="0"/>
            </w:pPr>
            <w:r>
              <w:rPr>
                <w:rFonts w:ascii="Arial" w:hAnsi="Arial"/>
                <w:sz w:val="16"/>
              </w:rPr>
              <w:t>250 × 3,192</w:t>
            </w:r>
          </w:p>
        </w:tc>
        <w:tc>
          <w:tcPr>
            <w:tcW w:type="dxa" w:w="3264"/>
          </w:tcPr>
          <w:p>
            <w:pPr>
              <w:spacing w:line="240" w:lineRule="auto" w:after="0"/>
            </w:pPr>
            <w:r>
              <w:rPr>
                <w:rFonts w:ascii="Arial" w:hAnsi="Arial"/>
                <w:sz w:val="16"/>
              </w:rPr>
              <w:t>Accession-resolved projection sensitivity</w:t>
            </w:r>
          </w:p>
        </w:tc>
      </w:tr>
      <w:tr>
        <w:trPr>
          <w:cantSplit/>
        </w:trPr>
        <w:tc>
          <w:tcPr>
            <w:tcW w:type="dxa" w:w="3264"/>
          </w:tcPr>
          <w:p>
            <w:pPr>
              <w:spacing w:line="240" w:lineRule="auto" w:after="0"/>
            </w:pPr>
            <w:r>
              <w:rPr>
                <w:rFonts w:ascii="Arial" w:hAnsi="Arial"/>
                <w:sz w:val="16"/>
              </w:rPr>
              <w:t>Final genome accounting</w:t>
            </w:r>
          </w:p>
        </w:tc>
        <w:tc>
          <w:tcPr>
            <w:tcW w:type="dxa" w:w="3264"/>
          </w:tcPr>
          <w:p>
            <w:pPr>
              <w:spacing w:line="240" w:lineRule="auto" w:after="0"/>
            </w:pPr>
            <w:r>
              <w:rPr>
                <w:rFonts w:ascii="Arial" w:hAnsi="Arial"/>
                <w:sz w:val="16"/>
              </w:rPr>
              <w:t>3,526 genomes</w:t>
            </w:r>
          </w:p>
        </w:tc>
        <w:tc>
          <w:tcPr>
            <w:tcW w:type="dxa" w:w="3264"/>
          </w:tcPr>
          <w:p>
            <w:pPr>
              <w:spacing w:line="240" w:lineRule="auto" w:after="0"/>
            </w:pPr>
            <w:r>
              <w:rPr>
                <w:rFonts w:ascii="Arial" w:hAnsi="Arial"/>
                <w:sz w:val="16"/>
              </w:rPr>
              <w:t>Archived aggregate fates and denominators</w:t>
            </w:r>
          </w:p>
        </w:tc>
      </w:tr>
      <w:tr>
        <w:trPr>
          <w:cantSplit/>
        </w:trPr>
        <w:tc>
          <w:tcPr>
            <w:tcW w:type="dxa" w:w="3264"/>
          </w:tcPr>
          <w:p>
            <w:pPr>
              <w:spacing w:line="240" w:lineRule="auto" w:after="0"/>
            </w:pPr>
            <w:r>
              <w:rPr>
                <w:rFonts w:ascii="Arial" w:hAnsi="Arial"/>
                <w:sz w:val="16"/>
              </w:rPr>
              <w:t>Corrected prevalence</w:t>
            </w:r>
          </w:p>
        </w:tc>
        <w:tc>
          <w:tcPr>
            <w:tcW w:type="dxa" w:w="3264"/>
          </w:tcPr>
          <w:p>
            <w:pPr>
              <w:spacing w:line="240" w:lineRule="auto" w:after="0"/>
            </w:pPr>
            <w:r>
              <w:rPr>
                <w:rFonts w:ascii="Arial" w:hAnsi="Arial"/>
                <w:sz w:val="16"/>
              </w:rPr>
              <w:t>250 families × 7 groups</w:t>
            </w:r>
          </w:p>
        </w:tc>
        <w:tc>
          <w:tcPr>
            <w:tcW w:type="dxa" w:w="3264"/>
          </w:tcPr>
          <w:p>
            <w:pPr>
              <w:spacing w:line="240" w:lineRule="auto" w:after="0"/>
            </w:pPr>
            <w:r>
              <w:rPr>
                <w:rFonts w:ascii="Arial" w:hAnsi="Arial"/>
                <w:sz w:val="16"/>
              </w:rPr>
              <w:t>Archived group-level values; final family matrices unavailable</w:t>
            </w:r>
          </w:p>
        </w:tc>
      </w:tr>
      <w:tr>
        <w:trPr>
          <w:cantSplit/>
        </w:trPr>
        <w:tc>
          <w:tcPr>
            <w:tcW w:type="dxa" w:w="3264"/>
          </w:tcPr>
          <w:p>
            <w:pPr>
              <w:spacing w:line="240" w:lineRule="auto" w:after="0"/>
            </w:pPr>
            <w:r>
              <w:rPr>
                <w:rFonts w:ascii="Arial" w:hAnsi="Arial"/>
                <w:sz w:val="16"/>
              </w:rPr>
              <w:t>Family upstreams</w:t>
            </w:r>
          </w:p>
        </w:tc>
        <w:tc>
          <w:tcPr>
            <w:tcW w:type="dxa" w:w="3264"/>
          </w:tcPr>
          <w:p>
            <w:pPr>
              <w:spacing w:line="240" w:lineRule="auto" w:after="0"/>
            </w:pPr>
            <w:r>
              <w:rPr>
                <w:rFonts w:ascii="Arial" w:hAnsi="Arial"/>
                <w:sz w:val="16"/>
              </w:rPr>
              <w:t>12 families; 250-nt sequences</w:t>
            </w:r>
          </w:p>
        </w:tc>
        <w:tc>
          <w:tcPr>
            <w:tcW w:type="dxa" w:w="3264"/>
          </w:tcPr>
          <w:p>
            <w:pPr>
              <w:spacing w:line="240" w:lineRule="auto" w:after="0"/>
            </w:pPr>
            <w:r>
              <w:rPr>
                <w:rFonts w:ascii="Arial" w:hAnsi="Arial"/>
                <w:sz w:val="16"/>
              </w:rPr>
              <w:t>Genome/genus/lineage-blocked motif validation</w:t>
            </w:r>
          </w:p>
        </w:tc>
      </w:tr>
      <w:tr>
        <w:trPr>
          <w:cantSplit/>
        </w:trPr>
        <w:tc>
          <w:tcPr>
            <w:tcW w:type="dxa" w:w="3264"/>
          </w:tcPr>
          <w:p>
            <w:pPr>
              <w:spacing w:line="240" w:lineRule="auto" w:after="0"/>
            </w:pPr>
            <w:r>
              <w:rPr>
                <w:rFonts w:ascii="Arial" w:hAnsi="Arial"/>
                <w:sz w:val="16"/>
              </w:rPr>
              <w:t>Catalog member sequences</w:t>
            </w:r>
          </w:p>
        </w:tc>
        <w:tc>
          <w:tcPr>
            <w:tcW w:type="dxa" w:w="3264"/>
          </w:tcPr>
          <w:p>
            <w:pPr>
              <w:spacing w:line="240" w:lineRule="auto" w:after="0"/>
            </w:pPr>
            <w:r>
              <w:rPr>
                <w:rFonts w:ascii="Arial" w:hAnsi="Arial"/>
                <w:sz w:val="16"/>
              </w:rPr>
              <w:t>13,237 proteins; 250 families</w:t>
            </w:r>
          </w:p>
        </w:tc>
        <w:tc>
          <w:tcPr>
            <w:tcW w:type="dxa" w:w="3264"/>
          </w:tcPr>
          <w:p>
            <w:pPr>
              <w:spacing w:line="240" w:lineRule="auto" w:after="0"/>
            </w:pPr>
            <w:r>
              <w:rPr>
                <w:rFonts w:ascii="Arial" w:hAnsi="Arial"/>
                <w:sz w:val="16"/>
              </w:rPr>
              <w:t>Complete-genus composition validation</w:t>
            </w:r>
          </w:p>
        </w:tc>
      </w:tr>
      <w:tr>
        <w:trPr>
          <w:cantSplit/>
        </w:trPr>
        <w:tc>
          <w:tcPr>
            <w:tcW w:type="dxa" w:w="3264"/>
          </w:tcPr>
          <w:p>
            <w:pPr>
              <w:spacing w:line="240" w:lineRule="auto" w:after="0"/>
            </w:pPr>
            <w:r>
              <w:rPr>
                <w:rFonts w:ascii="Arial" w:hAnsi="Arial"/>
                <w:sz w:val="16"/>
              </w:rPr>
              <w:t>Catalog member sequences</w:t>
            </w:r>
          </w:p>
        </w:tc>
        <w:tc>
          <w:tcPr>
            <w:tcW w:type="dxa" w:w="3264"/>
          </w:tcPr>
          <w:p>
            <w:pPr>
              <w:spacing w:line="240" w:lineRule="auto" w:after="0"/>
            </w:pPr>
            <w:r>
              <w:rPr>
                <w:rFonts w:ascii="Arial" w:hAnsi="Arial"/>
                <w:sz w:val="16"/>
              </w:rPr>
              <w:t>13,237 proteins; all 250 families</w:t>
            </w:r>
          </w:p>
        </w:tc>
        <w:tc>
          <w:tcPr>
            <w:tcW w:type="dxa" w:w="3264"/>
          </w:tcPr>
          <w:p>
            <w:pPr>
              <w:spacing w:line="240" w:lineRule="auto" w:after="0"/>
            </w:pPr>
            <w:r>
              <w:rPr>
                <w:rFonts w:ascii="Arial" w:hAnsi="Arial"/>
                <w:sz w:val="16"/>
              </w:rPr>
              <w:t>Sequence-level reanalysis with accessioned recovery provenance</w:t>
            </w:r>
          </w:p>
        </w:tc>
      </w:tr>
    </w:tbl>
    <w:p>
      <w:pPr>
        <w:spacing w:line="360" w:lineRule="auto"/>
        <w:jc w:val="left"/>
      </w:pPr>
      <w:r>
        <w:rPr>
          <w:rFonts w:ascii="Arial" w:hAnsi="Arial"/>
        </w:rPr>
        <w:br w:type="page"/>
      </w:r>
    </w:p>
    <w:p>
      <w:pPr>
        <w:pStyle w:val="Heading1"/>
        <w:spacing w:line="360" w:lineRule="auto"/>
        <w:jc w:val="left"/>
      </w:pPr>
      <w:r>
        <w:rPr>
          <w:rFonts w:ascii="Arial" w:hAnsi="Arial"/>
        </w:rPr>
        <w:t>Supplementary Figure S1</w:t>
      </w:r>
    </w:p>
    <w:p>
      <w:pPr>
        <w:spacing w:line="360" w:lineRule="auto"/>
        <w:jc w:val="left"/>
      </w:pPr>
      <w:r>
        <w:rPr>
          <w:rFonts w:ascii="Arial" w:hAnsi="Arial"/>
        </w:rPr>
        <w:drawing>
          <wp:inline xmlns:a="http://schemas.openxmlformats.org/drawingml/2006/main" xmlns:pic="http://schemas.openxmlformats.org/drawingml/2006/picture">
            <wp:extent cx="6126480" cy="2378130"/>
            <wp:docPr id="1" name="Picture 1"/>
            <wp:cNvGraphicFramePr>
              <a:graphicFrameLocks noChangeAspect="1"/>
            </wp:cNvGraphicFramePr>
            <a:graphic>
              <a:graphicData uri="http://schemas.openxmlformats.org/drawingml/2006/picture">
                <pic:pic>
                  <pic:nvPicPr>
                    <pic:cNvPr id="0" name="FigureS5_panel_resampling_sensitivity.png"/>
                    <pic:cNvPicPr/>
                  </pic:nvPicPr>
                  <pic:blipFill>
                    <a:blip r:embed="rId10"/>
                    <a:stretch>
                      <a:fillRect/>
                    </a:stretch>
                  </pic:blipFill>
                  <pic:spPr>
                    <a:xfrm>
                      <a:off x="0" y="0"/>
                      <a:ext cx="6126480" cy="2378130"/>
                    </a:xfrm>
                    <a:prstGeom prst="rect"/>
                  </pic:spPr>
                </pic:pic>
              </a:graphicData>
            </a:graphic>
          </wp:inline>
        </w:drawing>
      </w:r>
    </w:p>
    <w:p>
      <w:pPr>
        <w:pStyle w:val="Caption"/>
        <w:jc w:val="left"/>
      </w:pPr>
      <w:r>
        <w:rPr>
          <w:rFonts w:ascii="Arial" w:hAnsi="Arial"/>
          <w:color w:val="000000"/>
        </w:rPr>
        <w:t>Supplementary Figure S1. Within-panel fixed-family retention under three alternative sampling schemes. Boxes summarize 500 seeded replicates. This analysis asks whether already-defined families remain represented; it is not a de novo clustering sensitivity analysis.</w:t>
      </w:r>
    </w:p>
    <w:p>
      <w:pPr>
        <w:spacing w:line="360" w:lineRule="auto"/>
        <w:jc w:val="left"/>
      </w:pPr>
      <w:r>
        <w:rPr>
          <w:rFonts w:ascii="Arial" w:hAnsi="Arial"/>
        </w:rPr>
        <w:br w:type="page"/>
      </w:r>
    </w:p>
    <w:p>
      <w:pPr>
        <w:pStyle w:val="Heading1"/>
        <w:spacing w:line="360" w:lineRule="auto"/>
        <w:jc w:val="left"/>
      </w:pPr>
      <w:r>
        <w:rPr>
          <w:rFonts w:ascii="Arial" w:hAnsi="Arial"/>
        </w:rPr>
        <w:t>Supplementary Figure S2</w:t>
      </w:r>
    </w:p>
    <w:p>
      <w:pPr>
        <w:spacing w:line="360" w:lineRule="auto"/>
        <w:jc w:val="left"/>
      </w:pPr>
      <w:r>
        <w:rPr>
          <w:rFonts w:ascii="Arial" w:hAnsi="Arial"/>
        </w:rPr>
        <w:drawing>
          <wp:inline xmlns:a="http://schemas.openxmlformats.org/drawingml/2006/main" xmlns:pic="http://schemas.openxmlformats.org/drawingml/2006/picture">
            <wp:extent cx="6126480" cy="2493928"/>
            <wp:docPr id="2" name="Picture 2"/>
            <wp:cNvGraphicFramePr>
              <a:graphicFrameLocks noChangeAspect="1"/>
            </wp:cNvGraphicFramePr>
            <a:graphic>
              <a:graphicData uri="http://schemas.openxmlformats.org/drawingml/2006/picture">
                <pic:pic>
                  <pic:nvPicPr>
                    <pic:cNvPr id="0" name="FigureS6_independent_projection_resampling.png"/>
                    <pic:cNvPicPr/>
                  </pic:nvPicPr>
                  <pic:blipFill>
                    <a:blip r:embed="rId11"/>
                    <a:stretch>
                      <a:fillRect/>
                    </a:stretch>
                  </pic:blipFill>
                  <pic:spPr>
                    <a:xfrm>
                      <a:off x="0" y="0"/>
                      <a:ext cx="6126480" cy="2493928"/>
                    </a:xfrm>
                    <a:prstGeom prst="rect"/>
                  </pic:spPr>
                </pic:pic>
              </a:graphicData>
            </a:graphic>
          </wp:inline>
        </w:drawing>
      </w:r>
    </w:p>
    <w:p>
      <w:pPr>
        <w:pStyle w:val="Caption"/>
        <w:jc w:val="left"/>
      </w:pPr>
      <w:r>
        <w:rPr>
          <w:rFonts w:ascii="Arial" w:hAnsi="Arial"/>
          <w:color w:val="000000"/>
        </w:rPr>
        <w:t>Supplementary Figure S2. Projection of released family HMMs to 500 lineage-matched samples of 331 independent genome accessions. The discovery/projection accession overlap is zero. Results test HMM transfer, not independent family discovery.</w:t>
      </w:r>
    </w:p>
    <w:p>
      <w:pPr>
        <w:spacing w:line="360" w:lineRule="auto"/>
        <w:jc w:val="left"/>
      </w:pPr>
      <w:r>
        <w:rPr>
          <w:rFonts w:ascii="Arial" w:hAnsi="Arial"/>
        </w:rPr>
        <w:br w:type="page"/>
      </w:r>
    </w:p>
    <w:p>
      <w:pPr>
        <w:pStyle w:val="Heading1"/>
        <w:spacing w:line="360" w:lineRule="auto"/>
        <w:jc w:val="left"/>
      </w:pPr>
      <w:r>
        <w:rPr>
          <w:rFonts w:ascii="Arial" w:hAnsi="Arial"/>
        </w:rPr>
        <w:t>Supplementary Figure S3</w:t>
      </w:r>
    </w:p>
    <w:p>
      <w:pPr>
        <w:spacing w:line="360" w:lineRule="auto"/>
        <w:jc w:val="left"/>
      </w:pPr>
      <w:r>
        <w:rPr>
          <w:rFonts w:ascii="Arial" w:hAnsi="Arial"/>
        </w:rPr>
        <w:drawing>
          <wp:inline xmlns:a="http://schemas.openxmlformats.org/drawingml/2006/main" xmlns:pic="http://schemas.openxmlformats.org/drawingml/2006/picture">
            <wp:extent cx="6126480" cy="2794676"/>
            <wp:docPr id="3" name="Picture 3"/>
            <wp:cNvGraphicFramePr>
              <a:graphicFrameLocks noChangeAspect="1"/>
            </wp:cNvGraphicFramePr>
            <a:graphic>
              <a:graphicData uri="http://schemas.openxmlformats.org/drawingml/2006/picture">
                <pic:pic>
                  <pic:nvPicPr>
                    <pic:cNvPr id="0" name="FigureS7_motif_holdout_validation.png"/>
                    <pic:cNvPicPr/>
                  </pic:nvPicPr>
                  <pic:blipFill>
                    <a:blip r:embed="rId12"/>
                    <a:stretch>
                      <a:fillRect/>
                    </a:stretch>
                  </pic:blipFill>
                  <pic:spPr>
                    <a:xfrm>
                      <a:off x="0" y="0"/>
                      <a:ext cx="6126480" cy="2794676"/>
                    </a:xfrm>
                    <a:prstGeom prst="rect"/>
                  </pic:spPr>
                </pic:pic>
              </a:graphicData>
            </a:graphic>
          </wp:inline>
        </w:drawing>
      </w:r>
    </w:p>
    <w:p>
      <w:pPr>
        <w:pStyle w:val="Caption"/>
        <w:jc w:val="left"/>
      </w:pPr>
      <w:r>
        <w:rPr>
          <w:rFonts w:ascii="Arial" w:hAnsi="Arial"/>
          <w:color w:val="000000"/>
        </w:rPr>
        <w:t>Supplementary Figure S3. Genome-level motif holdout for 12 families. PWMs were fitted only to training genomes and scored against held-out family upstreams, dinucleotide shuffles, and GC-matched other-family upstreams. Repeated splits overlap and are interpreted descriptively.</w:t>
      </w:r>
    </w:p>
    <w:p>
      <w:pPr>
        <w:spacing w:line="360" w:lineRule="auto"/>
        <w:jc w:val="left"/>
      </w:pPr>
      <w:r>
        <w:rPr>
          <w:rFonts w:ascii="Arial" w:hAnsi="Arial"/>
        </w:rPr>
        <w:br w:type="page"/>
      </w:r>
    </w:p>
    <w:p>
      <w:pPr>
        <w:pStyle w:val="Heading1"/>
        <w:spacing w:line="360" w:lineRule="auto"/>
        <w:jc w:val="left"/>
      </w:pPr>
      <w:r>
        <w:rPr>
          <w:rFonts w:ascii="Arial" w:hAnsi="Arial"/>
        </w:rPr>
        <w:t>Supplementary Figure S4</w:t>
      </w:r>
    </w:p>
    <w:p>
      <w:pPr>
        <w:spacing w:line="360" w:lineRule="auto"/>
        <w:jc w:val="left"/>
      </w:pPr>
      <w:r>
        <w:rPr>
          <w:rFonts w:ascii="Arial" w:hAnsi="Arial"/>
        </w:rPr>
        <w:drawing>
          <wp:inline xmlns:a="http://schemas.openxmlformats.org/drawingml/2006/main" xmlns:pic="http://schemas.openxmlformats.org/drawingml/2006/picture">
            <wp:extent cx="6126480" cy="2015167"/>
            <wp:docPr id="4" name="Picture 4"/>
            <wp:cNvGraphicFramePr>
              <a:graphicFrameLocks noChangeAspect="1"/>
            </wp:cNvGraphicFramePr>
            <a:graphic>
              <a:graphicData uri="http://schemas.openxmlformats.org/drawingml/2006/picture">
                <pic:pic>
                  <pic:nvPicPr>
                    <pic:cNvPr id="0" name="FigureS8_assembly_quality_sensitivity.png"/>
                    <pic:cNvPicPr/>
                  </pic:nvPicPr>
                  <pic:blipFill>
                    <a:blip r:embed="rId13"/>
                    <a:stretch>
                      <a:fillRect/>
                    </a:stretch>
                  </pic:blipFill>
                  <pic:spPr>
                    <a:xfrm>
                      <a:off x="0" y="0"/>
                      <a:ext cx="6126480" cy="2015167"/>
                    </a:xfrm>
                    <a:prstGeom prst="rect"/>
                  </pic:spPr>
                </pic:pic>
              </a:graphicData>
            </a:graphic>
          </wp:inline>
        </w:drawing>
      </w:r>
    </w:p>
    <w:p>
      <w:pPr>
        <w:pStyle w:val="Caption"/>
        <w:jc w:val="left"/>
      </w:pPr>
      <w:r>
        <w:rPr>
          <w:rFonts w:ascii="Arial" w:hAnsi="Arial"/>
          <w:color w:val="000000"/>
        </w:rPr>
        <w:t>Supplementary Figure S4. Sensitivity of per-family prevalence to genome source, assembly level, and reported completeness/contamination. Boxes summarize the 250 family prevalence values within each stratum. Differences are descriptive because strata are confounded with lineage and sampling.</w:t>
      </w:r>
    </w:p>
    <w:p>
      <w:pPr>
        <w:spacing w:line="360" w:lineRule="auto"/>
        <w:jc w:val="left"/>
      </w:pPr>
      <w:r>
        <w:rPr>
          <w:rFonts w:ascii="Arial" w:hAnsi="Arial"/>
        </w:rPr>
        <w:br w:type="page"/>
      </w:r>
    </w:p>
    <w:p>
      <w:pPr>
        <w:pStyle w:val="Heading1"/>
        <w:spacing w:line="360" w:lineRule="auto"/>
        <w:jc w:val="left"/>
      </w:pPr>
      <w:r>
        <w:rPr>
          <w:rFonts w:ascii="Arial" w:hAnsi="Arial"/>
        </w:rPr>
        <w:t>Supplementary Figure S5</w:t>
      </w:r>
    </w:p>
    <w:p>
      <w:pPr>
        <w:spacing w:line="360" w:lineRule="auto"/>
        <w:jc w:val="left"/>
      </w:pPr>
      <w:r>
        <w:rPr>
          <w:rFonts w:ascii="Arial" w:hAnsi="Arial"/>
        </w:rPr>
        <w:drawing>
          <wp:inline xmlns:a="http://schemas.openxmlformats.org/drawingml/2006/main" xmlns:pic="http://schemas.openxmlformats.org/drawingml/2006/picture">
            <wp:extent cx="6126480" cy="2794676"/>
            <wp:docPr id="5" name="Picture 5"/>
            <wp:cNvGraphicFramePr>
              <a:graphicFrameLocks noChangeAspect="1"/>
            </wp:cNvGraphicFramePr>
            <a:graphic>
              <a:graphicData uri="http://schemas.openxmlformats.org/drawingml/2006/picture">
                <pic:pic>
                  <pic:nvPicPr>
                    <pic:cNvPr id="0" name="FigureS9_genus_blocked_motif_validation.png"/>
                    <pic:cNvPicPr/>
                  </pic:nvPicPr>
                  <pic:blipFill>
                    <a:blip r:embed="rId14"/>
                    <a:stretch>
                      <a:fillRect/>
                    </a:stretch>
                  </pic:blipFill>
                  <pic:spPr>
                    <a:xfrm>
                      <a:off x="0" y="0"/>
                      <a:ext cx="6126480" cy="2794676"/>
                    </a:xfrm>
                    <a:prstGeom prst="rect"/>
                  </pic:spPr>
                </pic:pic>
              </a:graphicData>
            </a:graphic>
          </wp:inline>
        </w:drawing>
      </w:r>
    </w:p>
    <w:p>
      <w:pPr>
        <w:pStyle w:val="Caption"/>
        <w:jc w:val="left"/>
      </w:pPr>
      <w:r>
        <w:rPr>
          <w:rFonts w:ascii="Arial" w:hAnsi="Arial"/>
          <w:color w:val="000000"/>
        </w:rPr>
        <w:t>Supplementary Figure S5. Genus-blocked motif holdout with zero train/test genus overlap. Seven of 12 families exceeded AUC 0.5 against other-family controls in at least 26 of 30 resamples. This stricter result shows that some genome-level signal is lineage-associated.</w:t>
      </w:r>
    </w:p>
    <w:p>
      <w:pPr>
        <w:spacing w:line="360" w:lineRule="auto"/>
        <w:jc w:val="left"/>
      </w:pPr>
      <w:r>
        <w:rPr>
          <w:rFonts w:ascii="Arial" w:hAnsi="Arial"/>
        </w:rPr>
        <w:br w:type="page"/>
      </w:r>
    </w:p>
    <w:p>
      <w:pPr>
        <w:pStyle w:val="Heading1"/>
        <w:spacing w:line="360" w:lineRule="auto"/>
        <w:jc w:val="left"/>
      </w:pPr>
      <w:r>
        <w:rPr>
          <w:rFonts w:ascii="Arial" w:hAnsi="Arial"/>
        </w:rPr>
        <w:t>Supplementary Figure S6</w:t>
      </w:r>
    </w:p>
    <w:p>
      <w:pPr>
        <w:spacing w:line="360" w:lineRule="auto"/>
        <w:jc w:val="left"/>
      </w:pPr>
      <w:r>
        <w:rPr>
          <w:rFonts w:ascii="Arial" w:hAnsi="Arial"/>
        </w:rPr>
        <w:drawing>
          <wp:inline xmlns:a="http://schemas.openxmlformats.org/drawingml/2006/main" xmlns:pic="http://schemas.openxmlformats.org/drawingml/2006/picture">
            <wp:extent cx="6126480" cy="1979221"/>
            <wp:docPr id="6" name="Picture 6"/>
            <wp:cNvGraphicFramePr>
              <a:graphicFrameLocks noChangeAspect="1"/>
            </wp:cNvGraphicFramePr>
            <a:graphic>
              <a:graphicData uri="http://schemas.openxmlformats.org/drawingml/2006/picture">
                <pic:pic>
                  <pic:nvPicPr>
                    <pic:cNvPr id="0" name="FigureS10_analysis_workflow.png"/>
                    <pic:cNvPicPr/>
                  </pic:nvPicPr>
                  <pic:blipFill>
                    <a:blip r:embed="rId15"/>
                    <a:stretch>
                      <a:fillRect/>
                    </a:stretch>
                  </pic:blipFill>
                  <pic:spPr>
                    <a:xfrm>
                      <a:off x="0" y="0"/>
                      <a:ext cx="6126480" cy="1979221"/>
                    </a:xfrm>
                    <a:prstGeom prst="rect"/>
                  </pic:spPr>
                </pic:pic>
              </a:graphicData>
            </a:graphic>
          </wp:inline>
        </w:drawing>
      </w:r>
    </w:p>
    <w:p>
      <w:pPr>
        <w:pStyle w:val="Caption"/>
        <w:jc w:val="left"/>
      </w:pPr>
      <w:r>
        <w:rPr>
          <w:rFonts w:ascii="Arial" w:hAnsi="Arial"/>
          <w:color w:val="000000"/>
        </w:rPr>
        <w:t>Supplementary Figure S6. Workflow from the targeted two-clan scan through family construction, projection, contextual analyses, and sensitivity validation. The endpoint is a bounded candidate-family catalog, not an experimentally confirmed regulome.</w:t>
      </w:r>
    </w:p>
    <w:p>
      <w:pPr>
        <w:spacing w:line="360" w:lineRule="auto"/>
        <w:jc w:val="left"/>
      </w:pPr>
      <w:r>
        <w:rPr>
          <w:rFonts w:ascii="Arial" w:hAnsi="Arial"/>
        </w:rPr>
        <w:br w:type="page"/>
      </w:r>
    </w:p>
    <w:p>
      <w:pPr>
        <w:pStyle w:val="Heading1"/>
        <w:spacing w:line="360" w:lineRule="auto"/>
        <w:jc w:val="left"/>
      </w:pPr>
      <w:r>
        <w:rPr>
          <w:rFonts w:ascii="Arial" w:hAnsi="Arial"/>
        </w:rPr>
        <w:t>Supplementary Figure S7</w:t>
      </w:r>
    </w:p>
    <w:p>
      <w:pPr>
        <w:spacing w:line="360" w:lineRule="auto"/>
        <w:jc w:val="left"/>
      </w:pPr>
      <w:r>
        <w:rPr>
          <w:rFonts w:ascii="Arial" w:hAnsi="Arial"/>
        </w:rPr>
        <w:drawing>
          <wp:inline xmlns:a="http://schemas.openxmlformats.org/drawingml/2006/main" xmlns:pic="http://schemas.openxmlformats.org/drawingml/2006/picture">
            <wp:extent cx="6126480" cy="5200097"/>
            <wp:docPr id="7" name="Picture 7"/>
            <wp:cNvGraphicFramePr>
              <a:graphicFrameLocks noChangeAspect="1"/>
            </wp:cNvGraphicFramePr>
            <a:graphic>
              <a:graphicData uri="http://schemas.openxmlformats.org/drawingml/2006/picture">
                <pic:pic>
                  <pic:nvPicPr>
                    <pic:cNvPr id="0" name="FigureS11_taxonomic_clustered_prevalence.png"/>
                    <pic:cNvPicPr/>
                  </pic:nvPicPr>
                  <pic:blipFill>
                    <a:blip r:embed="rId16"/>
                    <a:stretch>
                      <a:fillRect/>
                    </a:stretch>
                  </pic:blipFill>
                  <pic:spPr>
                    <a:xfrm>
                      <a:off x="0" y="0"/>
                      <a:ext cx="6126480" cy="5200097"/>
                    </a:xfrm>
                    <a:prstGeom prst="rect"/>
                  </pic:spPr>
                </pic:pic>
              </a:graphicData>
            </a:graphic>
          </wp:inline>
        </w:drawing>
      </w:r>
    </w:p>
    <w:p>
      <w:pPr>
        <w:pStyle w:val="Caption"/>
        <w:jc w:val="left"/>
      </w:pPr>
      <w:r>
        <w:rPr>
          <w:rFonts w:ascii="Arial" w:hAnsi="Arial"/>
          <w:color w:val="000000"/>
        </w:rPr>
        <w:t>Supplementary Figure S7. Comparison of genome-weighted and genus-balanced prevalence for 250 families. Genus clusters were inferred from deposited organism names. Deviations from the diagonal show sensitivity to uneven genus representation.</w:t>
      </w:r>
    </w:p>
    <w:p>
      <w:pPr>
        <w:spacing w:line="360" w:lineRule="auto"/>
        <w:jc w:val="left"/>
      </w:pPr>
      <w:r>
        <w:rPr>
          <w:rFonts w:ascii="Arial" w:hAnsi="Arial"/>
        </w:rPr>
        <w:br w:type="page"/>
      </w:r>
    </w:p>
    <w:p>
      <w:pPr>
        <w:pStyle w:val="Heading1"/>
        <w:spacing w:line="360" w:lineRule="auto"/>
        <w:jc w:val="left"/>
      </w:pPr>
      <w:r>
        <w:rPr>
          <w:rFonts w:ascii="Arial" w:hAnsi="Arial"/>
        </w:rPr>
        <w:t>Supplementary Figure S8</w:t>
      </w:r>
    </w:p>
    <w:p>
      <w:pPr>
        <w:spacing w:line="360" w:lineRule="auto"/>
        <w:jc w:val="left"/>
      </w:pPr>
      <w:r>
        <w:rPr>
          <w:rFonts w:ascii="Arial" w:hAnsi="Arial"/>
        </w:rPr>
        <w:drawing>
          <wp:inline xmlns:a="http://schemas.openxmlformats.org/drawingml/2006/main" xmlns:pic="http://schemas.openxmlformats.org/drawingml/2006/picture">
            <wp:extent cx="6126480" cy="4403946"/>
            <wp:docPr id="8" name="Picture 8"/>
            <wp:cNvGraphicFramePr>
              <a:graphicFrameLocks noChangeAspect="1"/>
            </wp:cNvGraphicFramePr>
            <a:graphic>
              <a:graphicData uri="http://schemas.openxmlformats.org/drawingml/2006/picture">
                <pic:pic>
                  <pic:nvPicPr>
                    <pic:cNvPr id="0" name="FigureS12_family_sequence_separability.png"/>
                    <pic:cNvPicPr/>
                  </pic:nvPicPr>
                  <pic:blipFill>
                    <a:blip r:embed="rId17"/>
                    <a:stretch>
                      <a:fillRect/>
                    </a:stretch>
                  </pic:blipFill>
                  <pic:spPr>
                    <a:xfrm>
                      <a:off x="0" y="0"/>
                      <a:ext cx="6126480" cy="4403946"/>
                    </a:xfrm>
                    <a:prstGeom prst="rect"/>
                  </pic:spPr>
                </pic:pic>
              </a:graphicData>
            </a:graphic>
          </wp:inline>
        </w:drawing>
      </w:r>
    </w:p>
    <w:p>
      <w:pPr>
        <w:pStyle w:val="Caption"/>
        <w:jc w:val="left"/>
      </w:pPr>
      <w:r>
        <w:t>Supplementary Figure S8. Historical ten-family leave-one-sequence-out dipeptide-composition analysis. Positive margins favor the sequence's own family over the nearest other-family centroid. Because related sequences can occur on both sides of this split, the catalog-wide complete-genus result in Supplementary Figure S11 is the more conservative boundary analysis.</w:t>
      </w:r>
    </w:p>
    <w:p>
      <w:pPr>
        <w:spacing w:line="360" w:lineRule="auto"/>
        <w:jc w:val="left"/>
      </w:pPr>
      <w:r>
        <w:rPr>
          <w:rFonts w:ascii="Arial" w:hAnsi="Arial"/>
        </w:rPr>
        <w:br w:type="page"/>
      </w:r>
    </w:p>
    <w:p>
      <w:pPr>
        <w:pStyle w:val="Heading1"/>
        <w:spacing w:line="360" w:lineRule="auto"/>
        <w:jc w:val="left"/>
      </w:pPr>
      <w:r>
        <w:rPr>
          <w:rFonts w:ascii="Arial" w:hAnsi="Arial"/>
        </w:rPr>
        <w:t>Supplementary Figure S9</w:t>
      </w:r>
    </w:p>
    <w:p>
      <w:pPr>
        <w:spacing w:line="360" w:lineRule="auto"/>
        <w:jc w:val="left"/>
      </w:pPr>
      <w:r>
        <w:rPr>
          <w:rFonts w:ascii="Arial" w:hAnsi="Arial"/>
        </w:rPr>
        <w:drawing>
          <wp:inline xmlns:a="http://schemas.openxmlformats.org/drawingml/2006/main" xmlns:pic="http://schemas.openxmlformats.org/drawingml/2006/picture">
            <wp:extent cx="6126480" cy="4238699"/>
            <wp:docPr id="9" name="Picture 9"/>
            <wp:cNvGraphicFramePr>
              <a:graphicFrameLocks noChangeAspect="1"/>
            </wp:cNvGraphicFramePr>
            <a:graphic>
              <a:graphicData uri="http://schemas.openxmlformats.org/drawingml/2006/picture">
                <pic:pic>
                  <pic:nvPicPr>
                    <pic:cNvPr id="0" name="FigureS13_lineage_blocked_motif_validation.png"/>
                    <pic:cNvPicPr/>
                  </pic:nvPicPr>
                  <pic:blipFill>
                    <a:blip r:embed="rId18"/>
                    <a:stretch>
                      <a:fillRect/>
                    </a:stretch>
                  </pic:blipFill>
                  <pic:spPr>
                    <a:xfrm>
                      <a:off x="0" y="0"/>
                      <a:ext cx="6126480" cy="4238699"/>
                    </a:xfrm>
                    <a:prstGeom prst="rect"/>
                  </pic:spPr>
                </pic:pic>
              </a:graphicData>
            </a:graphic>
          </wp:inline>
        </w:drawing>
      </w:r>
    </w:p>
    <w:p>
      <w:pPr>
        <w:pStyle w:val="Caption"/>
        <w:jc w:val="left"/>
      </w:pPr>
      <w:r>
        <w:rPr>
          <w:rFonts w:ascii="Arial" w:hAnsi="Arial"/>
          <w:color w:val="000000"/>
        </w:rPr>
        <w:t>Supplementary Figure S9. Leave-one-major-lineage-out motif transfer. Point size reflects held-out sequence count. Only blocks satisfying prespecified target, training, and same-lineage control minima are plotted; two families have no evaluable block.</w:t>
      </w:r>
    </w:p>
    <w:p>
      <w:pPr>
        <w:pStyle w:val="Heading1"/>
        <w:pageBreakBefore/>
        <w:spacing w:line="360" w:lineRule="auto"/>
        <w:jc w:val="left"/>
      </w:pPr>
      <w:r>
        <w:rPr>
          <w:rFonts w:ascii="Arial" w:hAnsi="Arial"/>
        </w:rPr>
        <w:t>Supplementary Figure S10</w:t>
      </w:r>
    </w:p>
    <w:p>
      <w:pPr>
        <w:spacing w:line="360" w:lineRule="auto"/>
        <w:jc w:val="left"/>
      </w:pPr>
      <w:r>
        <w:rPr>
          <w:rFonts w:ascii="Arial" w:hAnsi="Arial"/>
        </w:rPr>
        <w:drawing>
          <wp:inline xmlns:a="http://schemas.openxmlformats.org/drawingml/2006/main" xmlns:pic="http://schemas.openxmlformats.org/drawingml/2006/picture">
            <wp:extent cx="5669280" cy="3653766"/>
            <wp:docPr id="10" name="Picture 10"/>
            <wp:cNvGraphicFramePr>
              <a:graphicFrameLocks noChangeAspect="1"/>
            </wp:cNvGraphicFramePr>
            <a:graphic>
              <a:graphicData uri="http://schemas.openxmlformats.org/drawingml/2006/picture">
                <pic:pic>
                  <pic:nvPicPr>
                    <pic:cNvPr id="0" name="FigureS14_catalog_accumulation.png"/>
                    <pic:cNvPicPr/>
                  </pic:nvPicPr>
                  <pic:blipFill>
                    <a:blip r:embed="rId19"/>
                    <a:stretch>
                      <a:fillRect/>
                    </a:stretch>
                  </pic:blipFill>
                  <pic:spPr>
                    <a:xfrm>
                      <a:off x="0" y="0"/>
                      <a:ext cx="5669280" cy="3653766"/>
                    </a:xfrm>
                    <a:prstGeom prst="rect"/>
                  </pic:spPr>
                </pic:pic>
              </a:graphicData>
            </a:graphic>
          </wp:inline>
        </w:drawing>
      </w:r>
    </w:p>
    <w:p>
      <w:pPr>
        <w:pStyle w:val="Caption"/>
        <w:jc w:val="left"/>
      </w:pPr>
      <w:r>
        <w:rPr>
          <w:rFonts w:ascii="Arial" w:hAnsi="Arial"/>
          <w:color w:val="000000"/>
        </w:rPr>
        <w:t>Supplementary Figure S10. Lineage-stratified accumulation of the released families as panel size increases. Lines show medians and shaded regions show 95% resampling intervals. The blue curve counts families observed at least once; the orange curve counts families represented in at least five sampled genomes. This is a fixed-catalog sensitivity analysis and does not repeat candidate scanning or de novo clustering.</w:t>
      </w:r>
    </w:p>
    <w:p>
      <w:r>
        <w:br w:type="page"/>
      </w:r>
    </w:p>
    <w:p>
      <w:pPr>
        <w:pStyle w:val="Heading1"/>
      </w:pPr>
      <w:r>
        <w:t>Supplementary Table S3 Search universe provenance</w:t>
      </w:r>
    </w:p>
    <w:tbl>
      <w:tblPr>
        <w:tblStyle w:val="TableGrid"/>
        <w:tblW w:type="auto" w:w="0"/>
        <w:tblLook w:firstColumn="1" w:firstRow="1" w:lastColumn="0" w:lastRow="0" w:noHBand="0" w:noVBand="1" w:val="04A0"/>
      </w:tblPr>
      <w:tblGrid>
        <w:gridCol w:w="2340"/>
        <w:gridCol w:w="2340"/>
        <w:gridCol w:w="2340"/>
        <w:gridCol w:w="2340"/>
      </w:tblGrid>
      <w:tr>
        <w:trPr>
          <w:cantSplit/>
          <w:tblHeader/>
        </w:trPr>
        <w:tc>
          <w:tcPr>
            <w:tcW w:type="dxa" w:w="2340"/>
          </w:tcPr>
          <w:p>
            <w:pPr>
              <w:spacing w:line="240" w:lineRule="auto" w:after="0"/>
            </w:pPr>
            <w:r>
              <w:rPr>
                <w:rFonts w:ascii="Arial" w:hAnsi="Arial"/>
                <w:b/>
                <w:sz w:val="16"/>
              </w:rPr>
              <w:t>Component</w:t>
            </w:r>
          </w:p>
        </w:tc>
        <w:tc>
          <w:tcPr>
            <w:tcW w:type="dxa" w:w="2340"/>
          </w:tcPr>
          <w:p>
            <w:pPr>
              <w:spacing w:line="240" w:lineRule="auto" w:after="0"/>
            </w:pPr>
            <w:r>
              <w:rPr>
                <w:rFonts w:ascii="Arial" w:hAnsi="Arial"/>
                <w:b/>
                <w:sz w:val="16"/>
              </w:rPr>
              <w:t>Reported count</w:t>
            </w:r>
          </w:p>
        </w:tc>
        <w:tc>
          <w:tcPr>
            <w:tcW w:type="dxa" w:w="2340"/>
          </w:tcPr>
          <w:p>
            <w:pPr>
              <w:spacing w:line="240" w:lineRule="auto" w:after="0"/>
            </w:pPr>
            <w:r>
              <w:rPr>
                <w:rFonts w:ascii="Arial" w:hAnsi="Arial"/>
                <w:b/>
                <w:sz w:val="16"/>
              </w:rPr>
              <w:t>Identifiers available</w:t>
            </w:r>
          </w:p>
        </w:tc>
        <w:tc>
          <w:tcPr>
            <w:tcW w:type="dxa" w:w="2340"/>
          </w:tcPr>
          <w:p>
            <w:pPr>
              <w:spacing w:line="240" w:lineRule="auto" w:after="0"/>
            </w:pPr>
            <w:r>
              <w:rPr>
                <w:rFonts w:ascii="Arial" w:hAnsi="Arial"/>
                <w:b/>
                <w:sz w:val="16"/>
              </w:rPr>
              <w:t>Status</w:t>
            </w:r>
          </w:p>
        </w:tc>
      </w:tr>
      <w:tr>
        <w:trPr>
          <w:cantSplit/>
        </w:trPr>
        <w:tc>
          <w:tcPr>
            <w:tcW w:type="dxa" w:w="2340"/>
          </w:tcPr>
          <w:p>
            <w:pPr>
              <w:spacing w:line="240" w:lineRule="auto" w:after="0"/>
            </w:pPr>
            <w:r>
              <w:rPr>
                <w:rFonts w:ascii="Arial" w:hAnsi="Arial"/>
                <w:sz w:val="16"/>
              </w:rPr>
              <w:t>Target Pfam clans</w:t>
            </w:r>
          </w:p>
        </w:tc>
        <w:tc>
          <w:tcPr>
            <w:tcW w:type="dxa" w:w="2340"/>
          </w:tcPr>
          <w:p>
            <w:pPr>
              <w:spacing w:line="240" w:lineRule="auto" w:after="0"/>
            </w:pPr>
            <w:r>
              <w:rPr>
                <w:rFonts w:ascii="Arial" w:hAnsi="Arial"/>
                <w:sz w:val="16"/>
              </w:rPr>
              <w:t>2</w:t>
            </w:r>
          </w:p>
        </w:tc>
        <w:tc>
          <w:tcPr>
            <w:tcW w:type="dxa" w:w="2340"/>
          </w:tcPr>
          <w:p>
            <w:pPr>
              <w:spacing w:line="240" w:lineRule="auto" w:after="0"/>
            </w:pPr>
            <w:r>
              <w:rPr>
                <w:rFonts w:ascii="Arial" w:hAnsi="Arial"/>
                <w:sz w:val="16"/>
              </w:rPr>
              <w:t>CL0123; CL0057</w:t>
            </w:r>
          </w:p>
        </w:tc>
        <w:tc>
          <w:tcPr>
            <w:tcW w:type="dxa" w:w="2340"/>
          </w:tcPr>
          <w:p>
            <w:pPr>
              <w:spacing w:line="240" w:lineRule="auto" w:after="0"/>
            </w:pPr>
            <w:r>
              <w:rPr>
                <w:rFonts w:ascii="Arial" w:hAnsi="Arial"/>
                <w:sz w:val="16"/>
              </w:rPr>
              <w:t>partially documented</w:t>
            </w:r>
          </w:p>
        </w:tc>
      </w:tr>
      <w:tr>
        <w:trPr>
          <w:cantSplit/>
        </w:trPr>
        <w:tc>
          <w:tcPr>
            <w:tcW w:type="dxa" w:w="2340"/>
          </w:tcPr>
          <w:p>
            <w:pPr>
              <w:spacing w:line="240" w:lineRule="auto" w:after="0"/>
            </w:pPr>
            <w:r>
              <w:rPr>
                <w:rFonts w:ascii="Arial" w:hAnsi="Arial"/>
                <w:sz w:val="16"/>
              </w:rPr>
              <w:t>Reference families</w:t>
            </w:r>
          </w:p>
        </w:tc>
        <w:tc>
          <w:tcPr>
            <w:tcW w:type="dxa" w:w="2340"/>
          </w:tcPr>
          <w:p>
            <w:pPr>
              <w:spacing w:line="240" w:lineRule="auto" w:after="0"/>
            </w:pPr>
            <w:r>
              <w:rPr>
                <w:rFonts w:ascii="Arial" w:hAnsi="Arial"/>
                <w:sz w:val="16"/>
              </w:rPr>
              <w:t>19</w:t>
            </w:r>
          </w:p>
        </w:tc>
        <w:tc>
          <w:tcPr>
            <w:tcW w:type="dxa" w:w="2340"/>
          </w:tcPr>
          <w:p>
            <w:pPr>
              <w:spacing w:line="240" w:lineRule="auto" w:after="0"/>
            </w:pPr>
            <w:r>
              <w:rPr>
                <w:rFonts w:ascii="Arial" w:hAnsi="Arial"/>
                <w:sz w:val="16"/>
              </w:rPr>
              <w:t>no</w:t>
            </w:r>
          </w:p>
        </w:tc>
        <w:tc>
          <w:tcPr>
            <w:tcW w:type="dxa" w:w="2340"/>
          </w:tcPr>
          <w:p>
            <w:pPr>
              <w:spacing w:line="240" w:lineRule="auto" w:after="0"/>
            </w:pPr>
            <w:r>
              <w:rPr>
                <w:rFonts w:ascii="Arial" w:hAnsi="Arial"/>
                <w:sz w:val="16"/>
              </w:rPr>
              <w:t>unrecoverable historical metadata</w:t>
            </w:r>
          </w:p>
        </w:tc>
      </w:tr>
      <w:tr>
        <w:trPr>
          <w:cantSplit/>
        </w:trPr>
        <w:tc>
          <w:tcPr>
            <w:tcW w:type="dxa" w:w="2340"/>
          </w:tcPr>
          <w:p>
            <w:pPr>
              <w:spacing w:line="240" w:lineRule="auto" w:after="0"/>
            </w:pPr>
            <w:r>
              <w:rPr>
                <w:rFonts w:ascii="Arial" w:hAnsi="Arial"/>
                <w:sz w:val="16"/>
              </w:rPr>
              <w:t>Reference profile models</w:t>
            </w:r>
          </w:p>
        </w:tc>
        <w:tc>
          <w:tcPr>
            <w:tcW w:type="dxa" w:w="2340"/>
          </w:tcPr>
          <w:p>
            <w:pPr>
              <w:spacing w:line="240" w:lineRule="auto" w:after="0"/>
            </w:pPr>
            <w:r>
              <w:rPr>
                <w:rFonts w:ascii="Arial" w:hAnsi="Arial"/>
                <w:sz w:val="16"/>
              </w:rPr>
              <w:t>20</w:t>
            </w:r>
          </w:p>
        </w:tc>
        <w:tc>
          <w:tcPr>
            <w:tcW w:type="dxa" w:w="2340"/>
          </w:tcPr>
          <w:p>
            <w:pPr>
              <w:spacing w:line="240" w:lineRule="auto" w:after="0"/>
            </w:pPr>
            <w:r>
              <w:rPr>
                <w:rFonts w:ascii="Arial" w:hAnsi="Arial"/>
                <w:sz w:val="16"/>
              </w:rPr>
              <w:t>no</w:t>
            </w:r>
          </w:p>
        </w:tc>
        <w:tc>
          <w:tcPr>
            <w:tcW w:type="dxa" w:w="2340"/>
          </w:tcPr>
          <w:p>
            <w:pPr>
              <w:spacing w:line="240" w:lineRule="auto" w:after="0"/>
            </w:pPr>
            <w:r>
              <w:rPr>
                <w:rFonts w:ascii="Arial" w:hAnsi="Arial"/>
                <w:sz w:val="16"/>
              </w:rPr>
              <w:t>unrecoverable historical metadata</w:t>
            </w:r>
          </w:p>
        </w:tc>
      </w:tr>
      <w:tr>
        <w:trPr>
          <w:cantSplit/>
        </w:trPr>
        <w:tc>
          <w:tcPr>
            <w:tcW w:type="dxa" w:w="2340"/>
          </w:tcPr>
          <w:p>
            <w:pPr>
              <w:spacing w:line="240" w:lineRule="auto" w:after="0"/>
            </w:pPr>
            <w:r>
              <w:rPr>
                <w:rFonts w:ascii="Arial" w:hAnsi="Arial"/>
                <w:sz w:val="16"/>
              </w:rPr>
              <w:t>Candidate profile models</w:t>
            </w:r>
          </w:p>
        </w:tc>
        <w:tc>
          <w:tcPr>
            <w:tcW w:type="dxa" w:w="2340"/>
          </w:tcPr>
          <w:p>
            <w:pPr>
              <w:spacing w:line="240" w:lineRule="auto" w:after="0"/>
            </w:pPr>
            <w:r>
              <w:rPr>
                <w:rFonts w:ascii="Arial" w:hAnsi="Arial"/>
                <w:sz w:val="16"/>
              </w:rPr>
              <w:t>747</w:t>
            </w:r>
          </w:p>
        </w:tc>
        <w:tc>
          <w:tcPr>
            <w:tcW w:type="dxa" w:w="2340"/>
          </w:tcPr>
          <w:p>
            <w:pPr>
              <w:spacing w:line="240" w:lineRule="auto" w:after="0"/>
            </w:pPr>
            <w:r>
              <w:rPr>
                <w:rFonts w:ascii="Arial" w:hAnsi="Arial"/>
                <w:sz w:val="16"/>
              </w:rPr>
              <w:t>no</w:t>
            </w:r>
          </w:p>
        </w:tc>
        <w:tc>
          <w:tcPr>
            <w:tcW w:type="dxa" w:w="2340"/>
          </w:tcPr>
          <w:p>
            <w:pPr>
              <w:spacing w:line="240" w:lineRule="auto" w:after="0"/>
            </w:pPr>
            <w:r>
              <w:rPr>
                <w:rFonts w:ascii="Arial" w:hAnsi="Arial"/>
                <w:sz w:val="16"/>
              </w:rPr>
              <w:t>unrecoverable historical metadata</w:t>
            </w:r>
          </w:p>
        </w:tc>
      </w:tr>
      <w:tr>
        <w:trPr>
          <w:cantSplit/>
        </w:trPr>
        <w:tc>
          <w:tcPr>
            <w:tcW w:type="dxa" w:w="2340"/>
          </w:tcPr>
          <w:p>
            <w:pPr>
              <w:spacing w:line="240" w:lineRule="auto" w:after="0"/>
            </w:pPr>
            <w:r>
              <w:rPr>
                <w:rFonts w:ascii="Arial" w:hAnsi="Arial"/>
                <w:sz w:val="16"/>
              </w:rPr>
              <w:t>Released catalog family HMMs</w:t>
            </w:r>
          </w:p>
        </w:tc>
        <w:tc>
          <w:tcPr>
            <w:tcW w:type="dxa" w:w="2340"/>
          </w:tcPr>
          <w:p>
            <w:pPr>
              <w:spacing w:line="240" w:lineRule="auto" w:after="0"/>
            </w:pPr>
            <w:r>
              <w:rPr>
                <w:rFonts w:ascii="Arial" w:hAnsi="Arial"/>
                <w:sz w:val="16"/>
              </w:rPr>
              <w:t>250</w:t>
            </w:r>
          </w:p>
        </w:tc>
        <w:tc>
          <w:tcPr>
            <w:tcW w:type="dxa" w:w="2340"/>
          </w:tcPr>
          <w:p>
            <w:pPr>
              <w:spacing w:line="240" w:lineRule="auto" w:after="0"/>
            </w:pPr>
            <w:r>
              <w:rPr>
                <w:rFonts w:ascii="Arial" w:hAnsi="Arial"/>
                <w:sz w:val="16"/>
              </w:rPr>
              <w:t>yes</w:t>
            </w:r>
          </w:p>
        </w:tc>
        <w:tc>
          <w:tcPr>
            <w:tcW w:type="dxa" w:w="2340"/>
          </w:tcPr>
          <w:p>
            <w:pPr>
              <w:spacing w:line="240" w:lineRule="auto" w:after="0"/>
            </w:pPr>
            <w:r>
              <w:rPr>
                <w:rFonts w:ascii="Arial" w:hAnsi="Arial"/>
                <w:sz w:val="16"/>
              </w:rPr>
              <w:t>deposited</w:t>
            </w:r>
          </w:p>
        </w:tc>
      </w:tr>
    </w:tbl>
    <w:p>
      <w:r>
        <w:t>The derived 250-family HMM library is deposited, but it does not replace the unavailable historical Pfam profile inventory. No profile accession or database release has been inferred retrospectively.</w:t>
      </w:r>
    </w:p>
    <w:p>
      <w:pPr>
        <w:pStyle w:val="Heading1"/>
      </w:pPr>
      <w:r>
        <w:t>Supplementary Table S4 Taxonomic group mapping</w:t>
      </w:r>
    </w:p>
    <w:tbl>
      <w:tblPr>
        <w:tblStyle w:val="TableGrid"/>
        <w:tblW w:type="auto" w:w="0"/>
        <w:tblLook w:firstColumn="1" w:firstRow="1" w:lastColumn="0" w:lastRow="0" w:noHBand="0" w:noVBand="1" w:val="04A0"/>
      </w:tblPr>
      <w:tblGrid>
        <w:gridCol w:w="2340"/>
        <w:gridCol w:w="2340"/>
        <w:gridCol w:w="2340"/>
        <w:gridCol w:w="2340"/>
      </w:tblGrid>
      <w:tr>
        <w:trPr>
          <w:cantSplit/>
          <w:tblHeader/>
        </w:trPr>
        <w:tc>
          <w:tcPr>
            <w:tcW w:type="dxa" w:w="2340"/>
          </w:tcPr>
          <w:p>
            <w:pPr>
              <w:spacing w:line="240" w:lineRule="auto" w:after="0"/>
            </w:pPr>
            <w:r>
              <w:rPr>
                <w:rFonts w:ascii="Arial" w:hAnsi="Arial"/>
                <w:b/>
                <w:sz w:val="16"/>
              </w:rPr>
              <w:t>Display label</w:t>
            </w:r>
          </w:p>
        </w:tc>
        <w:tc>
          <w:tcPr>
            <w:tcW w:type="dxa" w:w="2340"/>
          </w:tcPr>
          <w:p>
            <w:pPr>
              <w:spacing w:line="240" w:lineRule="auto" w:after="0"/>
            </w:pPr>
            <w:r>
              <w:rPr>
                <w:rFonts w:ascii="Arial" w:hAnsi="Arial"/>
                <w:b/>
                <w:sz w:val="16"/>
              </w:rPr>
              <w:t>Discovery genomes</w:t>
            </w:r>
          </w:p>
        </w:tc>
        <w:tc>
          <w:tcPr>
            <w:tcW w:type="dxa" w:w="2340"/>
          </w:tcPr>
          <w:p>
            <w:pPr>
              <w:spacing w:line="240" w:lineRule="auto" w:after="0"/>
            </w:pPr>
            <w:r>
              <w:rPr>
                <w:rFonts w:ascii="Arial" w:hAnsi="Arial"/>
                <w:b/>
                <w:sz w:val="16"/>
              </w:rPr>
              <w:t>Accounting genomes</w:t>
            </w:r>
          </w:p>
        </w:tc>
        <w:tc>
          <w:tcPr>
            <w:tcW w:type="dxa" w:w="2340"/>
          </w:tcPr>
          <w:p>
            <w:pPr>
              <w:spacing w:line="240" w:lineRule="auto" w:after="0"/>
            </w:pPr>
            <w:r>
              <w:rPr>
                <w:rFonts w:ascii="Arial" w:hAnsi="Arial"/>
                <w:b/>
                <w:sz w:val="16"/>
              </w:rPr>
              <w:t>Definition limit</w:t>
            </w:r>
          </w:p>
        </w:tc>
      </w:tr>
      <w:tr>
        <w:trPr>
          <w:cantSplit/>
        </w:trPr>
        <w:tc>
          <w:tcPr>
            <w:tcW w:type="dxa" w:w="2340"/>
          </w:tcPr>
          <w:p>
            <w:pPr>
              <w:spacing w:line="240" w:lineRule="auto" w:after="0"/>
            </w:pPr>
            <w:r>
              <w:rPr>
                <w:rFonts w:ascii="Arial" w:hAnsi="Arial"/>
                <w:sz w:val="16"/>
              </w:rPr>
              <w:t>Euryarchaeota</w:t>
            </w:r>
          </w:p>
        </w:tc>
        <w:tc>
          <w:tcPr>
            <w:tcW w:type="dxa" w:w="2340"/>
          </w:tcPr>
          <w:p>
            <w:pPr>
              <w:spacing w:line="240" w:lineRule="auto" w:after="0"/>
            </w:pPr>
            <w:r>
              <w:rPr>
                <w:rFonts w:ascii="Arial" w:hAnsi="Arial"/>
                <w:sz w:val="16"/>
              </w:rPr>
              <w:t>140</w:t>
            </w:r>
          </w:p>
        </w:tc>
        <w:tc>
          <w:tcPr>
            <w:tcW w:type="dxa" w:w="2340"/>
          </w:tcPr>
          <w:p>
            <w:pPr>
              <w:spacing w:line="240" w:lineRule="auto" w:after="0"/>
            </w:pPr>
            <w:r>
              <w:rPr>
                <w:rFonts w:ascii="Arial" w:hAnsi="Arial"/>
                <w:sz w:val="16"/>
              </w:rPr>
              <w:t>2378</w:t>
            </w:r>
          </w:p>
        </w:tc>
        <w:tc>
          <w:tcPr>
            <w:tcW w:type="dxa" w:w="2340"/>
          </w:tcPr>
          <w:p>
            <w:pPr>
              <w:spacing w:line="240" w:lineRule="auto" w:after="0"/>
            </w:pPr>
            <w:r>
              <w:rPr>
                <w:rFonts w:ascii="Arial" w:hAnsi="Arial"/>
                <w:sz w:val="16"/>
              </w:rPr>
              <w:t>Historical major-group assignment; exact GTDB release unavailable</w:t>
            </w:r>
          </w:p>
        </w:tc>
      </w:tr>
      <w:tr>
        <w:trPr>
          <w:cantSplit/>
        </w:trPr>
        <w:tc>
          <w:tcPr>
            <w:tcW w:type="dxa" w:w="2340"/>
          </w:tcPr>
          <w:p>
            <w:pPr>
              <w:spacing w:line="240" w:lineRule="auto" w:after="0"/>
            </w:pPr>
            <w:r>
              <w:rPr>
                <w:rFonts w:ascii="Arial" w:hAnsi="Arial"/>
                <w:sz w:val="16"/>
              </w:rPr>
              <w:t>Crenarchaeota within TACK</w:t>
            </w:r>
          </w:p>
        </w:tc>
        <w:tc>
          <w:tcPr>
            <w:tcW w:type="dxa" w:w="2340"/>
          </w:tcPr>
          <w:p>
            <w:pPr>
              <w:spacing w:line="240" w:lineRule="auto" w:after="0"/>
            </w:pPr>
            <w:r>
              <w:rPr>
                <w:rFonts w:ascii="Arial" w:hAnsi="Arial"/>
                <w:sz w:val="16"/>
              </w:rPr>
              <w:t>70</w:t>
            </w:r>
          </w:p>
        </w:tc>
        <w:tc>
          <w:tcPr>
            <w:tcW w:type="dxa" w:w="2340"/>
          </w:tcPr>
          <w:p>
            <w:pPr>
              <w:spacing w:line="240" w:lineRule="auto" w:after="0"/>
            </w:pPr>
            <w:r>
              <w:rPr>
                <w:rFonts w:ascii="Arial" w:hAnsi="Arial"/>
                <w:sz w:val="16"/>
              </w:rPr>
              <w:t>270</w:t>
            </w:r>
          </w:p>
        </w:tc>
        <w:tc>
          <w:tcPr>
            <w:tcW w:type="dxa" w:w="2340"/>
          </w:tcPr>
          <w:p>
            <w:pPr>
              <w:spacing w:line="240" w:lineRule="auto" w:after="0"/>
            </w:pPr>
            <w:r>
              <w:rPr>
                <w:rFonts w:ascii="Arial" w:hAnsi="Arial"/>
                <w:sz w:val="16"/>
              </w:rPr>
              <w:t>Mutually exclusive historical major-group assignment</w:t>
            </w:r>
          </w:p>
        </w:tc>
      </w:tr>
      <w:tr>
        <w:trPr>
          <w:cantSplit/>
        </w:trPr>
        <w:tc>
          <w:tcPr>
            <w:tcW w:type="dxa" w:w="2340"/>
          </w:tcPr>
          <w:p>
            <w:pPr>
              <w:spacing w:line="240" w:lineRule="auto" w:after="0"/>
            </w:pPr>
            <w:r>
              <w:rPr>
                <w:rFonts w:ascii="Arial" w:hAnsi="Arial"/>
                <w:sz w:val="16"/>
              </w:rPr>
              <w:t>Thaumarchaeota within TACK</w:t>
            </w:r>
          </w:p>
        </w:tc>
        <w:tc>
          <w:tcPr>
            <w:tcW w:type="dxa" w:w="2340"/>
          </w:tcPr>
          <w:p>
            <w:pPr>
              <w:spacing w:line="240" w:lineRule="auto" w:after="0"/>
            </w:pPr>
            <w:r>
              <w:rPr>
                <w:rFonts w:ascii="Arial" w:hAnsi="Arial"/>
                <w:sz w:val="16"/>
              </w:rPr>
              <w:t>51</w:t>
            </w:r>
          </w:p>
        </w:tc>
        <w:tc>
          <w:tcPr>
            <w:tcW w:type="dxa" w:w="2340"/>
          </w:tcPr>
          <w:p>
            <w:pPr>
              <w:spacing w:line="240" w:lineRule="auto" w:after="0"/>
            </w:pPr>
            <w:r>
              <w:rPr>
                <w:rFonts w:ascii="Arial" w:hAnsi="Arial"/>
                <w:sz w:val="16"/>
              </w:rPr>
              <w:t>283</w:t>
            </w:r>
          </w:p>
        </w:tc>
        <w:tc>
          <w:tcPr>
            <w:tcW w:type="dxa" w:w="2340"/>
          </w:tcPr>
          <w:p>
            <w:pPr>
              <w:spacing w:line="240" w:lineRule="auto" w:after="0"/>
            </w:pPr>
            <w:r>
              <w:rPr>
                <w:rFonts w:ascii="Arial" w:hAnsi="Arial"/>
                <w:sz w:val="16"/>
              </w:rPr>
              <w:t>Mutually exclusive historical major-group assignment</w:t>
            </w:r>
          </w:p>
        </w:tc>
      </w:tr>
      <w:tr>
        <w:trPr>
          <w:cantSplit/>
        </w:trPr>
        <w:tc>
          <w:tcPr>
            <w:tcW w:type="dxa" w:w="2340"/>
          </w:tcPr>
          <w:p>
            <w:pPr>
              <w:spacing w:line="240" w:lineRule="auto" w:after="0"/>
            </w:pPr>
            <w:r>
              <w:rPr>
                <w:rFonts w:ascii="Arial" w:hAnsi="Arial"/>
                <w:sz w:val="16"/>
              </w:rPr>
              <w:t>Other deep TACK</w:t>
            </w:r>
          </w:p>
        </w:tc>
        <w:tc>
          <w:tcPr>
            <w:tcW w:type="dxa" w:w="2340"/>
          </w:tcPr>
          <w:p>
            <w:pPr>
              <w:spacing w:line="240" w:lineRule="auto" w:after="0"/>
            </w:pPr>
            <w:r>
              <w:rPr>
                <w:rFonts w:ascii="Arial" w:hAnsi="Arial"/>
                <w:sz w:val="16"/>
              </w:rPr>
              <w:t>15</w:t>
            </w:r>
          </w:p>
        </w:tc>
        <w:tc>
          <w:tcPr>
            <w:tcW w:type="dxa" w:w="2340"/>
          </w:tcPr>
          <w:p>
            <w:pPr>
              <w:spacing w:line="240" w:lineRule="auto" w:after="0"/>
            </w:pPr>
            <w:r>
              <w:rPr>
                <w:rFonts w:ascii="Arial" w:hAnsi="Arial"/>
                <w:sz w:val="16"/>
              </w:rPr>
              <w:t>302</w:t>
            </w:r>
          </w:p>
        </w:tc>
        <w:tc>
          <w:tcPr>
            <w:tcW w:type="dxa" w:w="2340"/>
          </w:tcPr>
          <w:p>
            <w:pPr>
              <w:spacing w:line="240" w:lineRule="auto" w:after="0"/>
            </w:pPr>
            <w:r>
              <w:rPr>
                <w:rFonts w:ascii="Arial" w:hAnsi="Arial"/>
                <w:sz w:val="16"/>
              </w:rPr>
              <w:t>Excludes Crenarchaeota, Thaumarchaeota and Korarchaeota categories</w:t>
            </w:r>
          </w:p>
        </w:tc>
      </w:tr>
      <w:tr>
        <w:trPr>
          <w:cantSplit/>
        </w:trPr>
        <w:tc>
          <w:tcPr>
            <w:tcW w:type="dxa" w:w="2340"/>
          </w:tcPr>
          <w:p>
            <w:pPr>
              <w:spacing w:line="240" w:lineRule="auto" w:after="0"/>
            </w:pPr>
            <w:r>
              <w:rPr>
                <w:rFonts w:ascii="Arial" w:hAnsi="Arial"/>
                <w:sz w:val="16"/>
              </w:rPr>
              <w:t>Korarchaeota within TACK</w:t>
            </w:r>
          </w:p>
        </w:tc>
        <w:tc>
          <w:tcPr>
            <w:tcW w:type="dxa" w:w="2340"/>
          </w:tcPr>
          <w:p>
            <w:pPr>
              <w:spacing w:line="240" w:lineRule="auto" w:after="0"/>
            </w:pPr>
            <w:r>
              <w:rPr>
                <w:rFonts w:ascii="Arial" w:hAnsi="Arial"/>
                <w:sz w:val="16"/>
              </w:rPr>
              <w:t>3</w:t>
            </w:r>
          </w:p>
        </w:tc>
        <w:tc>
          <w:tcPr>
            <w:tcW w:type="dxa" w:w="2340"/>
          </w:tcPr>
          <w:p>
            <w:pPr>
              <w:spacing w:line="240" w:lineRule="auto" w:after="0"/>
            </w:pPr>
            <w:r>
              <w:rPr>
                <w:rFonts w:ascii="Arial" w:hAnsi="Arial"/>
                <w:sz w:val="16"/>
              </w:rPr>
              <w:t>7</w:t>
            </w:r>
          </w:p>
        </w:tc>
        <w:tc>
          <w:tcPr>
            <w:tcW w:type="dxa" w:w="2340"/>
          </w:tcPr>
          <w:p>
            <w:pPr>
              <w:spacing w:line="240" w:lineRule="auto" w:after="0"/>
            </w:pPr>
            <w:r>
              <w:rPr>
                <w:rFonts w:ascii="Arial" w:hAnsi="Arial"/>
                <w:sz w:val="16"/>
              </w:rPr>
              <w:t>Mutually exclusive historical major-group assignment</w:t>
            </w:r>
          </w:p>
        </w:tc>
      </w:tr>
      <w:tr>
        <w:trPr>
          <w:cantSplit/>
        </w:trPr>
        <w:tc>
          <w:tcPr>
            <w:tcW w:type="dxa" w:w="2340"/>
          </w:tcPr>
          <w:p>
            <w:pPr>
              <w:spacing w:line="240" w:lineRule="auto" w:after="0"/>
            </w:pPr>
            <w:r>
              <w:rPr>
                <w:rFonts w:ascii="Arial" w:hAnsi="Arial"/>
                <w:sz w:val="16"/>
              </w:rPr>
              <w:t>DPANN</w:t>
            </w:r>
          </w:p>
        </w:tc>
        <w:tc>
          <w:tcPr>
            <w:tcW w:type="dxa" w:w="2340"/>
          </w:tcPr>
          <w:p>
            <w:pPr>
              <w:spacing w:line="240" w:lineRule="auto" w:after="0"/>
            </w:pPr>
            <w:r>
              <w:rPr>
                <w:rFonts w:ascii="Arial" w:hAnsi="Arial"/>
                <w:sz w:val="16"/>
              </w:rPr>
              <w:t>33</w:t>
            </w:r>
          </w:p>
        </w:tc>
        <w:tc>
          <w:tcPr>
            <w:tcW w:type="dxa" w:w="2340"/>
          </w:tcPr>
          <w:p>
            <w:pPr>
              <w:spacing w:line="240" w:lineRule="auto" w:after="0"/>
            </w:pPr>
            <w:r>
              <w:rPr>
                <w:rFonts w:ascii="Arial" w:hAnsi="Arial"/>
                <w:sz w:val="16"/>
              </w:rPr>
              <w:t>228</w:t>
            </w:r>
          </w:p>
        </w:tc>
        <w:tc>
          <w:tcPr>
            <w:tcW w:type="dxa" w:w="2340"/>
          </w:tcPr>
          <w:p>
            <w:pPr>
              <w:spacing w:line="240" w:lineRule="auto" w:after="0"/>
            </w:pPr>
            <w:r>
              <w:rPr>
                <w:rFonts w:ascii="Arial" w:hAnsi="Arial"/>
                <w:sz w:val="16"/>
              </w:rPr>
              <w:t>Historical major-group assignment; exact GTDB release unavailable</w:t>
            </w:r>
          </w:p>
        </w:tc>
      </w:tr>
      <w:tr>
        <w:trPr>
          <w:cantSplit/>
        </w:trPr>
        <w:tc>
          <w:tcPr>
            <w:tcW w:type="dxa" w:w="2340"/>
          </w:tcPr>
          <w:p>
            <w:pPr>
              <w:spacing w:line="240" w:lineRule="auto" w:after="0"/>
            </w:pPr>
            <w:r>
              <w:rPr>
                <w:rFonts w:ascii="Arial" w:hAnsi="Arial"/>
                <w:sz w:val="16"/>
              </w:rPr>
              <w:t>Asgardarchaeota</w:t>
            </w:r>
          </w:p>
        </w:tc>
        <w:tc>
          <w:tcPr>
            <w:tcW w:type="dxa" w:w="2340"/>
          </w:tcPr>
          <w:p>
            <w:pPr>
              <w:spacing w:line="240" w:lineRule="auto" w:after="0"/>
            </w:pPr>
            <w:r>
              <w:rPr>
                <w:rFonts w:ascii="Arial" w:hAnsi="Arial"/>
                <w:sz w:val="16"/>
              </w:rPr>
              <w:t>19</w:t>
            </w:r>
          </w:p>
        </w:tc>
        <w:tc>
          <w:tcPr>
            <w:tcW w:type="dxa" w:w="2340"/>
          </w:tcPr>
          <w:p>
            <w:pPr>
              <w:spacing w:line="240" w:lineRule="auto" w:after="0"/>
            </w:pPr>
            <w:r>
              <w:rPr>
                <w:rFonts w:ascii="Arial" w:hAnsi="Arial"/>
                <w:sz w:val="16"/>
              </w:rPr>
              <w:t>58</w:t>
            </w:r>
          </w:p>
        </w:tc>
        <w:tc>
          <w:tcPr>
            <w:tcW w:type="dxa" w:w="2340"/>
          </w:tcPr>
          <w:p>
            <w:pPr>
              <w:spacing w:line="240" w:lineRule="auto" w:after="0"/>
            </w:pPr>
            <w:r>
              <w:rPr>
                <w:rFonts w:ascii="Arial" w:hAnsi="Arial"/>
                <w:sz w:val="16"/>
              </w:rPr>
              <w:t>Historical major-group assignment; exact GTDB release unavailable</w:t>
            </w:r>
          </w:p>
        </w:tc>
      </w:tr>
    </w:tbl>
    <w:p>
      <w:pPr>
        <w:pStyle w:val="Heading1"/>
      </w:pPr>
      <w:r>
        <w:t>Supplementary Table S5 Catalog-wide complete-genus validation</w:t>
      </w:r>
    </w:p>
    <w:tbl>
      <w:tblPr>
        <w:tblStyle w:val="TableGrid"/>
        <w:tblW w:type="auto" w:w="0"/>
        <w:tblLook w:firstColumn="1" w:firstRow="1" w:lastColumn="0" w:lastRow="0" w:noHBand="0" w:noVBand="1" w:val="04A0"/>
      </w:tblPr>
      <w:tblGrid>
        <w:gridCol w:w="4680"/>
        <w:gridCol w:w="4680"/>
      </w:tblGrid>
      <w:tr>
        <w:trPr>
          <w:cantSplit/>
          <w:tblHeader/>
        </w:trPr>
        <w:tc>
          <w:tcPr>
            <w:tcW w:type="dxa" w:w="4680"/>
          </w:tcPr>
          <w:p>
            <w:pPr>
              <w:spacing w:line="240" w:lineRule="auto" w:after="0"/>
            </w:pPr>
            <w:r>
              <w:rPr>
                <w:rFonts w:ascii="Arial" w:hAnsi="Arial"/>
                <w:b/>
                <w:sz w:val="16"/>
              </w:rPr>
              <w:t>Measure</w:t>
            </w:r>
          </w:p>
        </w:tc>
        <w:tc>
          <w:tcPr>
            <w:tcW w:type="dxa" w:w="4680"/>
          </w:tcPr>
          <w:p>
            <w:pPr>
              <w:spacing w:line="240" w:lineRule="auto" w:after="0"/>
            </w:pPr>
            <w:r>
              <w:rPr>
                <w:rFonts w:ascii="Arial" w:hAnsi="Arial"/>
                <w:b/>
                <w:sz w:val="16"/>
              </w:rPr>
              <w:t>Value</w:t>
            </w:r>
          </w:p>
        </w:tc>
      </w:tr>
      <w:tr>
        <w:trPr>
          <w:cantSplit/>
        </w:trPr>
        <w:tc>
          <w:tcPr>
            <w:tcW w:type="dxa" w:w="4680"/>
          </w:tcPr>
          <w:p>
            <w:pPr>
              <w:spacing w:line="240" w:lineRule="auto" w:after="0"/>
            </w:pPr>
            <w:r>
              <w:rPr>
                <w:rFonts w:ascii="Arial" w:hAnsi="Arial"/>
                <w:sz w:val="16"/>
              </w:rPr>
              <w:t>Catalog families</w:t>
            </w:r>
          </w:p>
        </w:tc>
        <w:tc>
          <w:tcPr>
            <w:tcW w:type="dxa" w:w="4680"/>
          </w:tcPr>
          <w:p>
            <w:pPr>
              <w:spacing w:line="240" w:lineRule="auto" w:after="0"/>
            </w:pPr>
            <w:r>
              <w:rPr>
                <w:rFonts w:ascii="Arial" w:hAnsi="Arial"/>
                <w:sz w:val="16"/>
              </w:rPr>
              <w:t>250</w:t>
            </w:r>
          </w:p>
        </w:tc>
      </w:tr>
      <w:tr>
        <w:trPr>
          <w:cantSplit/>
        </w:trPr>
        <w:tc>
          <w:tcPr>
            <w:tcW w:type="dxa" w:w="4680"/>
          </w:tcPr>
          <w:p>
            <w:pPr>
              <w:spacing w:line="240" w:lineRule="auto" w:after="0"/>
            </w:pPr>
            <w:r>
              <w:rPr>
                <w:rFonts w:ascii="Arial" w:hAnsi="Arial"/>
                <w:sz w:val="16"/>
              </w:rPr>
              <w:t>Evaluable families</w:t>
            </w:r>
          </w:p>
        </w:tc>
        <w:tc>
          <w:tcPr>
            <w:tcW w:type="dxa" w:w="4680"/>
          </w:tcPr>
          <w:p>
            <w:pPr>
              <w:spacing w:line="240" w:lineRule="auto" w:after="0"/>
            </w:pPr>
            <w:r>
              <w:rPr>
                <w:rFonts w:ascii="Arial" w:hAnsi="Arial"/>
                <w:sz w:val="16"/>
              </w:rPr>
              <w:t>245</w:t>
            </w:r>
          </w:p>
        </w:tc>
      </w:tr>
      <w:tr>
        <w:trPr>
          <w:cantSplit/>
        </w:trPr>
        <w:tc>
          <w:tcPr>
            <w:tcW w:type="dxa" w:w="4680"/>
          </w:tcPr>
          <w:p>
            <w:pPr>
              <w:spacing w:line="240" w:lineRule="auto" w:after="0"/>
            </w:pPr>
            <w:r>
              <w:rPr>
                <w:rFonts w:ascii="Arial" w:hAnsi="Arial"/>
                <w:sz w:val="16"/>
              </w:rPr>
              <w:t>Evaluable sequences</w:t>
            </w:r>
          </w:p>
        </w:tc>
        <w:tc>
          <w:tcPr>
            <w:tcW w:type="dxa" w:w="4680"/>
          </w:tcPr>
          <w:p>
            <w:pPr>
              <w:spacing w:line="240" w:lineRule="auto" w:after="0"/>
            </w:pPr>
            <w:r>
              <w:rPr>
                <w:rFonts w:ascii="Arial" w:hAnsi="Arial"/>
                <w:sz w:val="16"/>
              </w:rPr>
              <w:t>13166</w:t>
            </w:r>
          </w:p>
        </w:tc>
      </w:tr>
      <w:tr>
        <w:trPr>
          <w:cantSplit/>
        </w:trPr>
        <w:tc>
          <w:tcPr>
            <w:tcW w:type="dxa" w:w="4680"/>
          </w:tcPr>
          <w:p>
            <w:pPr>
              <w:spacing w:line="240" w:lineRule="auto" w:after="0"/>
            </w:pPr>
            <w:r>
              <w:rPr>
                <w:rFonts w:ascii="Arial" w:hAnsi="Arial"/>
                <w:sz w:val="16"/>
              </w:rPr>
              <w:t>Micro-accuracy</w:t>
            </w:r>
          </w:p>
        </w:tc>
        <w:tc>
          <w:tcPr>
            <w:tcW w:type="dxa" w:w="4680"/>
          </w:tcPr>
          <w:p>
            <w:pPr>
              <w:spacing w:line="240" w:lineRule="auto" w:after="0"/>
            </w:pPr>
            <w:r>
              <w:rPr>
                <w:rFonts w:ascii="Arial" w:hAnsi="Arial"/>
                <w:sz w:val="16"/>
              </w:rPr>
              <w:t>0.767</w:t>
            </w:r>
          </w:p>
        </w:tc>
      </w:tr>
      <w:tr>
        <w:trPr>
          <w:cantSplit/>
        </w:trPr>
        <w:tc>
          <w:tcPr>
            <w:tcW w:type="dxa" w:w="4680"/>
          </w:tcPr>
          <w:p>
            <w:pPr>
              <w:spacing w:line="240" w:lineRule="auto" w:after="0"/>
            </w:pPr>
            <w:r>
              <w:rPr>
                <w:rFonts w:ascii="Arial" w:hAnsi="Arial"/>
                <w:sz w:val="16"/>
              </w:rPr>
              <w:t>Macro family accuracy</w:t>
            </w:r>
          </w:p>
        </w:tc>
        <w:tc>
          <w:tcPr>
            <w:tcW w:type="dxa" w:w="4680"/>
          </w:tcPr>
          <w:p>
            <w:pPr>
              <w:spacing w:line="240" w:lineRule="auto" w:after="0"/>
            </w:pPr>
            <w:r>
              <w:rPr>
                <w:rFonts w:ascii="Arial" w:hAnsi="Arial"/>
                <w:sz w:val="16"/>
              </w:rPr>
              <w:t>0.721</w:t>
            </w:r>
          </w:p>
        </w:tc>
      </w:tr>
      <w:tr>
        <w:trPr>
          <w:cantSplit/>
        </w:trPr>
        <w:tc>
          <w:tcPr>
            <w:tcW w:type="dxa" w:w="4680"/>
          </w:tcPr>
          <w:p>
            <w:pPr>
              <w:spacing w:line="240" w:lineRule="auto" w:after="0"/>
            </w:pPr>
            <w:r>
              <w:rPr>
                <w:rFonts w:ascii="Arial" w:hAnsi="Arial"/>
                <w:sz w:val="16"/>
              </w:rPr>
              <w:t>Median family accuracy</w:t>
            </w:r>
          </w:p>
        </w:tc>
        <w:tc>
          <w:tcPr>
            <w:tcW w:type="dxa" w:w="4680"/>
          </w:tcPr>
          <w:p>
            <w:pPr>
              <w:spacing w:line="240" w:lineRule="auto" w:after="0"/>
            </w:pPr>
            <w:r>
              <w:rPr>
                <w:rFonts w:ascii="Arial" w:hAnsi="Arial"/>
                <w:sz w:val="16"/>
              </w:rPr>
              <w:t>0.826</w:t>
            </w:r>
          </w:p>
        </w:tc>
      </w:tr>
      <w:tr>
        <w:trPr>
          <w:cantSplit/>
        </w:trPr>
        <w:tc>
          <w:tcPr>
            <w:tcW w:type="dxa" w:w="4680"/>
          </w:tcPr>
          <w:p>
            <w:pPr>
              <w:spacing w:line="240" w:lineRule="auto" w:after="0"/>
            </w:pPr>
            <w:r>
              <w:rPr>
                <w:rFonts w:ascii="Arial" w:hAnsi="Arial"/>
                <w:sz w:val="16"/>
              </w:rPr>
              <w:t>Families with positive median margin</w:t>
            </w:r>
          </w:p>
        </w:tc>
        <w:tc>
          <w:tcPr>
            <w:tcW w:type="dxa" w:w="4680"/>
          </w:tcPr>
          <w:p>
            <w:pPr>
              <w:spacing w:line="240" w:lineRule="auto" w:after="0"/>
            </w:pPr>
            <w:r>
              <w:rPr>
                <w:rFonts w:ascii="Arial" w:hAnsi="Arial"/>
                <w:sz w:val="16"/>
              </w:rPr>
              <w:t>197</w:t>
            </w:r>
          </w:p>
        </w:tc>
      </w:tr>
    </w:tbl>
    <w:p>
      <w:r>
        <w:br w:type="page"/>
      </w:r>
    </w:p>
    <w:p>
      <w:pPr>
        <w:pStyle w:val="Heading1"/>
      </w:pPr>
      <w:r>
        <w:t>Supplementary Figure S11</w:t>
      </w:r>
    </w:p>
    <w:p>
      <w:pPr>
        <w:jc w:val="center"/>
      </w:pPr>
      <w:r>
        <w:drawing>
          <wp:inline xmlns:a="http://schemas.openxmlformats.org/drawingml/2006/main" xmlns:pic="http://schemas.openxmlformats.org/drawingml/2006/picture">
            <wp:extent cx="5669280" cy="2668699"/>
            <wp:docPr id="11" name="Picture 11"/>
            <wp:cNvGraphicFramePr>
              <a:graphicFrameLocks noChangeAspect="1"/>
            </wp:cNvGraphicFramePr>
            <a:graphic>
              <a:graphicData uri="http://schemas.openxmlformats.org/drawingml/2006/picture">
                <pic:pic>
                  <pic:nvPicPr>
                    <pic:cNvPr id="0" name="FigureS15_catalog_wide_genus_blocked_separability.png"/>
                    <pic:cNvPicPr/>
                  </pic:nvPicPr>
                  <pic:blipFill>
                    <a:blip r:embed="rId20"/>
                    <a:stretch>
                      <a:fillRect/>
                    </a:stretch>
                  </pic:blipFill>
                  <pic:spPr>
                    <a:xfrm>
                      <a:off x="0" y="0"/>
                      <a:ext cx="5669280" cy="2668699"/>
                    </a:xfrm>
                    <a:prstGeom prst="rect"/>
                  </pic:spPr>
                </pic:pic>
              </a:graphicData>
            </a:graphic>
          </wp:inline>
        </w:drawing>
      </w:r>
    </w:p>
    <w:p>
      <w:pPr>
        <w:pStyle w:val="Caption"/>
      </w:pPr>
      <w:r>
        <w:t>Supplementary Figure S11. Catalog-wide complete-genus holdout using normalized dipeptide-composition centroids. The left panel shows the distribution of family-level accuracies for 245 evaluable families; the dashed line marks the median of 0.826. The right panel relates family accuracy to catalog size, with point area proportional to the number of evaluable genera. This analysis reduces genus-level leakage but does not calibrate HMM thresholds or repeat family discovery.</w:t>
      </w:r>
    </w:p>
    <w:sectPr>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 for A catalog of archaeal HTH and RHH DNA-binding-domain families outside a nineteen-family reference set</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