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line="276" w:lineRule="auto"/>
        <w:jc w:val="center"/>
      </w:pPr>
      <w:r>
        <w:rPr>
          <w:rFonts w:ascii="Arial" w:hAnsi="Arial"/>
          <w:color w:val="000000"/>
        </w:rPr>
        <w:t>Cover Letter</w:t>
      </w:r>
    </w:p>
    <w:p>
      <w:pPr>
        <w:spacing w:line="276" w:lineRule="auto"/>
      </w:pPr>
      <w:r>
        <w:rPr>
          <w:rFonts w:ascii="Arial" w:hAnsi="Arial"/>
        </w:rPr>
        <w:t>Dear Editors of BMC Genomics,</w:t>
      </w:r>
    </w:p>
    <w:p>
      <w:pPr>
        <w:spacing w:line="276" w:lineRule="auto"/>
      </w:pPr>
      <w:r>
        <w:rPr>
          <w:rFonts w:ascii="Arial" w:hAnsi="Arial"/>
        </w:rPr>
        <w:t>Please consider our Research Article, “A Catalog of Noncanonical HTH and RHH DNA-Binding Domain Families in Archaea,” for the Prokaryote Microbial Genomics section of BMC Genomics. The study asks a deliberately bounded comparative-genomics question: how much family-level diversity is visible within two Pfam clans after a nineteen-family reference set is removed? It does not claim a comprehensive map of all archaeal DNA-binding proteins or an experimentally confirmed regulome.</w:t>
      </w:r>
    </w:p>
    <w:p>
      <w:pPr>
        <w:spacing w:line="276" w:lineRule="auto"/>
      </w:pPr>
      <w:r>
        <w:rPr>
          <w:rFonts w:ascii="Arial" w:hAnsi="Arial"/>
        </w:rPr>
        <w:t>The principal contribution is a transparent catalog of 250 candidate families supported by explicit sampling and filtering rules. The revision adds alternative-panel retention, independent-accession projection, genome-, genus-, and major-lineage-blocked motif validation, assembly/source-quality sensitivity, genus-clustered prevalence intervals, a ten-family sequence-separability check, claim-calibrated figures, automated tests, locked environments, checksums, and a precise inventory of unavailable source data.</w:t>
      </w:r>
    </w:p>
    <w:p>
      <w:pPr>
        <w:spacing w:line="276" w:lineRule="auto"/>
      </w:pPr>
      <w:r>
        <w:rPr>
          <w:rFonts w:ascii="Arial" w:hAnsi="Arial"/>
        </w:rPr>
        <w:t>The stricter analyses sharpen the limits of the conclusions. Motif performance attenuates as taxonomic separation increases and is heterogeneous across held-out lineages. The sequence-separability analysis applies to only ten released families, while neighborhood associations remain hypotheses. The manuscript distinguishes a domain-family assignment from transcription-factor function and identifies direct biochemical and genetic experiments as the required next step.</w:t>
      </w:r>
    </w:p>
    <w:p>
      <w:pPr>
        <w:spacing w:line="276" w:lineRule="auto"/>
      </w:pPr>
      <w:r>
        <w:rPr>
          <w:rFonts w:ascii="Arial" w:hAnsi="Arial"/>
        </w:rPr>
        <w:t>The complete reproducibility package is publicly available through GitHub and archived as version 0.4.0 at https://doi.org/10.5281/zenodo.23461090. Generative artificial-intelligence assistance with language editing, code drafting, reproducibility packaging, and document formatting is disclosed in the manuscript; both authors reviewed and validated the resulting work and retain full responsibility.</w:t>
      </w:r>
    </w:p>
    <w:p>
      <w:pPr>
        <w:spacing w:line="276" w:lineRule="auto"/>
      </w:pPr>
      <w:r>
        <w:rPr>
          <w:rFonts w:ascii="Arial" w:hAnsi="Arial"/>
        </w:rPr>
        <w:t>Thank you for considering this work.</w:t>
      </w:r>
    </w:p>
    <w:p>
      <w:pPr>
        <w:spacing w:line="276" w:lineRule="auto"/>
      </w:pPr>
      <w:r>
        <w:rPr>
          <w:rFonts w:ascii="Arial" w:hAnsi="Arial"/>
        </w:rPr>
        <w:t>Sincerely,</w:t>
        <w:br/>
        <w:t>Ajay Vellanki and Shaurya Dosapati</w:t>
      </w:r>
    </w:p>
    <w:sectPr>
      <w:footerReference w:type="default" r:id="rId9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Cover letter — Vellanki and Dosapati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