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jc w:val="center"/>
      </w:pPr>
      <w:r>
        <w:rPr>
          <w:rFonts w:ascii="Arial" w:hAnsi="Arial"/>
          <w:color w:val="000000"/>
        </w:rPr>
        <w:t>Supplementary Methods, Tables, and Figure Legends</w:t>
      </w:r>
    </w:p>
    <w:p>
      <w:pPr>
        <w:spacing w:line="480" w:lineRule="auto"/>
        <w:jc w:val="center"/>
      </w:pPr>
      <w:r>
        <w:rPr>
          <w:rFonts w:ascii="Arial" w:hAnsi="Arial"/>
          <w:i/>
        </w:rPr>
        <w:t>A Catalog of Noncanonical HTH and RHH DNA-Binding Domain Families in Archaea</w:t>
      </w:r>
    </w:p>
    <w:p>
      <w:pPr>
        <w:pStyle w:val="Heading1"/>
        <w:spacing w:line="480" w:lineRule="auto"/>
      </w:pPr>
      <w:r>
        <w:rPr>
          <w:rFonts w:ascii="Arial" w:hAnsi="Arial"/>
        </w:rPr>
        <w:t>Supplementary Methods</w:t>
      </w:r>
    </w:p>
    <w:p>
      <w:pPr>
        <w:pStyle w:val="Heading2"/>
        <w:spacing w:line="480" w:lineRule="auto"/>
      </w:pPr>
      <w:r>
        <w:rPr>
          <w:rFonts w:ascii="Arial" w:hAnsi="Arial"/>
        </w:rPr>
        <w:t>Operational scope and terminology</w:t>
      </w:r>
    </w:p>
    <w:p>
      <w:pPr>
        <w:spacing w:line="480" w:lineRule="auto"/>
      </w:pPr>
      <w:r>
        <w:rPr>
          <w:rFonts w:ascii="Arial" w:hAnsi="Arial"/>
        </w:rPr>
        <w:t>The discovery universe comprises archaeal proteins detected by profiles in Pfam clans CL0123 and CL0057. “Noncanonical” means not explained by a nineteen-family reference set under the stated reciprocal-exclusion rule. It does not mean previously undescribed in all databases, nor does it establish transcription-factor activity.</w:t>
      </w:r>
    </w:p>
    <w:p>
      <w:pPr>
        <w:pStyle w:val="Heading2"/>
        <w:spacing w:line="480" w:lineRule="auto"/>
      </w:pPr>
      <w:r>
        <w:rPr>
          <w:rFonts w:ascii="Arial" w:hAnsi="Arial"/>
        </w:rPr>
        <w:t>Panel construction</w:t>
      </w:r>
    </w:p>
    <w:p>
      <w:pPr>
        <w:spacing w:line="480" w:lineRule="auto"/>
      </w:pPr>
      <w:r>
        <w:rPr>
          <w:rFonts w:ascii="Arial" w:hAnsi="Arial"/>
        </w:rPr>
        <w:t>Assemblies were grouped into seven major lineage categories. All genomes from five underrepresented groups were retained. Euryarchaeota and Crenarchaeota were capped at 140 and 70; subgroup allocations were proportional and genomes were sampled without replacement using seed 42. The final count of 331 was the output of that rule.</w:t>
      </w:r>
    </w:p>
    <w:p>
      <w:pPr>
        <w:pStyle w:val="Heading2"/>
        <w:spacing w:line="480" w:lineRule="auto"/>
      </w:pPr>
      <w:r>
        <w:rPr>
          <w:rFonts w:ascii="Arial" w:hAnsi="Arial"/>
        </w:rPr>
        <w:t>Reciprocal exclusion</w:t>
      </w:r>
    </w:p>
    <w:p>
      <w:pPr>
        <w:spacing w:line="480" w:lineRule="auto"/>
      </w:pPr>
      <w:r>
        <w:rPr>
          <w:rFonts w:ascii="Arial" w:hAnsi="Arial"/>
        </w:rPr>
        <w:t>For each protein, the best-scoring candidate-domain interval was compared with the best canonical hit. Overlap was shared aligned residues divided by candidate-interval length. A candidate was excluded when overlap exceeded 0.5 and the canonical domain score was at least the candidate score minus 5 bits. The highest-scoring retained candidate was used when multiple candidates remained.</w:t>
      </w:r>
    </w:p>
    <w:p>
      <w:pPr>
        <w:pStyle w:val="Heading2"/>
        <w:spacing w:line="480" w:lineRule="auto"/>
      </w:pPr>
      <w:r>
        <w:rPr>
          <w:rFonts w:ascii="Arial" w:hAnsi="Arial"/>
        </w:rPr>
        <w:t>Family construction</w:t>
      </w:r>
    </w:p>
    <w:p>
      <w:pPr>
        <w:spacing w:line="480" w:lineRule="auto"/>
      </w:pPr>
      <w:r>
        <w:rPr>
          <w:rFonts w:ascii="Arial" w:hAnsi="Arial"/>
        </w:rPr>
        <w:t>Retained proteins were clustered with MMseqs2 at minimum identity 0.30 and coverage 0.60, coverage mode 0, cluster mode 1. Clusters required occurrence in at least five genomes, median length below 250 amino acids, at least 60 percent of members below 250 amino acids, and absence of clearly nonregulatory annotation keywords.</w:t>
      </w:r>
    </w:p>
    <w:p>
      <w:pPr>
        <w:pStyle w:val="Heading2"/>
        <w:spacing w:line="480" w:lineRule="auto"/>
      </w:pPr>
      <w:r>
        <w:rPr>
          <w:rFonts w:ascii="Arial" w:hAnsi="Arial"/>
        </w:rPr>
        <w:t>Panel and projection sensitivity</w:t>
      </w:r>
    </w:p>
    <w:p>
      <w:pPr>
        <w:spacing w:line="480" w:lineRule="auto"/>
      </w:pPr>
      <w:r>
        <w:rPr>
          <w:rFonts w:ascii="Arial" w:hAnsi="Arial"/>
        </w:rPr>
        <w:t>Five hundred seeded within-panel resamples tested three alternative sampling schemes using fixed family membership. A separate 500-replicate analysis sampled 331 lineage-matched genomes from the independent 3,192-genome projection matrix after removing discovery-panel accessions. These analyses test retention and HMM transfer, not de novo rediscovery.</w:t>
      </w:r>
    </w:p>
    <w:p>
      <w:pPr>
        <w:pStyle w:val="Heading2"/>
        <w:spacing w:line="480" w:lineRule="auto"/>
      </w:pPr>
      <w:r>
        <w:rPr>
          <w:rFonts w:ascii="Arial" w:hAnsi="Arial"/>
        </w:rPr>
        <w:t>Genome-quality sensitivity</w:t>
      </w:r>
    </w:p>
    <w:p>
      <w:pPr>
        <w:spacing w:line="480" w:lineRule="auto"/>
      </w:pPr>
      <w:r>
        <w:rPr>
          <w:rFonts w:ascii="Arial" w:hAnsi="Arial"/>
        </w:rPr>
        <w:t>The 3,192 accession-resolved projection genomes were stratified by origin, assembly level, and reported completeness/contamination. Per-family prevalence and detected-family counts were reported. Contrasts are descriptive because strata are confounded with lineage and sampling.</w:t>
      </w:r>
    </w:p>
    <w:p>
      <w:pPr>
        <w:pStyle w:val="Heading2"/>
        <w:spacing w:line="480" w:lineRule="auto"/>
      </w:pPr>
      <w:r>
        <w:rPr>
          <w:rFonts w:ascii="Arial" w:hAnsi="Arial"/>
        </w:rPr>
        <w:t>Taxonomic clustered prevalence</w:t>
      </w:r>
    </w:p>
    <w:p>
      <w:pPr>
        <w:spacing w:line="480" w:lineRule="auto"/>
      </w:pPr>
      <w:r>
        <w:rPr>
          <w:rFonts w:ascii="Arial" w:hAnsi="Arial"/>
        </w:rPr>
        <w:t>Organism names defined 533 inferred genus clusters. Genera were resampled with replacement for 1,000 seeded replicates to obtain genus-balanced and cluster-weighted prevalence intervals. This addresses cluster sampling but is not a species-tree model.</w:t>
      </w:r>
    </w:p>
    <w:p>
      <w:pPr>
        <w:pStyle w:val="Heading2"/>
        <w:spacing w:line="480" w:lineRule="auto"/>
      </w:pPr>
      <w:r>
        <w:rPr>
          <w:rFonts w:ascii="Arial" w:hAnsi="Arial"/>
        </w:rPr>
        <w:t>Motif holdout</w:t>
      </w:r>
    </w:p>
    <w:p>
      <w:pPr>
        <w:spacing w:line="480" w:lineRule="auto"/>
      </w:pPr>
      <w:r>
        <w:rPr>
          <w:rFonts w:ascii="Arial" w:hAnsi="Arial"/>
        </w:rPr>
        <w:t>For twelve families, PWMs were fitted on taxonomically separated training data. Genome-blocked splits held out genomes, genus-blocked splits held out complete genera, and the strictest analysis left out one major lineage at a time with same-lineage other-family controls. Minimum sample-size failures were reported as unevaluable. Results remain predictive rather than biochemical.</w:t>
      </w:r>
    </w:p>
    <w:p>
      <w:pPr>
        <w:pStyle w:val="Heading2"/>
        <w:spacing w:line="480" w:lineRule="auto"/>
      </w:pPr>
      <w:r>
        <w:rPr>
          <w:rFonts w:ascii="Arial" w:hAnsi="Arial"/>
        </w:rPr>
        <w:t>Sequence-family separability</w:t>
      </w:r>
    </w:p>
    <w:p>
      <w:pPr>
        <w:spacing w:line="480" w:lineRule="auto"/>
      </w:pPr>
      <w:r>
        <w:rPr>
          <w:rFonts w:ascii="Arial" w:hAnsi="Arial"/>
        </w:rPr>
        <w:t>For 782 released proteins from ten families, normalized dipeptide frequencies were classified by leave-one-sequence-out family centroids. Exact binomial intervals and separation margins were reported. This subset analysis does not validate all 250 families.</w:t>
      </w:r>
    </w:p>
    <w:p>
      <w:pPr>
        <w:pStyle w:val="Heading2"/>
        <w:spacing w:line="480" w:lineRule="auto"/>
      </w:pPr>
      <w:r>
        <w:rPr>
          <w:rFonts w:ascii="Arial" w:hAnsi="Arial"/>
        </w:rPr>
        <w:t>Evidence limits</w:t>
      </w:r>
    </w:p>
    <w:p>
      <w:pPr>
        <w:spacing w:line="480" w:lineRule="auto"/>
      </w:pPr>
      <w:r>
        <w:rPr>
          <w:rFonts w:ascii="Arial" w:hAnsi="Arial"/>
        </w:rPr>
        <w:t>Neighborhood enrichment is treated as association, motif prediction as sequence-level prediction, and structure matching as similarity to a curated reference set. None alone demonstrates direct DNA binding or transcriptional regulation.</w:t>
      </w:r>
    </w:p>
    <w:p>
      <w:pPr>
        <w:pStyle w:val="Heading1"/>
        <w:spacing w:line="480" w:lineRule="auto"/>
      </w:pPr>
      <w:r>
        <w:rPr>
          <w:rFonts w:ascii="Arial" w:hAnsi="Arial"/>
        </w:rPr>
        <w:t>Confirmatory and exploratory analysis classification</w:t>
      </w:r>
    </w:p>
    <w:tbl>
      <w:tblPr>
        <w:tblStyle w:val="TableGrid"/>
        <w:tblW w:type="auto" w:w="0"/>
        <w:tblLook w:firstColumn="1" w:firstRow="1" w:lastColumn="0" w:lastRow="0" w:noHBand="0" w:noVBand="1" w:val="04A0"/>
      </w:tblPr>
      <w:tblGrid>
        <w:gridCol w:w="2448"/>
        <w:gridCol w:w="2448"/>
        <w:gridCol w:w="2448"/>
        <w:gridCol w:w="2448"/>
      </w:tblGrid>
      <w:tr>
        <w:trPr>
          <w:cantSplit/>
          <w:tblHeader/>
        </w:trPr>
        <w:tc>
          <w:tcPr>
            <w:tcW w:type="dxa" w:w="2448"/>
          </w:tcPr>
          <w:p>
            <w:r>
              <w:rPr>
                <w:rFonts w:ascii="Arial" w:hAnsi="Arial"/>
                <w:b/>
                <w:sz w:val="16"/>
              </w:rPr>
              <w:t>Analysis</w:t>
            </w:r>
          </w:p>
        </w:tc>
        <w:tc>
          <w:tcPr>
            <w:tcW w:type="dxa" w:w="2448"/>
          </w:tcPr>
          <w:p>
            <w:r>
              <w:rPr>
                <w:rFonts w:ascii="Arial" w:hAnsi="Arial"/>
                <w:b/>
                <w:sz w:val="16"/>
              </w:rPr>
              <w:t>Role</w:t>
            </w:r>
          </w:p>
        </w:tc>
        <w:tc>
          <w:tcPr>
            <w:tcW w:type="dxa" w:w="2448"/>
          </w:tcPr>
          <w:p>
            <w:r>
              <w:rPr>
                <w:rFonts w:ascii="Arial" w:hAnsi="Arial"/>
                <w:b/>
                <w:sz w:val="16"/>
              </w:rPr>
              <w:t>Question</w:t>
            </w:r>
          </w:p>
        </w:tc>
        <w:tc>
          <w:tcPr>
            <w:tcW w:type="dxa" w:w="2448"/>
          </w:tcPr>
          <w:p>
            <w:r>
              <w:rPr>
                <w:rFonts w:ascii="Arial" w:hAnsi="Arial"/>
                <w:b/>
                <w:sz w:val="16"/>
              </w:rPr>
              <w:t>Principal limit</w:t>
            </w:r>
          </w:p>
        </w:tc>
      </w:tr>
      <w:tr>
        <w:trPr>
          <w:cantSplit/>
        </w:trPr>
        <w:tc>
          <w:tcPr>
            <w:tcW w:type="dxa" w:w="2448"/>
          </w:tcPr>
          <w:p>
            <w:r>
              <w:rPr>
                <w:rFonts w:ascii="Arial" w:hAnsi="Arial"/>
                <w:sz w:val="16"/>
              </w:rPr>
              <w:t>Catalog size and membership</w:t>
            </w:r>
          </w:p>
        </w:tc>
        <w:tc>
          <w:tcPr>
            <w:tcW w:type="dxa" w:w="2448"/>
          </w:tcPr>
          <w:p>
            <w:r>
              <w:rPr>
                <w:rFonts w:ascii="Arial" w:hAnsi="Arial"/>
                <w:sz w:val="16"/>
              </w:rPr>
              <w:t>Primary descriptive</w:t>
            </w:r>
          </w:p>
        </w:tc>
        <w:tc>
          <w:tcPr>
            <w:tcW w:type="dxa" w:w="2448"/>
          </w:tcPr>
          <w:p>
            <w:r>
              <w:rPr>
                <w:rFonts w:ascii="Arial" w:hAnsi="Arial"/>
                <w:sz w:val="16"/>
              </w:rPr>
              <w:t>Prespecified released pipeline summaries</w:t>
            </w:r>
          </w:p>
        </w:tc>
        <w:tc>
          <w:tcPr>
            <w:tcW w:type="dxa" w:w="2448"/>
          </w:tcPr>
          <w:p>
            <w:r>
              <w:rPr>
                <w:rFonts w:ascii="Arial" w:hAnsi="Arial"/>
                <w:sz w:val="16"/>
              </w:rPr>
              <w:t>Bounded to two Pfam clans</w:t>
            </w:r>
          </w:p>
        </w:tc>
      </w:tr>
      <w:tr>
        <w:trPr>
          <w:cantSplit/>
        </w:trPr>
        <w:tc>
          <w:tcPr>
            <w:tcW w:type="dxa" w:w="2448"/>
          </w:tcPr>
          <w:p>
            <w:r>
              <w:rPr>
                <w:rFonts w:ascii="Arial" w:hAnsi="Arial"/>
                <w:sz w:val="16"/>
              </w:rPr>
              <w:t>Held-out family HMM assignment</w:t>
            </w:r>
          </w:p>
        </w:tc>
        <w:tc>
          <w:tcPr>
            <w:tcW w:type="dxa" w:w="2448"/>
          </w:tcPr>
          <w:p>
            <w:r>
              <w:rPr>
                <w:rFonts w:ascii="Arial" w:hAnsi="Arial"/>
                <w:sz w:val="16"/>
              </w:rPr>
              <w:t>Confirmatory validation</w:t>
            </w:r>
          </w:p>
        </w:tc>
        <w:tc>
          <w:tcPr>
            <w:tcW w:type="dxa" w:w="2448"/>
          </w:tcPr>
          <w:p>
            <w:r>
              <w:rPr>
                <w:rFonts w:ascii="Arial" w:hAnsi="Arial"/>
                <w:sz w:val="16"/>
              </w:rPr>
              <w:t>Withheld sequence assignment</w:t>
            </w:r>
          </w:p>
        </w:tc>
        <w:tc>
          <w:tcPr>
            <w:tcW w:type="dxa" w:w="2448"/>
          </w:tcPr>
          <w:p>
            <w:r>
              <w:rPr>
                <w:rFonts w:ascii="Arial" w:hAnsi="Arial"/>
                <w:sz w:val="16"/>
              </w:rPr>
              <w:t>Only families with ≥20 members</w:t>
            </w:r>
          </w:p>
        </w:tc>
      </w:tr>
      <w:tr>
        <w:trPr>
          <w:cantSplit/>
        </w:trPr>
        <w:tc>
          <w:tcPr>
            <w:tcW w:type="dxa" w:w="2448"/>
          </w:tcPr>
          <w:p>
            <w:r>
              <w:rPr>
                <w:rFonts w:ascii="Arial" w:hAnsi="Arial"/>
                <w:sz w:val="16"/>
              </w:rPr>
              <w:t>Independent-genome projection</w:t>
            </w:r>
          </w:p>
        </w:tc>
        <w:tc>
          <w:tcPr>
            <w:tcW w:type="dxa" w:w="2448"/>
          </w:tcPr>
          <w:p>
            <w:r>
              <w:rPr>
                <w:rFonts w:ascii="Arial" w:hAnsi="Arial"/>
                <w:sz w:val="16"/>
              </w:rPr>
              <w:t>Confirmatory validation</w:t>
            </w:r>
          </w:p>
        </w:tc>
        <w:tc>
          <w:tcPr>
            <w:tcW w:type="dxa" w:w="2448"/>
          </w:tcPr>
          <w:p>
            <w:r>
              <w:rPr>
                <w:rFonts w:ascii="Arial" w:hAnsi="Arial"/>
                <w:sz w:val="16"/>
              </w:rPr>
              <w:t>Zero accession overlap</w:t>
            </w:r>
          </w:p>
        </w:tc>
        <w:tc>
          <w:tcPr>
            <w:tcW w:type="dxa" w:w="2448"/>
          </w:tcPr>
          <w:p>
            <w:r>
              <w:rPr>
                <w:rFonts w:ascii="Arial" w:hAnsi="Arial"/>
                <w:sz w:val="16"/>
              </w:rPr>
              <w:t>Fixed HMMs; no rediscovery</w:t>
            </w:r>
          </w:p>
        </w:tc>
      </w:tr>
      <w:tr>
        <w:trPr>
          <w:cantSplit/>
        </w:trPr>
        <w:tc>
          <w:tcPr>
            <w:tcW w:type="dxa" w:w="2448"/>
          </w:tcPr>
          <w:p>
            <w:r>
              <w:rPr>
                <w:rFonts w:ascii="Arial" w:hAnsi="Arial"/>
                <w:sz w:val="16"/>
              </w:rPr>
              <w:t>Genome/genus/lineage-blocked motif AUC</w:t>
            </w:r>
          </w:p>
        </w:tc>
        <w:tc>
          <w:tcPr>
            <w:tcW w:type="dxa" w:w="2448"/>
          </w:tcPr>
          <w:p>
            <w:r>
              <w:rPr>
                <w:rFonts w:ascii="Arial" w:hAnsi="Arial"/>
                <w:sz w:val="16"/>
              </w:rPr>
              <w:t>Confirmatory sensitivity</w:t>
            </w:r>
          </w:p>
        </w:tc>
        <w:tc>
          <w:tcPr>
            <w:tcW w:type="dxa" w:w="2448"/>
          </w:tcPr>
          <w:p>
            <w:r>
              <w:rPr>
                <w:rFonts w:ascii="Arial" w:hAnsi="Arial"/>
                <w:sz w:val="16"/>
              </w:rPr>
              <w:t>Out-of-sample discrimination</w:t>
            </w:r>
          </w:p>
        </w:tc>
        <w:tc>
          <w:tcPr>
            <w:tcW w:type="dxa" w:w="2448"/>
          </w:tcPr>
          <w:p>
            <w:r>
              <w:rPr>
                <w:rFonts w:ascii="Arial" w:hAnsi="Arial"/>
                <w:sz w:val="16"/>
              </w:rPr>
              <w:t>Predictive, not biochemical</w:t>
            </w:r>
          </w:p>
        </w:tc>
      </w:tr>
      <w:tr>
        <w:trPr>
          <w:cantSplit/>
        </w:trPr>
        <w:tc>
          <w:tcPr>
            <w:tcW w:type="dxa" w:w="2448"/>
          </w:tcPr>
          <w:p>
            <w:r>
              <w:rPr>
                <w:rFonts w:ascii="Arial" w:hAnsi="Arial"/>
                <w:sz w:val="16"/>
              </w:rPr>
              <w:t>Genome-quality stratification</w:t>
            </w:r>
          </w:p>
        </w:tc>
        <w:tc>
          <w:tcPr>
            <w:tcW w:type="dxa" w:w="2448"/>
          </w:tcPr>
          <w:p>
            <w:r>
              <w:rPr>
                <w:rFonts w:ascii="Arial" w:hAnsi="Arial"/>
                <w:sz w:val="16"/>
              </w:rPr>
              <w:t>Sensitivity</w:t>
            </w:r>
          </w:p>
        </w:tc>
        <w:tc>
          <w:tcPr>
            <w:tcW w:type="dxa" w:w="2448"/>
          </w:tcPr>
          <w:p>
            <w:r>
              <w:rPr>
                <w:rFonts w:ascii="Arial" w:hAnsi="Arial"/>
                <w:sz w:val="16"/>
              </w:rPr>
              <w:t>Robustness across deposited strata</w:t>
            </w:r>
          </w:p>
        </w:tc>
        <w:tc>
          <w:tcPr>
            <w:tcW w:type="dxa" w:w="2448"/>
          </w:tcPr>
          <w:p>
            <w:r>
              <w:rPr>
                <w:rFonts w:ascii="Arial" w:hAnsi="Arial"/>
                <w:sz w:val="16"/>
              </w:rPr>
              <w:t>Descriptive; confounded</w:t>
            </w:r>
          </w:p>
        </w:tc>
      </w:tr>
      <w:tr>
        <w:trPr>
          <w:cantSplit/>
        </w:trPr>
        <w:tc>
          <w:tcPr>
            <w:tcW w:type="dxa" w:w="2448"/>
          </w:tcPr>
          <w:p>
            <w:r>
              <w:rPr>
                <w:rFonts w:ascii="Arial" w:hAnsi="Arial"/>
                <w:sz w:val="16"/>
              </w:rPr>
              <w:t>Genus-clustered prevalence</w:t>
            </w:r>
          </w:p>
        </w:tc>
        <w:tc>
          <w:tcPr>
            <w:tcW w:type="dxa" w:w="2448"/>
          </w:tcPr>
          <w:p>
            <w:r>
              <w:rPr>
                <w:rFonts w:ascii="Arial" w:hAnsi="Arial"/>
                <w:sz w:val="16"/>
              </w:rPr>
              <w:t>Sensitivity</w:t>
            </w:r>
          </w:p>
        </w:tc>
        <w:tc>
          <w:tcPr>
            <w:tcW w:type="dxa" w:w="2448"/>
          </w:tcPr>
          <w:p>
            <w:r>
              <w:rPr>
                <w:rFonts w:ascii="Arial" w:hAnsi="Arial"/>
                <w:sz w:val="16"/>
              </w:rPr>
              <w:t>Taxonomic sampling imbalance</w:t>
            </w:r>
          </w:p>
        </w:tc>
        <w:tc>
          <w:tcPr>
            <w:tcW w:type="dxa" w:w="2448"/>
          </w:tcPr>
          <w:p>
            <w:r>
              <w:rPr>
                <w:rFonts w:ascii="Arial" w:hAnsi="Arial"/>
                <w:sz w:val="16"/>
              </w:rPr>
              <w:t>Organism-name genera; no species tree</w:t>
            </w:r>
          </w:p>
        </w:tc>
      </w:tr>
      <w:tr>
        <w:trPr>
          <w:cantSplit/>
        </w:trPr>
        <w:tc>
          <w:tcPr>
            <w:tcW w:type="dxa" w:w="2448"/>
          </w:tcPr>
          <w:p>
            <w:r>
              <w:rPr>
                <w:rFonts w:ascii="Arial" w:hAnsi="Arial"/>
                <w:sz w:val="16"/>
              </w:rPr>
              <w:t>Ten-family sequence separability</w:t>
            </w:r>
          </w:p>
        </w:tc>
        <w:tc>
          <w:tcPr>
            <w:tcW w:type="dxa" w:w="2448"/>
          </w:tcPr>
          <w:p>
            <w:r>
              <w:rPr>
                <w:rFonts w:ascii="Arial" w:hAnsi="Arial"/>
                <w:sz w:val="16"/>
              </w:rPr>
              <w:t>Sensitivity</w:t>
            </w:r>
          </w:p>
        </w:tc>
        <w:tc>
          <w:tcPr>
            <w:tcW w:type="dxa" w:w="2448"/>
          </w:tcPr>
          <w:p>
            <w:r>
              <w:rPr>
                <w:rFonts w:ascii="Arial" w:hAnsi="Arial"/>
                <w:sz w:val="16"/>
              </w:rPr>
              <w:t>Subset boundary coherence</w:t>
            </w:r>
          </w:p>
        </w:tc>
        <w:tc>
          <w:tcPr>
            <w:tcW w:type="dxa" w:w="2448"/>
          </w:tcPr>
          <w:p>
            <w:r>
              <w:rPr>
                <w:rFonts w:ascii="Arial" w:hAnsi="Arial"/>
                <w:sz w:val="16"/>
              </w:rPr>
              <w:t>Only ten released families</w:t>
            </w:r>
          </w:p>
        </w:tc>
      </w:tr>
      <w:tr>
        <w:trPr>
          <w:cantSplit/>
        </w:trPr>
        <w:tc>
          <w:tcPr>
            <w:tcW w:type="dxa" w:w="2448"/>
          </w:tcPr>
          <w:p>
            <w:r>
              <w:rPr>
                <w:rFonts w:ascii="Arial" w:hAnsi="Arial"/>
                <w:sz w:val="16"/>
              </w:rPr>
              <w:t>Neighborhood enrichment</w:t>
            </w:r>
          </w:p>
        </w:tc>
        <w:tc>
          <w:tcPr>
            <w:tcW w:type="dxa" w:w="2448"/>
          </w:tcPr>
          <w:p>
            <w:r>
              <w:rPr>
                <w:rFonts w:ascii="Arial" w:hAnsi="Arial"/>
                <w:sz w:val="16"/>
              </w:rPr>
              <w:t>Exploratory</w:t>
            </w:r>
          </w:p>
        </w:tc>
        <w:tc>
          <w:tcPr>
            <w:tcW w:type="dxa" w:w="2448"/>
          </w:tcPr>
          <w:p>
            <w:r>
              <w:rPr>
                <w:rFonts w:ascii="Arial" w:hAnsi="Arial"/>
                <w:sz w:val="16"/>
              </w:rPr>
              <w:t>Functional hypothesis generation</w:t>
            </w:r>
          </w:p>
        </w:tc>
        <w:tc>
          <w:tcPr>
            <w:tcW w:type="dxa" w:w="2448"/>
          </w:tcPr>
          <w:p>
            <w:r>
              <w:rPr>
                <w:rFonts w:ascii="Arial" w:hAnsi="Arial"/>
                <w:sz w:val="16"/>
              </w:rPr>
              <w:t>No direct target claim</w:t>
            </w:r>
          </w:p>
        </w:tc>
      </w:tr>
      <w:tr>
        <w:trPr>
          <w:cantSplit/>
        </w:trPr>
        <w:tc>
          <w:tcPr>
            <w:tcW w:type="dxa" w:w="2448"/>
          </w:tcPr>
          <w:p>
            <w:r>
              <w:rPr>
                <w:rFonts w:ascii="Arial" w:hAnsi="Arial"/>
                <w:sz w:val="16"/>
              </w:rPr>
              <w:t>Haloferax expression</w:t>
            </w:r>
          </w:p>
        </w:tc>
        <w:tc>
          <w:tcPr>
            <w:tcW w:type="dxa" w:w="2448"/>
          </w:tcPr>
          <w:p>
            <w:r>
              <w:rPr>
                <w:rFonts w:ascii="Arial" w:hAnsi="Arial"/>
                <w:sz w:val="16"/>
              </w:rPr>
              <w:t>Exploratory</w:t>
            </w:r>
          </w:p>
        </w:tc>
        <w:tc>
          <w:tcPr>
            <w:tcW w:type="dxa" w:w="2448"/>
          </w:tcPr>
          <w:p>
            <w:r>
              <w:rPr>
                <w:rFonts w:ascii="Arial" w:hAnsi="Arial"/>
                <w:sz w:val="16"/>
              </w:rPr>
              <w:t>Expression context</w:t>
            </w:r>
          </w:p>
        </w:tc>
        <w:tc>
          <w:tcPr>
            <w:tcW w:type="dxa" w:w="2448"/>
          </w:tcPr>
          <w:p>
            <w:r>
              <w:rPr>
                <w:rFonts w:ascii="Arial" w:hAnsi="Arial"/>
                <w:sz w:val="16"/>
              </w:rPr>
              <w:t>Three replicates; simple transformed-count tests</w:t>
            </w:r>
          </w:p>
        </w:tc>
      </w:tr>
      <w:tr>
        <w:trPr>
          <w:cantSplit/>
        </w:trPr>
        <w:tc>
          <w:tcPr>
            <w:tcW w:type="dxa" w:w="2448"/>
          </w:tcPr>
          <w:p>
            <w:r>
              <w:rPr>
                <w:rFonts w:ascii="Arial" w:hAnsi="Arial"/>
                <w:sz w:val="16"/>
              </w:rPr>
              <w:t>Experimental validation plan</w:t>
            </w:r>
          </w:p>
        </w:tc>
        <w:tc>
          <w:tcPr>
            <w:tcW w:type="dxa" w:w="2448"/>
          </w:tcPr>
          <w:p>
            <w:r>
              <w:rPr>
                <w:rFonts w:ascii="Arial" w:hAnsi="Arial"/>
                <w:sz w:val="16"/>
              </w:rPr>
              <w:t>Future work</w:t>
            </w:r>
          </w:p>
        </w:tc>
        <w:tc>
          <w:tcPr>
            <w:tcW w:type="dxa" w:w="2448"/>
          </w:tcPr>
          <w:p>
            <w:r>
              <w:rPr>
                <w:rFonts w:ascii="Arial" w:hAnsi="Arial"/>
                <w:sz w:val="16"/>
              </w:rPr>
              <w:t>Direct binding and in vivo regulation</w:t>
            </w:r>
          </w:p>
        </w:tc>
        <w:tc>
          <w:tcPr>
            <w:tcW w:type="dxa" w:w="2448"/>
          </w:tcPr>
          <w:p>
            <w:r>
              <w:rPr>
                <w:rFonts w:ascii="Arial" w:hAnsi="Arial"/>
                <w:sz w:val="16"/>
              </w:rPr>
              <w:t>Not performed</w:t>
            </w:r>
          </w:p>
        </w:tc>
      </w:tr>
    </w:tbl>
    <w:p>
      <w:pPr>
        <w:pStyle w:val="Heading1"/>
        <w:spacing w:line="480" w:lineRule="auto"/>
      </w:pPr>
      <w:r>
        <w:rPr>
          <w:rFonts w:ascii="Arial" w:hAnsi="Arial"/>
        </w:rPr>
        <w:t>Data artifact definitions</w:t>
      </w:r>
    </w:p>
    <w:tbl>
      <w:tblPr>
        <w:tblStyle w:val="TableGrid"/>
        <w:tblW w:type="auto" w:w="0"/>
        <w:tblLook w:firstColumn="1" w:firstRow="1" w:lastColumn="0" w:lastRow="0" w:noHBand="0" w:noVBand="1" w:val="04A0"/>
      </w:tblPr>
      <w:tblGrid>
        <w:gridCol w:w="3264"/>
        <w:gridCol w:w="3264"/>
        <w:gridCol w:w="3264"/>
      </w:tblGrid>
      <w:tr>
        <w:trPr>
          <w:cantSplit/>
          <w:tblHeader/>
        </w:trPr>
        <w:tc>
          <w:tcPr>
            <w:tcW w:type="dxa" w:w="3264"/>
          </w:tcPr>
          <w:p>
            <w:r>
              <w:rPr>
                <w:rFonts w:ascii="Arial" w:hAnsi="Arial"/>
                <w:b/>
                <w:sz w:val="16"/>
              </w:rPr>
              <w:t>Artifact</w:t>
            </w:r>
          </w:p>
        </w:tc>
        <w:tc>
          <w:tcPr>
            <w:tcW w:type="dxa" w:w="3264"/>
          </w:tcPr>
          <w:p>
            <w:r>
              <w:rPr>
                <w:rFonts w:ascii="Arial" w:hAnsi="Arial"/>
                <w:b/>
                <w:sz w:val="16"/>
              </w:rPr>
              <w:t>Scope</w:t>
            </w:r>
          </w:p>
        </w:tc>
        <w:tc>
          <w:tcPr>
            <w:tcW w:type="dxa" w:w="3264"/>
          </w:tcPr>
          <w:p>
            <w:r>
              <w:rPr>
                <w:rFonts w:ascii="Arial" w:hAnsi="Arial"/>
                <w:b/>
                <w:sz w:val="16"/>
              </w:rPr>
              <w:t>Permitted interpretation</w:t>
            </w:r>
          </w:p>
        </w:tc>
      </w:tr>
      <w:tr>
        <w:trPr>
          <w:cantSplit/>
        </w:trPr>
        <w:tc>
          <w:tcPr>
            <w:tcW w:type="dxa" w:w="3264"/>
          </w:tcPr>
          <w:p>
            <w:r>
              <w:rPr>
                <w:rFonts w:ascii="Arial" w:hAnsi="Arial"/>
                <w:sz w:val="16"/>
              </w:rPr>
              <w:t>Discovery panel</w:t>
            </w:r>
          </w:p>
        </w:tc>
        <w:tc>
          <w:tcPr>
            <w:tcW w:type="dxa" w:w="3264"/>
          </w:tcPr>
          <w:p>
            <w:r>
              <w:rPr>
                <w:rFonts w:ascii="Arial" w:hAnsi="Arial"/>
                <w:sz w:val="16"/>
              </w:rPr>
              <w:t>331 accessions</w:t>
            </w:r>
          </w:p>
        </w:tc>
        <w:tc>
          <w:tcPr>
            <w:tcW w:type="dxa" w:w="3264"/>
          </w:tcPr>
          <w:p>
            <w:r>
              <w:rPr>
                <w:rFonts w:ascii="Arial" w:hAnsi="Arial"/>
                <w:sz w:val="16"/>
              </w:rPr>
              <w:t>Family discovery and fixed-member sensitivity</w:t>
            </w:r>
          </w:p>
        </w:tc>
      </w:tr>
      <w:tr>
        <w:trPr>
          <w:cantSplit/>
        </w:trPr>
        <w:tc>
          <w:tcPr>
            <w:tcW w:type="dxa" w:w="3264"/>
          </w:tcPr>
          <w:p>
            <w:r>
              <w:rPr>
                <w:rFonts w:ascii="Arial" w:hAnsi="Arial"/>
                <w:sz w:val="16"/>
              </w:rPr>
              <w:t>Legacy projection matrix</w:t>
            </w:r>
          </w:p>
        </w:tc>
        <w:tc>
          <w:tcPr>
            <w:tcW w:type="dxa" w:w="3264"/>
          </w:tcPr>
          <w:p>
            <w:r>
              <w:rPr>
                <w:rFonts w:ascii="Arial" w:hAnsi="Arial"/>
                <w:sz w:val="16"/>
              </w:rPr>
              <w:t>250 × 3,192</w:t>
            </w:r>
          </w:p>
        </w:tc>
        <w:tc>
          <w:tcPr>
            <w:tcW w:type="dxa" w:w="3264"/>
          </w:tcPr>
          <w:p>
            <w:r>
              <w:rPr>
                <w:rFonts w:ascii="Arial" w:hAnsi="Arial"/>
                <w:sz w:val="16"/>
              </w:rPr>
              <w:t>Accession-resolved projection sensitivity</w:t>
            </w:r>
          </w:p>
        </w:tc>
      </w:tr>
      <w:tr>
        <w:trPr>
          <w:cantSplit/>
        </w:trPr>
        <w:tc>
          <w:tcPr>
            <w:tcW w:type="dxa" w:w="3264"/>
          </w:tcPr>
          <w:p>
            <w:r>
              <w:rPr>
                <w:rFonts w:ascii="Arial" w:hAnsi="Arial"/>
                <w:sz w:val="16"/>
              </w:rPr>
              <w:t>Final genome accounting</w:t>
            </w:r>
          </w:p>
        </w:tc>
        <w:tc>
          <w:tcPr>
            <w:tcW w:type="dxa" w:w="3264"/>
          </w:tcPr>
          <w:p>
            <w:r>
              <w:rPr>
                <w:rFonts w:ascii="Arial" w:hAnsi="Arial"/>
                <w:sz w:val="16"/>
              </w:rPr>
              <w:t>3,526 genomes</w:t>
            </w:r>
          </w:p>
        </w:tc>
        <w:tc>
          <w:tcPr>
            <w:tcW w:type="dxa" w:w="3264"/>
          </w:tcPr>
          <w:p>
            <w:r>
              <w:rPr>
                <w:rFonts w:ascii="Arial" w:hAnsi="Arial"/>
                <w:sz w:val="16"/>
              </w:rPr>
              <w:t>Final fates and denominators</w:t>
            </w:r>
          </w:p>
        </w:tc>
      </w:tr>
      <w:tr>
        <w:trPr>
          <w:cantSplit/>
        </w:trPr>
        <w:tc>
          <w:tcPr>
            <w:tcW w:type="dxa" w:w="3264"/>
          </w:tcPr>
          <w:p>
            <w:r>
              <w:rPr>
                <w:rFonts w:ascii="Arial" w:hAnsi="Arial"/>
                <w:sz w:val="16"/>
              </w:rPr>
              <w:t>Corrected prevalence</w:t>
            </w:r>
          </w:p>
        </w:tc>
        <w:tc>
          <w:tcPr>
            <w:tcW w:type="dxa" w:w="3264"/>
          </w:tcPr>
          <w:p>
            <w:r>
              <w:rPr>
                <w:rFonts w:ascii="Arial" w:hAnsi="Arial"/>
                <w:sz w:val="16"/>
              </w:rPr>
              <w:t>250 families × 7 groups</w:t>
            </w:r>
          </w:p>
        </w:tc>
        <w:tc>
          <w:tcPr>
            <w:tcW w:type="dxa" w:w="3264"/>
          </w:tcPr>
          <w:p>
            <w:r>
              <w:rPr>
                <w:rFonts w:ascii="Arial" w:hAnsi="Arial"/>
                <w:sz w:val="16"/>
              </w:rPr>
              <w:t>Final group-level prevalence only</w:t>
            </w:r>
          </w:p>
        </w:tc>
      </w:tr>
      <w:tr>
        <w:trPr>
          <w:cantSplit/>
        </w:trPr>
        <w:tc>
          <w:tcPr>
            <w:tcW w:type="dxa" w:w="3264"/>
          </w:tcPr>
          <w:p>
            <w:r>
              <w:rPr>
                <w:rFonts w:ascii="Arial" w:hAnsi="Arial"/>
                <w:sz w:val="16"/>
              </w:rPr>
              <w:t>Family upstreams</w:t>
            </w:r>
          </w:p>
        </w:tc>
        <w:tc>
          <w:tcPr>
            <w:tcW w:type="dxa" w:w="3264"/>
          </w:tcPr>
          <w:p>
            <w:r>
              <w:rPr>
                <w:rFonts w:ascii="Arial" w:hAnsi="Arial"/>
                <w:sz w:val="16"/>
              </w:rPr>
              <w:t>12 families; 250-nt sequences</w:t>
            </w:r>
          </w:p>
        </w:tc>
        <w:tc>
          <w:tcPr>
            <w:tcW w:type="dxa" w:w="3264"/>
          </w:tcPr>
          <w:p>
            <w:r>
              <w:rPr>
                <w:rFonts w:ascii="Arial" w:hAnsi="Arial"/>
                <w:sz w:val="16"/>
              </w:rPr>
              <w:t>Genome/genus/lineage-blocked motif validation</w:t>
            </w:r>
          </w:p>
        </w:tc>
      </w:tr>
      <w:tr>
        <w:trPr>
          <w:cantSplit/>
        </w:trPr>
        <w:tc>
          <w:tcPr>
            <w:tcW w:type="dxa" w:w="3264"/>
          </w:tcPr>
          <w:p>
            <w:r>
              <w:rPr>
                <w:rFonts w:ascii="Arial" w:hAnsi="Arial"/>
                <w:sz w:val="16"/>
              </w:rPr>
              <w:t>Phylogenetic sequence subset</w:t>
            </w:r>
          </w:p>
        </w:tc>
        <w:tc>
          <w:tcPr>
            <w:tcW w:type="dxa" w:w="3264"/>
          </w:tcPr>
          <w:p>
            <w:r>
              <w:rPr>
                <w:rFonts w:ascii="Arial" w:hAnsi="Arial"/>
                <w:sz w:val="16"/>
              </w:rPr>
              <w:t>782 proteins; 10 families</w:t>
            </w:r>
          </w:p>
        </w:tc>
        <w:tc>
          <w:tcPr>
            <w:tcW w:type="dxa" w:w="3264"/>
          </w:tcPr>
          <w:p>
            <w:r>
              <w:rPr>
                <w:rFonts w:ascii="Arial" w:hAnsi="Arial"/>
                <w:sz w:val="16"/>
              </w:rPr>
              <w:t>Subset sequence separability only</w:t>
            </w:r>
          </w:p>
        </w:tc>
      </w:tr>
    </w:tbl>
    <w:p>
      <w:pPr>
        <w:spacing w:line="480" w:lineRule="auto"/>
      </w:pPr>
      <w:r>
        <w:rPr>
          <w:rFonts w:ascii="Arial" w:hAnsi="Arial"/>
        </w:rPr>
        <w:br w:type="page"/>
      </w:r>
    </w:p>
    <w:p>
      <w:pPr>
        <w:pStyle w:val="Heading1"/>
        <w:spacing w:line="480" w:lineRule="auto"/>
      </w:pPr>
      <w:r>
        <w:rPr>
          <w:rFonts w:ascii="Arial" w:hAnsi="Arial"/>
        </w:rPr>
        <w:t>Figure S5</w:t>
      </w:r>
    </w:p>
    <w:p>
      <w:pPr>
        <w:spacing w:line="480" w:lineRule="auto"/>
        <w:jc w:val="center"/>
      </w:pPr>
      <w:r>
        <w:rPr>
          <w:rFonts w:ascii="Arial" w:hAnsi="Arial"/>
        </w:rPr>
        <w:drawing>
          <wp:inline xmlns:a="http://schemas.openxmlformats.org/drawingml/2006/main" xmlns:pic="http://schemas.openxmlformats.org/drawingml/2006/picture">
            <wp:extent cx="6126480" cy="2378130"/>
            <wp:docPr id="1" name="Picture 1"/>
            <wp:cNvGraphicFramePr>
              <a:graphicFrameLocks noChangeAspect="1"/>
            </wp:cNvGraphicFramePr>
            <a:graphic>
              <a:graphicData uri="http://schemas.openxmlformats.org/drawingml/2006/picture">
                <pic:pic>
                  <pic:nvPicPr>
                    <pic:cNvPr id="0" name="FigureS5_panel_resampling_sensitivity.png"/>
                    <pic:cNvPicPr/>
                  </pic:nvPicPr>
                  <pic:blipFill>
                    <a:blip r:embed="rId10"/>
                    <a:stretch>
                      <a:fillRect/>
                    </a:stretch>
                  </pic:blipFill>
                  <pic:spPr>
                    <a:xfrm>
                      <a:off x="0" y="0"/>
                      <a:ext cx="6126480" cy="2378130"/>
                    </a:xfrm>
                    <a:prstGeom prst="rect"/>
                  </pic:spPr>
                </pic:pic>
              </a:graphicData>
            </a:graphic>
          </wp:inline>
        </w:drawing>
      </w:r>
    </w:p>
    <w:p>
      <w:pPr>
        <w:pStyle w:val="Caption"/>
        <w:spacing w:line="480" w:lineRule="auto"/>
      </w:pPr>
      <w:r>
        <w:rPr>
          <w:rFonts w:ascii="Arial" w:hAnsi="Arial"/>
          <w:b/>
        </w:rPr>
        <w:t xml:space="preserve">Figure S5. </w:t>
      </w:r>
      <w:r>
        <w:rPr>
          <w:rFonts w:ascii="Arial" w:hAnsi="Arial"/>
        </w:rPr>
        <w:t>Within-panel fixed-family retention under three alternative sampling schemes. Boxes summarize 500 seeded replicates. This analysis asks whether already-defined families remain represented; it is not a de novo clustering sensitivity analysis.</w:t>
      </w:r>
    </w:p>
    <w:p>
      <w:pPr>
        <w:spacing w:line="480" w:lineRule="auto"/>
      </w:pPr>
      <w:r>
        <w:rPr>
          <w:rFonts w:ascii="Arial" w:hAnsi="Arial"/>
        </w:rPr>
        <w:br w:type="page"/>
      </w:r>
    </w:p>
    <w:p>
      <w:pPr>
        <w:pStyle w:val="Heading1"/>
        <w:spacing w:line="480" w:lineRule="auto"/>
      </w:pPr>
      <w:r>
        <w:rPr>
          <w:rFonts w:ascii="Arial" w:hAnsi="Arial"/>
        </w:rPr>
        <w:t>Figure S6</w:t>
      </w:r>
    </w:p>
    <w:p>
      <w:pPr>
        <w:spacing w:line="480" w:lineRule="auto"/>
        <w:jc w:val="center"/>
      </w:pPr>
      <w:r>
        <w:rPr>
          <w:rFonts w:ascii="Arial" w:hAnsi="Arial"/>
        </w:rPr>
        <w:drawing>
          <wp:inline xmlns:a="http://schemas.openxmlformats.org/drawingml/2006/main" xmlns:pic="http://schemas.openxmlformats.org/drawingml/2006/picture">
            <wp:extent cx="6126480" cy="2493928"/>
            <wp:docPr id="2" name="Picture 2"/>
            <wp:cNvGraphicFramePr>
              <a:graphicFrameLocks noChangeAspect="1"/>
            </wp:cNvGraphicFramePr>
            <a:graphic>
              <a:graphicData uri="http://schemas.openxmlformats.org/drawingml/2006/picture">
                <pic:pic>
                  <pic:nvPicPr>
                    <pic:cNvPr id="0" name="FigureS6_independent_projection_resampling.png"/>
                    <pic:cNvPicPr/>
                  </pic:nvPicPr>
                  <pic:blipFill>
                    <a:blip r:embed="rId11"/>
                    <a:stretch>
                      <a:fillRect/>
                    </a:stretch>
                  </pic:blipFill>
                  <pic:spPr>
                    <a:xfrm>
                      <a:off x="0" y="0"/>
                      <a:ext cx="6126480" cy="2493928"/>
                    </a:xfrm>
                    <a:prstGeom prst="rect"/>
                  </pic:spPr>
                </pic:pic>
              </a:graphicData>
            </a:graphic>
          </wp:inline>
        </w:drawing>
      </w:r>
    </w:p>
    <w:p>
      <w:pPr>
        <w:pStyle w:val="Caption"/>
        <w:spacing w:line="480" w:lineRule="auto"/>
      </w:pPr>
      <w:r>
        <w:rPr>
          <w:rFonts w:ascii="Arial" w:hAnsi="Arial"/>
          <w:b/>
        </w:rPr>
        <w:t xml:space="preserve">Figure S6. </w:t>
      </w:r>
      <w:r>
        <w:rPr>
          <w:rFonts w:ascii="Arial" w:hAnsi="Arial"/>
        </w:rPr>
        <w:t>Projection of released family HMMs to 500 lineage-matched samples of 331 independent genome accessions. The discovery/projection accession overlap is zero. Results test HMM transfer, not independent family discovery.</w:t>
      </w:r>
    </w:p>
    <w:p>
      <w:pPr>
        <w:spacing w:line="480" w:lineRule="auto"/>
      </w:pPr>
      <w:r>
        <w:rPr>
          <w:rFonts w:ascii="Arial" w:hAnsi="Arial"/>
        </w:rPr>
        <w:br w:type="page"/>
      </w:r>
    </w:p>
    <w:p>
      <w:pPr>
        <w:pStyle w:val="Heading1"/>
        <w:spacing w:line="480" w:lineRule="auto"/>
      </w:pPr>
      <w:r>
        <w:rPr>
          <w:rFonts w:ascii="Arial" w:hAnsi="Arial"/>
        </w:rPr>
        <w:t>Figure S7</w:t>
      </w:r>
    </w:p>
    <w:p>
      <w:pPr>
        <w:spacing w:line="480" w:lineRule="auto"/>
        <w:jc w:val="center"/>
      </w:pPr>
      <w:r>
        <w:rPr>
          <w:rFonts w:ascii="Arial" w:hAnsi="Arial"/>
        </w:rPr>
        <w:drawing>
          <wp:inline xmlns:a="http://schemas.openxmlformats.org/drawingml/2006/main" xmlns:pic="http://schemas.openxmlformats.org/drawingml/2006/picture">
            <wp:extent cx="6126480" cy="2794676"/>
            <wp:docPr id="3" name="Picture 3"/>
            <wp:cNvGraphicFramePr>
              <a:graphicFrameLocks noChangeAspect="1"/>
            </wp:cNvGraphicFramePr>
            <a:graphic>
              <a:graphicData uri="http://schemas.openxmlformats.org/drawingml/2006/picture">
                <pic:pic>
                  <pic:nvPicPr>
                    <pic:cNvPr id="0" name="FigureS7_motif_holdout_validation.png"/>
                    <pic:cNvPicPr/>
                  </pic:nvPicPr>
                  <pic:blipFill>
                    <a:blip r:embed="rId12"/>
                    <a:stretch>
                      <a:fillRect/>
                    </a:stretch>
                  </pic:blipFill>
                  <pic:spPr>
                    <a:xfrm>
                      <a:off x="0" y="0"/>
                      <a:ext cx="6126480" cy="2794676"/>
                    </a:xfrm>
                    <a:prstGeom prst="rect"/>
                  </pic:spPr>
                </pic:pic>
              </a:graphicData>
            </a:graphic>
          </wp:inline>
        </w:drawing>
      </w:r>
    </w:p>
    <w:p>
      <w:pPr>
        <w:pStyle w:val="Caption"/>
        <w:spacing w:line="480" w:lineRule="auto"/>
      </w:pPr>
      <w:r>
        <w:rPr>
          <w:rFonts w:ascii="Arial" w:hAnsi="Arial"/>
          <w:b/>
        </w:rPr>
        <w:t xml:space="preserve">Figure S7. </w:t>
      </w:r>
      <w:r>
        <w:rPr>
          <w:rFonts w:ascii="Arial" w:hAnsi="Arial"/>
        </w:rPr>
        <w:t>Genome-level motif holdout for 12 families. PWMs were fitted only to training genomes and scored against held-out family upstreams, dinucleotide shuffles, and GC-matched other-family upstreams. Repeated splits overlap and are interpreted descriptively.</w:t>
      </w:r>
    </w:p>
    <w:p>
      <w:pPr>
        <w:spacing w:line="480" w:lineRule="auto"/>
      </w:pPr>
      <w:r>
        <w:rPr>
          <w:rFonts w:ascii="Arial" w:hAnsi="Arial"/>
        </w:rPr>
        <w:br w:type="page"/>
      </w:r>
    </w:p>
    <w:p>
      <w:pPr>
        <w:pStyle w:val="Heading1"/>
        <w:spacing w:line="480" w:lineRule="auto"/>
      </w:pPr>
      <w:r>
        <w:rPr>
          <w:rFonts w:ascii="Arial" w:hAnsi="Arial"/>
        </w:rPr>
        <w:t>Figure S8</w:t>
      </w:r>
    </w:p>
    <w:p>
      <w:pPr>
        <w:spacing w:line="480" w:lineRule="auto"/>
        <w:jc w:val="center"/>
      </w:pPr>
      <w:r>
        <w:rPr>
          <w:rFonts w:ascii="Arial" w:hAnsi="Arial"/>
        </w:rPr>
        <w:drawing>
          <wp:inline xmlns:a="http://schemas.openxmlformats.org/drawingml/2006/main" xmlns:pic="http://schemas.openxmlformats.org/drawingml/2006/picture">
            <wp:extent cx="6126480" cy="2015167"/>
            <wp:docPr id="4" name="Picture 4"/>
            <wp:cNvGraphicFramePr>
              <a:graphicFrameLocks noChangeAspect="1"/>
            </wp:cNvGraphicFramePr>
            <a:graphic>
              <a:graphicData uri="http://schemas.openxmlformats.org/drawingml/2006/picture">
                <pic:pic>
                  <pic:nvPicPr>
                    <pic:cNvPr id="0" name="FigureS8_assembly_quality_sensitivity.png"/>
                    <pic:cNvPicPr/>
                  </pic:nvPicPr>
                  <pic:blipFill>
                    <a:blip r:embed="rId13"/>
                    <a:stretch>
                      <a:fillRect/>
                    </a:stretch>
                  </pic:blipFill>
                  <pic:spPr>
                    <a:xfrm>
                      <a:off x="0" y="0"/>
                      <a:ext cx="6126480" cy="2015167"/>
                    </a:xfrm>
                    <a:prstGeom prst="rect"/>
                  </pic:spPr>
                </pic:pic>
              </a:graphicData>
            </a:graphic>
          </wp:inline>
        </w:drawing>
      </w:r>
    </w:p>
    <w:p>
      <w:pPr>
        <w:pStyle w:val="Caption"/>
        <w:spacing w:line="480" w:lineRule="auto"/>
      </w:pPr>
      <w:r>
        <w:rPr>
          <w:rFonts w:ascii="Arial" w:hAnsi="Arial"/>
          <w:b/>
        </w:rPr>
        <w:t xml:space="preserve">Figure S8. </w:t>
      </w:r>
      <w:r>
        <w:rPr>
          <w:rFonts w:ascii="Arial" w:hAnsi="Arial"/>
        </w:rPr>
        <w:t>Sensitivity of per-family prevalence to genome source, assembly level, and reported completeness/contamination. Boxes summarize the 250 family prevalence values within each stratum. Differences are descriptive because strata are confounded with lineage and sampling.</w:t>
      </w:r>
    </w:p>
    <w:p>
      <w:pPr>
        <w:spacing w:line="480" w:lineRule="auto"/>
      </w:pPr>
      <w:r>
        <w:rPr>
          <w:rFonts w:ascii="Arial" w:hAnsi="Arial"/>
        </w:rPr>
        <w:br w:type="page"/>
      </w:r>
    </w:p>
    <w:p>
      <w:pPr>
        <w:pStyle w:val="Heading1"/>
        <w:spacing w:line="480" w:lineRule="auto"/>
      </w:pPr>
      <w:r>
        <w:rPr>
          <w:rFonts w:ascii="Arial" w:hAnsi="Arial"/>
        </w:rPr>
        <w:t>Figure S9</w:t>
      </w:r>
    </w:p>
    <w:p>
      <w:pPr>
        <w:spacing w:line="480" w:lineRule="auto"/>
        <w:jc w:val="center"/>
      </w:pPr>
      <w:r>
        <w:rPr>
          <w:rFonts w:ascii="Arial" w:hAnsi="Arial"/>
        </w:rPr>
        <w:drawing>
          <wp:inline xmlns:a="http://schemas.openxmlformats.org/drawingml/2006/main" xmlns:pic="http://schemas.openxmlformats.org/drawingml/2006/picture">
            <wp:extent cx="6126480" cy="2794676"/>
            <wp:docPr id="5" name="Picture 5"/>
            <wp:cNvGraphicFramePr>
              <a:graphicFrameLocks noChangeAspect="1"/>
            </wp:cNvGraphicFramePr>
            <a:graphic>
              <a:graphicData uri="http://schemas.openxmlformats.org/drawingml/2006/picture">
                <pic:pic>
                  <pic:nvPicPr>
                    <pic:cNvPr id="0" name="FigureS9_genus_blocked_motif_validation.png"/>
                    <pic:cNvPicPr/>
                  </pic:nvPicPr>
                  <pic:blipFill>
                    <a:blip r:embed="rId14"/>
                    <a:stretch>
                      <a:fillRect/>
                    </a:stretch>
                  </pic:blipFill>
                  <pic:spPr>
                    <a:xfrm>
                      <a:off x="0" y="0"/>
                      <a:ext cx="6126480" cy="2794676"/>
                    </a:xfrm>
                    <a:prstGeom prst="rect"/>
                  </pic:spPr>
                </pic:pic>
              </a:graphicData>
            </a:graphic>
          </wp:inline>
        </w:drawing>
      </w:r>
    </w:p>
    <w:p>
      <w:pPr>
        <w:pStyle w:val="Caption"/>
        <w:spacing w:line="480" w:lineRule="auto"/>
      </w:pPr>
      <w:r>
        <w:rPr>
          <w:rFonts w:ascii="Arial" w:hAnsi="Arial"/>
          <w:b/>
        </w:rPr>
        <w:t xml:space="preserve">Figure S9. </w:t>
      </w:r>
      <w:r>
        <w:rPr>
          <w:rFonts w:ascii="Arial" w:hAnsi="Arial"/>
        </w:rPr>
        <w:t>Genus-blocked motif holdout with zero train/test genus overlap. Seven of 12 families exceeded AUC 0.5 against other-family controls in at least 26 of 30 resamples. This stricter result shows that some genome-level signal is lineage-associated.</w:t>
      </w:r>
    </w:p>
    <w:p>
      <w:pPr>
        <w:spacing w:line="480" w:lineRule="auto"/>
      </w:pPr>
      <w:r>
        <w:rPr>
          <w:rFonts w:ascii="Arial" w:hAnsi="Arial"/>
        </w:rPr>
        <w:br w:type="page"/>
      </w:r>
    </w:p>
    <w:p>
      <w:pPr>
        <w:pStyle w:val="Heading1"/>
        <w:spacing w:line="480" w:lineRule="auto"/>
      </w:pPr>
      <w:r>
        <w:rPr>
          <w:rFonts w:ascii="Arial" w:hAnsi="Arial"/>
        </w:rPr>
        <w:t>Figure S10</w:t>
      </w:r>
    </w:p>
    <w:p>
      <w:pPr>
        <w:spacing w:line="480" w:lineRule="auto"/>
        <w:jc w:val="center"/>
      </w:pPr>
      <w:r>
        <w:rPr>
          <w:rFonts w:ascii="Arial" w:hAnsi="Arial"/>
        </w:rPr>
        <w:drawing>
          <wp:inline xmlns:a="http://schemas.openxmlformats.org/drawingml/2006/main" xmlns:pic="http://schemas.openxmlformats.org/drawingml/2006/picture">
            <wp:extent cx="6126480" cy="1979221"/>
            <wp:docPr id="6" name="Picture 6"/>
            <wp:cNvGraphicFramePr>
              <a:graphicFrameLocks noChangeAspect="1"/>
            </wp:cNvGraphicFramePr>
            <a:graphic>
              <a:graphicData uri="http://schemas.openxmlformats.org/drawingml/2006/picture">
                <pic:pic>
                  <pic:nvPicPr>
                    <pic:cNvPr id="0" name="FigureS10_analysis_workflow.png"/>
                    <pic:cNvPicPr/>
                  </pic:nvPicPr>
                  <pic:blipFill>
                    <a:blip r:embed="rId15"/>
                    <a:stretch>
                      <a:fillRect/>
                    </a:stretch>
                  </pic:blipFill>
                  <pic:spPr>
                    <a:xfrm>
                      <a:off x="0" y="0"/>
                      <a:ext cx="6126480" cy="1979221"/>
                    </a:xfrm>
                    <a:prstGeom prst="rect"/>
                  </pic:spPr>
                </pic:pic>
              </a:graphicData>
            </a:graphic>
          </wp:inline>
        </w:drawing>
      </w:r>
    </w:p>
    <w:p>
      <w:pPr>
        <w:pStyle w:val="Caption"/>
        <w:spacing w:line="480" w:lineRule="auto"/>
      </w:pPr>
      <w:r>
        <w:rPr>
          <w:rFonts w:ascii="Arial" w:hAnsi="Arial"/>
          <w:b/>
        </w:rPr>
        <w:t xml:space="preserve">Figure S10. </w:t>
      </w:r>
      <w:r>
        <w:rPr>
          <w:rFonts w:ascii="Arial" w:hAnsi="Arial"/>
        </w:rPr>
        <w:t>Workflow from the targeted two-clan scan through family construction, projection, contextual analyses, and sensitivity validation. The endpoint is a bounded candidate-family catalog, not an experimentally confirmed regulome.</w:t>
      </w:r>
    </w:p>
    <w:p>
      <w:pPr>
        <w:spacing w:line="480" w:lineRule="auto"/>
      </w:pPr>
      <w:r>
        <w:rPr>
          <w:rFonts w:ascii="Arial" w:hAnsi="Arial"/>
        </w:rPr>
        <w:br w:type="page"/>
      </w:r>
    </w:p>
    <w:p>
      <w:pPr>
        <w:pStyle w:val="Heading1"/>
        <w:spacing w:line="480" w:lineRule="auto"/>
      </w:pPr>
      <w:r>
        <w:rPr>
          <w:rFonts w:ascii="Arial" w:hAnsi="Arial"/>
        </w:rPr>
        <w:t>Figure S11</w:t>
      </w:r>
    </w:p>
    <w:p>
      <w:pPr>
        <w:spacing w:line="480" w:lineRule="auto"/>
        <w:jc w:val="center"/>
      </w:pPr>
      <w:r>
        <w:rPr>
          <w:rFonts w:ascii="Arial" w:hAnsi="Arial"/>
        </w:rPr>
        <w:drawing>
          <wp:inline xmlns:a="http://schemas.openxmlformats.org/drawingml/2006/main" xmlns:pic="http://schemas.openxmlformats.org/drawingml/2006/picture">
            <wp:extent cx="6126480" cy="5200097"/>
            <wp:docPr id="7" name="Picture 7"/>
            <wp:cNvGraphicFramePr>
              <a:graphicFrameLocks noChangeAspect="1"/>
            </wp:cNvGraphicFramePr>
            <a:graphic>
              <a:graphicData uri="http://schemas.openxmlformats.org/drawingml/2006/picture">
                <pic:pic>
                  <pic:nvPicPr>
                    <pic:cNvPr id="0" name="FigureS11_taxonomic_clustered_prevalence.png"/>
                    <pic:cNvPicPr/>
                  </pic:nvPicPr>
                  <pic:blipFill>
                    <a:blip r:embed="rId16"/>
                    <a:stretch>
                      <a:fillRect/>
                    </a:stretch>
                  </pic:blipFill>
                  <pic:spPr>
                    <a:xfrm>
                      <a:off x="0" y="0"/>
                      <a:ext cx="6126480" cy="5200097"/>
                    </a:xfrm>
                    <a:prstGeom prst="rect"/>
                  </pic:spPr>
                </pic:pic>
              </a:graphicData>
            </a:graphic>
          </wp:inline>
        </w:drawing>
      </w:r>
    </w:p>
    <w:p>
      <w:pPr>
        <w:pStyle w:val="Caption"/>
        <w:spacing w:line="480" w:lineRule="auto"/>
      </w:pPr>
      <w:r>
        <w:rPr>
          <w:rFonts w:ascii="Arial" w:hAnsi="Arial"/>
          <w:b/>
        </w:rPr>
        <w:t xml:space="preserve">Figure S11. </w:t>
      </w:r>
      <w:r>
        <w:rPr>
          <w:rFonts w:ascii="Arial" w:hAnsi="Arial"/>
        </w:rPr>
        <w:t>Comparison of genome-weighted and genus-balanced prevalence for 250 families. Genus clusters were inferred from deposited organism names. Deviations from the diagonal show sensitivity to uneven genus representation.</w:t>
      </w:r>
    </w:p>
    <w:p>
      <w:pPr>
        <w:spacing w:line="480" w:lineRule="auto"/>
      </w:pPr>
      <w:r>
        <w:rPr>
          <w:rFonts w:ascii="Arial" w:hAnsi="Arial"/>
        </w:rPr>
        <w:br w:type="page"/>
      </w:r>
    </w:p>
    <w:p>
      <w:pPr>
        <w:pStyle w:val="Heading1"/>
        <w:spacing w:line="480" w:lineRule="auto"/>
      </w:pPr>
      <w:r>
        <w:rPr>
          <w:rFonts w:ascii="Arial" w:hAnsi="Arial"/>
        </w:rPr>
        <w:t>Figure S12</w:t>
      </w:r>
    </w:p>
    <w:p>
      <w:pPr>
        <w:spacing w:line="480" w:lineRule="auto"/>
        <w:jc w:val="center"/>
      </w:pPr>
      <w:r>
        <w:rPr>
          <w:rFonts w:ascii="Arial" w:hAnsi="Arial"/>
        </w:rPr>
        <w:drawing>
          <wp:inline xmlns:a="http://schemas.openxmlformats.org/drawingml/2006/main" xmlns:pic="http://schemas.openxmlformats.org/drawingml/2006/picture">
            <wp:extent cx="6126480" cy="4403946"/>
            <wp:docPr id="8" name="Picture 8"/>
            <wp:cNvGraphicFramePr>
              <a:graphicFrameLocks noChangeAspect="1"/>
            </wp:cNvGraphicFramePr>
            <a:graphic>
              <a:graphicData uri="http://schemas.openxmlformats.org/drawingml/2006/picture">
                <pic:pic>
                  <pic:nvPicPr>
                    <pic:cNvPr id="0" name="FigureS12_family_sequence_separability.png"/>
                    <pic:cNvPicPr/>
                  </pic:nvPicPr>
                  <pic:blipFill>
                    <a:blip r:embed="rId17"/>
                    <a:stretch>
                      <a:fillRect/>
                    </a:stretch>
                  </pic:blipFill>
                  <pic:spPr>
                    <a:xfrm>
                      <a:off x="0" y="0"/>
                      <a:ext cx="6126480" cy="4403946"/>
                    </a:xfrm>
                    <a:prstGeom prst="rect"/>
                  </pic:spPr>
                </pic:pic>
              </a:graphicData>
            </a:graphic>
          </wp:inline>
        </w:drawing>
      </w:r>
    </w:p>
    <w:p>
      <w:pPr>
        <w:pStyle w:val="Caption"/>
        <w:spacing w:line="480" w:lineRule="auto"/>
      </w:pPr>
      <w:r>
        <w:rPr>
          <w:rFonts w:ascii="Arial" w:hAnsi="Arial"/>
          <w:b/>
        </w:rPr>
        <w:t xml:space="preserve">Figure S12. </w:t>
      </w:r>
      <w:r>
        <w:rPr>
          <w:rFonts w:ascii="Arial" w:hAnsi="Arial"/>
        </w:rPr>
        <w:t>Leave-one-sequence-out dipeptide-composition separability for the ten families with released protein sequences. Positive margins favor the sequence's own family over the nearest other-family centroid. Results are not catalog-wide.</w:t>
      </w:r>
    </w:p>
    <w:p>
      <w:pPr>
        <w:spacing w:line="480" w:lineRule="auto"/>
      </w:pPr>
      <w:r>
        <w:rPr>
          <w:rFonts w:ascii="Arial" w:hAnsi="Arial"/>
        </w:rPr>
        <w:br w:type="page"/>
      </w:r>
    </w:p>
    <w:p>
      <w:pPr>
        <w:pStyle w:val="Heading1"/>
        <w:spacing w:line="480" w:lineRule="auto"/>
      </w:pPr>
      <w:r>
        <w:rPr>
          <w:rFonts w:ascii="Arial" w:hAnsi="Arial"/>
        </w:rPr>
        <w:t>Figure S13</w:t>
      </w:r>
    </w:p>
    <w:p>
      <w:pPr>
        <w:spacing w:line="480" w:lineRule="auto"/>
        <w:jc w:val="center"/>
      </w:pPr>
      <w:r>
        <w:rPr>
          <w:rFonts w:ascii="Arial" w:hAnsi="Arial"/>
        </w:rPr>
        <w:drawing>
          <wp:inline xmlns:a="http://schemas.openxmlformats.org/drawingml/2006/main" xmlns:pic="http://schemas.openxmlformats.org/drawingml/2006/picture">
            <wp:extent cx="6126480" cy="4238699"/>
            <wp:docPr id="9" name="Picture 9"/>
            <wp:cNvGraphicFramePr>
              <a:graphicFrameLocks noChangeAspect="1"/>
            </wp:cNvGraphicFramePr>
            <a:graphic>
              <a:graphicData uri="http://schemas.openxmlformats.org/drawingml/2006/picture">
                <pic:pic>
                  <pic:nvPicPr>
                    <pic:cNvPr id="0" name="FigureS13_lineage_blocked_motif_validation.png"/>
                    <pic:cNvPicPr/>
                  </pic:nvPicPr>
                  <pic:blipFill>
                    <a:blip r:embed="rId18"/>
                    <a:stretch>
                      <a:fillRect/>
                    </a:stretch>
                  </pic:blipFill>
                  <pic:spPr>
                    <a:xfrm>
                      <a:off x="0" y="0"/>
                      <a:ext cx="6126480" cy="4238699"/>
                    </a:xfrm>
                    <a:prstGeom prst="rect"/>
                  </pic:spPr>
                </pic:pic>
              </a:graphicData>
            </a:graphic>
          </wp:inline>
        </w:drawing>
      </w:r>
    </w:p>
    <w:p>
      <w:pPr>
        <w:pStyle w:val="Caption"/>
        <w:spacing w:line="480" w:lineRule="auto"/>
      </w:pPr>
      <w:r>
        <w:rPr>
          <w:rFonts w:ascii="Arial" w:hAnsi="Arial"/>
          <w:b/>
        </w:rPr>
        <w:t xml:space="preserve">Figure S13. </w:t>
      </w:r>
      <w:r>
        <w:rPr>
          <w:rFonts w:ascii="Arial" w:hAnsi="Arial"/>
        </w:rPr>
        <w:t>Leave-one-major-lineage-out motif transfer. Point size reflects held-out sequence count. Only blocks satisfying prespecified target, training, and same-lineage control minima are plotted; two families have no evaluable block.</w:t>
      </w:r>
    </w:p>
    <w:sectPr>
      <w:footerReference w:type="default" r:id="rId9"/>
      <w:pgSz w:w="12240" w:h="15840"/>
      <w:pgMar w:top="1440" w:right="1440" w:bottom="1440" w:left="1440" w:header="720" w:footer="720" w:gutter="0"/>
      <w:cols w:space="720"/>
      <w:docGrid w:linePitch="360"/>
      <w:lnNumType w:countBy="1" w:start="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 for the Archaeal DBD Catalog</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