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after="100"/>
      </w:pPr>
      <w:r>
        <w:rPr>
          <w:rFonts w:ascii="Arial" w:hAnsi="Arial"/>
          <w:color w:val="000000"/>
          <w:sz w:val="21"/>
        </w:rPr>
        <w:t>Cover letter</w:t>
      </w:r>
    </w:p>
    <w:p>
      <w:pPr>
        <w:spacing w:line="240" w:lineRule="auto" w:after="100"/>
      </w:pPr>
      <w:r>
        <w:rPr>
          <w:rFonts w:ascii="Arial" w:hAnsi="Arial"/>
          <w:sz w:val="21"/>
        </w:rPr>
        <w:t>Dear Editors of Scientific Reports,</w:t>
      </w:r>
    </w:p>
    <w:p>
      <w:pPr>
        <w:spacing w:line="240" w:lineRule="auto" w:after="100"/>
      </w:pPr>
      <w:r>
        <w:rPr>
          <w:sz w:val="21"/>
        </w:rPr>
        <w:t>Please consider our Article, “A catalog of archaeal HTH and RHH DNA-binding-domain families outside a nineteen-family reference set,” for publication in Scientific Reports. The study addresses a focused comparative-genomics question: how much family-level diversity is detectable within two archaeal Pfam DNA-binding-domain clans after removal of a nineteen-family reference set? Its broad taxonomic scope, reproducible computational workflow and claim-calibrated validation are well aligned with the journal's multidisciplinary readership and emphasis on technically sound original research.</w:t>
      </w:r>
    </w:p>
    <w:p>
      <w:pPr>
        <w:spacing w:line="240" w:lineRule="auto" w:after="100"/>
      </w:pPr>
      <w:r>
        <w:rPr>
          <w:rFonts w:ascii="Arial" w:hAnsi="Arial"/>
          <w:sz w:val="21"/>
        </w:rPr>
        <w:t>The manuscript has been fundamentally restructured in response to external peer review. The title and claims now define the two-clan discovery universe; the 331-genome panel is presented as the deterministic outcome of an explicit lineage-aware rule and tested under alternative sampling schemes; and the former “regulatory region” language is replaced by a residue-level definition of the aligned domain interval and reciprocal-exclusion rule. The Results now build around one central contribution—a bounded catalog of 250 candidate families—while taxonomically blocked motif tests, clustered prevalence estimates and other analyses are framed as validation or sensitivity analyses rather than independent claims.</w:t>
      </w:r>
    </w:p>
    <w:p>
      <w:pPr>
        <w:spacing w:line="240" w:lineRule="auto" w:after="100"/>
      </w:pPr>
      <w:r>
        <w:rPr>
          <w:sz w:val="21"/>
        </w:rPr>
        <w:t>The complete reproducibility package is public on GitHub and archived as version 0.5.0 at https://doi.org/10.5281/zenodo.23496681, with the current revision on GitHub. The manuscript includes separate Data and Code Availability statements, exact known software versions, explicit provenance gaps, and a Methods disclosure of generative-AI assistance. Neither DNA-binding-domain assignment nor computational context is presented as proof of transcription-factor activity; the study instead identifies candidates for direct biochemical and genetic testing.</w:t>
      </w:r>
    </w:p>
    <w:p>
      <w:pPr>
        <w:spacing w:line="240" w:lineRule="auto" w:after="100"/>
      </w:pPr>
      <w:r>
        <w:t>A second internal review added explicit null baselines and family-level failure counts to the catalog-wide complete-genus analysis. Micro-accuracy was 76.7%, compared with 12.2% for the majority-training-family baseline; 44 families fell below 50% accuracy and are now described as provisional. We also removed a redundant historical validation figure and reconciled all supplementary numbering and data labels.</w:t>
      </w:r>
    </w:p>
    <w:p>
      <w:pPr>
        <w:spacing w:line="240" w:lineRule="auto" w:after="100"/>
      </w:pPr>
      <w:r>
        <w:rPr>
          <w:rFonts w:ascii="Arial" w:hAnsi="Arial"/>
          <w:sz w:val="21"/>
        </w:rPr>
        <w:t>Both authors approved the manuscript, declare no competing interests and report no specific funding. The work is original and is not under consideration elsewhere. We have had no prior discussions about this work with a Scientific Reports Editorial Board Member. We have no preferred reviewers and request no reviewer exclusions.</w:t>
      </w:r>
    </w:p>
    <w:p>
      <w:pPr>
        <w:spacing w:line="240" w:lineRule="auto" w:after="100"/>
      </w:pPr>
      <w:r>
        <w:rPr>
          <w:rFonts w:ascii="Arial" w:hAnsi="Arial"/>
          <w:sz w:val="21"/>
        </w:rPr>
        <w:t>Corresponding authors:</w:t>
        <w:br/>
        <w:t>Ajay Vellanki, ajayvellanki0720@gmail.com</w:t>
        <w:br/>
        <w:t>Shaurya Dosapati, devshaurya25@gmail.com</w:t>
        <w:br/>
        <w:t>Independent researchers, West Windsor, New Jersey, United States of America</w:t>
      </w:r>
    </w:p>
    <w:p>
      <w:pPr>
        <w:spacing w:line="240" w:lineRule="auto" w:after="100"/>
      </w:pPr>
      <w:r>
        <w:rPr>
          <w:rFonts w:ascii="Arial" w:hAnsi="Arial"/>
          <w:sz w:val="21"/>
        </w:rPr>
        <w:t>Thank you for considering this work.</w:t>
      </w:r>
    </w:p>
    <w:p>
      <w:pPr>
        <w:spacing w:line="240" w:lineRule="auto" w:after="100"/>
      </w:pPr>
      <w:r>
        <w:rPr>
          <w:rFonts w:ascii="Arial" w:hAnsi="Arial"/>
          <w:sz w:val="21"/>
        </w:rPr>
        <w:t>Sincerely,</w:t>
        <w:br/>
        <w:t>Ajay Vellanki and Shaurya Dosapati</w:t>
      </w:r>
    </w:p>
    <w:sectPr>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