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HK &amp; Electricity Cost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Fraud &amp; Anomaly Detection Logic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The HK &amp; Electricity script analyses Housekeeping and Electricity costs for each hub location. It runs </w:t>
      </w:r>
      <w:r>
        <w:rPr>
          <w:b/>
          <w:bCs/>
        </w:rPr>
        <w:t xml:space="preserve">4 fraud/anomaly checks</w:t>
      </w:r>
      <w:r>
        <w:t xml:space="preserve"> on every hub, per category (HK and Electricity separately). Each check that triggers adds to a fraud score (capped at 4) which feeds into the overall Risk Score (0–10). Peer comparison uses </w:t>
      </w:r>
      <w:r>
        <w:rPr>
          <w:b/>
          <w:bCs/>
        </w:rPr>
        <w:t xml:space="preserve">cost per sq.ft</w:t>
      </w:r>
      <w:r>
        <w:t xml:space="preserve"> against hubs in the same city.</w:t>
      </w:r>
    </w:p>
    <w:p>
      <w:pPr>
        <w:pStyle w:val="Heading1"/>
      </w:pPr>
      <w:r>
        <w:t xml:space="preserve">Quick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60"/>
        <w:gridCol w:w="1500"/>
        <w:gridCol w:w="1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0000"/>
                <w:sz w:val="20"/>
                <w:szCs w:val="20"/>
              </w:rPr>
              <w:t xml:space="preserve">Dup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amount billed more than once in the same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category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Spike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Month-on-month effective spend jumps more than 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category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0000"/>
                <w:sz w:val="20"/>
                <w:szCs w:val="20"/>
              </w:rPr>
              <w:t xml:space="preserve">Top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the highest spender in the city every month vs 2+ peers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category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AboveAvg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per sq.ft above peer city average for that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category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Maximum fraud score contribution to Risk Score: 4 points</w:t>
      </w:r>
      <w:r>
        <w:t xml:space="preserve"> (capped even if individual checks total higher).</w:t>
      </w:r>
    </w:p>
    <w:p>
      <w:pPr>
        <w:pStyle w:val="Heading1"/>
      </w:pPr>
      <w:r>
        <w:t xml:space="preserve">Detailed Check Logic</w:t>
      </w:r>
    </w:p>
    <w:p>
      <w:pPr>
        <w:pStyle w:val="Heading2"/>
      </w:pPr>
      <w:r>
        <w:t xml:space="preserve">1. Dup — Duplicate Invoices</w:t>
      </w:r>
    </w:p>
    <w:p>
      <w:pPr>
        <w:spacing w:after="100"/>
      </w:pPr>
      <w:r>
        <w:rPr>
          <w:b/>
          <w:bCs/>
          <w:color w:val="BF0000"/>
        </w:rPr>
        <w:t xml:space="preserve">Score: +3  |  Flag color: RED</w:t>
      </w:r>
    </w:p>
    <w:p>
      <w:pPr>
        <w:pStyle w:val="ListParagraph"/>
        <w:numPr>
          <w:ilvl w:val="0"/>
          <w:numId w:val="2"/>
        </w:numPr>
      </w:pPr>
      <w:r>
        <w:t xml:space="preserve">Looks at individual transaction rows in Sheet1 for each hub and category (HK or Electricity separately).</w:t>
      </w:r>
    </w:p>
    <w:p>
      <w:pPr>
        <w:pStyle w:val="ListParagraph"/>
        <w:numPr>
          <w:ilvl w:val="0"/>
          <w:numId w:val="2"/>
        </w:numPr>
      </w:pPr>
      <w:r>
        <w:t xml:space="preserve">Groups by month + exact amount. If the same combo appears more than once, it is a potential duplicate.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Arrears exclusion: </w:t>
      </w:r>
      <w:r>
        <w:t xml:space="preserve">Before flagging, the script checks if either of the previous 2 calendar months has no data for that category. If any previous month is missing (unclaimed), the duplicate is ignored — the extra amount is likely arrears from the missing month.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Only flags when both previous months have data, meaning the duplicate cannot be explained by arrears.</w:t>
      </w:r>
    </w:p>
    <w:p>
      <w:pPr>
        <w:spacing w:after="200"/>
      </w:pPr>
      <w:r>
        <w:rPr>
          <w:b/>
          <w:bCs/>
        </w:rPr>
        <w:t xml:space="preserve">Example: </w:t>
      </w:r>
      <w:r>
        <w:t xml:space="preserve">Jan=1K, Mar=1K+1K → Feb is missing → IGNORE (arrears). Jan=1K, Feb=1K, Mar=1K+1K → Both prior months have data → FLAG as Dup.</w:t>
      </w:r>
    </w:p>
    <w:p>
      <w:pPr>
        <w:pStyle w:val="Heading2"/>
      </w:pPr>
      <w:r>
        <w:t xml:space="preserve">2. Spike — Month-on-Month &gt;30% Jump</w:t>
      </w:r>
    </w:p>
    <w:p>
      <w:pPr>
        <w:spacing w:after="100"/>
      </w:pPr>
      <w:r>
        <w:rPr>
          <w:b/>
          <w:bCs/>
          <w:color w:val="E07000"/>
        </w:rPr>
        <w:t xml:space="preserve">Score: +2  |  Flag color: ORANGE</w:t>
      </w:r>
    </w:p>
    <w:p>
      <w:pPr>
        <w:pStyle w:val="ListParagraph"/>
        <w:numPr>
          <w:ilvl w:val="0"/>
          <w:numId w:val="2"/>
        </w:numPr>
      </w:pPr>
      <w:r>
        <w:t xml:space="preserve">Compares each month’s effective spend against the previous month, per category.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Gap-aware: </w:t>
      </w:r>
      <w:r>
        <w:t xml:space="preserve">Uses monthsCovered() to detect billing gaps. If a bill covers multiple months (e.g. Feb→Apr = 2 months), the amount is divided by 2 before comparing.</w:t>
      </w:r>
    </w:p>
    <w:p>
      <w:pPr>
        <w:pStyle w:val="ListParagraph"/>
        <w:numPr>
          <w:ilvl w:val="0"/>
          <w:numId w:val="2"/>
        </w:numPr>
      </w:pPr>
      <w:r>
        <w:t xml:space="preserve">If the effective spend jumps more than 30% from one month to the next, the later month is flagged.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Works even when there are no peer hubs in the city.</w:t>
      </w:r>
    </w:p>
    <w:p>
      <w:pPr>
        <w:spacing w:after="200"/>
      </w:pPr>
      <w:r>
        <w:rPr>
          <w:b/>
          <w:bCs/>
        </w:rPr>
        <w:t xml:space="preserve">Example: </w:t>
      </w:r>
      <w:r>
        <w:t xml:space="preserve">Jan HK=5K, Feb HK=5K, Apr HK=10K. Apr effective = 10K/2 = 5K (covers 2 months). No spike. But if Apr=15K, effective = 7.5K, spike = +50% → FLAG.</w:t>
      </w:r>
    </w:p>
    <w:p>
      <w:pPr>
        <w:pStyle w:val="Heading2"/>
      </w:pPr>
      <w:r>
        <w:t xml:space="preserve">3. Top — Always Highest in City</w:t>
      </w:r>
    </w:p>
    <w:p>
      <w:pPr>
        <w:spacing w:after="100"/>
      </w:pPr>
      <w:r>
        <w:rPr>
          <w:b/>
          <w:bCs/>
          <w:color w:val="BF0000"/>
        </w:rPr>
        <w:t xml:space="preserve">Score: +2  |  Flag color: RED</w:t>
      </w:r>
    </w:p>
    <w:p>
      <w:pPr>
        <w:pStyle w:val="ListParagraph"/>
        <w:numPr>
          <w:ilvl w:val="0"/>
          <w:numId w:val="2"/>
        </w:numPr>
      </w:pPr>
      <w:r>
        <w:t xml:space="preserve">Requires at least 2 peer hubs in the same city and at least 2 months of data.</w:t>
      </w:r>
    </w:p>
    <w:p>
      <w:pPr>
        <w:pStyle w:val="ListParagraph"/>
        <w:numPr>
          <w:ilvl w:val="0"/>
          <w:numId w:val="2"/>
        </w:numPr>
      </w:pPr>
      <w:r>
        <w:t xml:space="preserve">For each month, checks if this hub’s spend (for that category) is higher than ALL peer hubs.</w:t>
      </w:r>
    </w:p>
    <w:p>
      <w:pPr>
        <w:pStyle w:val="ListParagraph"/>
        <w:numPr>
          <w:ilvl w:val="0"/>
          <w:numId w:val="2"/>
        </w:numPr>
      </w:pPr>
      <w:r>
        <w:t xml:space="preserve">Only flags if the hub is the highest spender in EVERY single month — not just some months.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If flagged, every month gets the “Top” label since the pattern applies across all months.</w:t>
      </w:r>
    </w:p>
    <w:p>
      <w:pPr>
        <w:pStyle w:val="Heading2"/>
      </w:pPr>
      <w:r>
        <w:t xml:space="preserve">4. AboveAvg — Cost Per Sq.ft Above Peer Average</w:t>
      </w:r>
    </w:p>
    <w:p>
      <w:pPr>
        <w:spacing w:after="100"/>
      </w:pPr>
      <w:r>
        <w:rPr>
          <w:b/>
          <w:bCs/>
          <w:color w:val="E07000"/>
        </w:rPr>
        <w:t xml:space="preserve">Score: +2  |  Flag color: ORANGE</w:t>
      </w:r>
    </w:p>
    <w:p>
      <w:pPr>
        <w:pStyle w:val="ListParagraph"/>
        <w:numPr>
          <w:ilvl w:val="0"/>
          <w:numId w:val="2"/>
        </w:numPr>
      </w:pPr>
      <w:r>
        <w:t xml:space="preserve">For each month and category, calculates this hub’s cost per sq.ft (spend ÷ sq.ft).</w:t>
      </w:r>
    </w:p>
    <w:p>
      <w:pPr>
        <w:pStyle w:val="ListParagraph"/>
        <w:numPr>
          <w:ilvl w:val="0"/>
          <w:numId w:val="2"/>
        </w:numPr>
      </w:pPr>
      <w:r>
        <w:t xml:space="preserve">Compares against the average cost per sq.ft of all peer hubs in the same city for the same month.</w:t>
      </w:r>
    </w:p>
    <w:p>
      <w:pPr>
        <w:pStyle w:val="ListParagraph"/>
        <w:numPr>
          <w:ilvl w:val="0"/>
          <w:numId w:val="2"/>
        </w:numPr>
      </w:pPr>
      <w:r>
        <w:t xml:space="preserve">If this hub’s cost per sq.ft is above the peer average, that month is flagged.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Requires at least 1 peer hub in the same city with data for that month and category.</w:t>
      </w:r>
    </w:p>
    <w:p>
      <w:pPr>
        <w:pStyle w:val="Heading1"/>
      </w:pPr>
      <w:r>
        <w:t xml:space="preserve">Month-Specific Flags</w:t>
      </w:r>
    </w:p>
    <w:p>
      <w:pPr>
        <w:spacing w:after="200"/>
      </w:pPr>
      <w:r>
        <w:t xml:space="preserve">All fraud flags are </w:t>
      </w:r>
      <w:r>
        <w:rPr>
          <w:b/>
          <w:bCs/>
        </w:rPr>
        <w:t xml:space="preserve">month-specific</w:t>
      </w:r>
      <w:r>
        <w:t xml:space="preserve">. They only appear in the row where the month matches the flagged month. For example, if a Spike is detected in March, only the March row shows “Spike” — January and February rows show “-”. Multiple flags can appear on the same month: “Dup, Spike, AboveAvg”.</w:t>
      </w:r>
    </w:p>
    <w:p>
      <w:pPr>
        <w:pStyle w:val="Heading1"/>
      </w:pPr>
      <w:r>
        <w:t xml:space="preserve">Real Amount (Overspend) Calculation</w:t>
      </w:r>
    </w:p>
    <w:p>
      <w:pPr>
        <w:spacing w:after="100"/>
      </w:pPr>
      <w:r>
        <w:rPr>
          <w:b/>
          <w:bCs/>
        </w:rPr>
        <w:t xml:space="preserve">Primary: Peer-based (cost per sq.ft)</w:t>
      </w:r>
    </w:p>
    <w:p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 xml:space="preserve">Real Amount = (Peer Avg Cost/sq.ft × Hub Sq.ft) − Hub Actual Spend</w:t>
      </w:r>
    </w:p>
    <w:p>
      <w:pPr>
        <w:pStyle w:val="ListParagraph"/>
        <w:numPr>
          <w:ilvl w:val="0"/>
          <w:numId w:val="2"/>
        </w:numPr>
      </w:pPr>
      <w:r>
        <w:t xml:space="preserve">Peer hubs = all hubs in the same city (no sq.ft tolerance). Cost per sq.ft normalises different hub sizes.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Positive = Saving</w:t>
      </w:r>
      <w:r>
        <w:t xml:space="preserve"> (spending less than peers). </w:t>
      </w:r>
      <w:r>
        <w:rPr>
          <w:b/>
          <w:bCs/>
        </w:rPr>
        <w:t xml:space="preserve">Negative = Overspend</w:t>
      </w:r>
      <w:r>
        <w:t xml:space="preserve"> (spending more than peers).</w:t>
      </w:r>
    </w:p>
    <w:p>
      <w:pPr>
        <w:spacing w:after="100" w:before="200"/>
      </w:pPr>
      <w:r>
        <w:rPr>
          <w:b/>
          <w:bCs/>
        </w:rPr>
        <w:t xml:space="preserve">Fallback: Self Average (last 3 months)</w:t>
      </w:r>
    </w:p>
    <w:p>
      <w:pPr>
        <w:pStyle w:val="ListParagraph"/>
        <w:numPr>
          <w:ilvl w:val="0"/>
          <w:numId w:val="2"/>
        </w:numPr>
      </w:pPr>
      <w:r>
        <w:t xml:space="preserve">When no peers exist in the city, the hub’s own average total spend of the last 3 months is used as the benchmark.</w:t>
      </w:r>
    </w:p>
    <w:p>
      <w:pPr>
        <w:pStyle w:val="ListParagraph"/>
        <w:numPr>
          <w:ilvl w:val="0"/>
          <w:numId w:val="2"/>
        </w:numPr>
      </w:pPr>
      <w:r>
        <w:t xml:space="preserve">Status shows </w:t>
      </w:r>
      <w:r>
        <w:rPr>
          <w:b/>
          <w:bCs/>
        </w:rPr>
        <w:t xml:space="preserve">Self Avg ✓</w:t>
      </w:r>
      <w:r>
        <w:t xml:space="preserve"> (below own average) or </w:t>
      </w:r>
      <w:r>
        <w:rPr>
          <w:b/>
          <w:bCs/>
        </w:rPr>
        <w:t xml:space="preserve">Self Avg ▲</w:t>
      </w:r>
      <w:r>
        <w:t xml:space="preserve"> (above own average).</w:t>
      </w:r>
    </w:p>
    <w:p>
      <w:pPr>
        <w:pStyle w:val="ListParagraph"/>
        <w:numPr>
          <w:ilvl w:val="0"/>
          <w:numId w:val="2"/>
        </w:numPr>
      </w:pPr>
      <w:r>
        <w:t xml:space="preserve">HK Peer Exp and Elec Peer Exp columns also fill in with category-level self averages when using the fallback.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First month of a hub with no peers will show N/A since there is no prior data.</w:t>
      </w:r>
    </w:p>
    <w:p>
      <w:pPr>
        <w:pStyle w:val="Heading1"/>
      </w:pPr>
      <w:r>
        <w:t xml:space="preserve">Risk Score Breakdown</w:t>
      </w:r>
    </w:p>
    <w:p>
      <w:pPr>
        <w:spacing w:after="100"/>
      </w:pPr>
      <w:r>
        <w:t xml:space="preserve">The overall Risk Score (0–10) is built from multiple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(gradual rise)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analyzeTrend()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Spike (in trend)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analyzeTrend()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Peer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analyzePeers()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Cost/sq.ft vs peers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analyzeCostPerSqft()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 checks (Dup+Spike+Top+AboveAvg)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(capped)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detectFraud()</w:t>
            </w:r>
          </w:p>
        </w:tc>
      </w:tr>
    </w:tbl>
    <w:p>
      <w:pPr>
        <w:pStyle w:val="Heading1"/>
        <w:spacing w:before="300"/>
      </w:pPr>
      <w:r>
        <w:t xml:space="preserve">Risk Score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 needed.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&amp; request breakdown.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invoices this week.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0000"/>
                <w:sz w:val="20"/>
                <w:szCs w:val="20"/>
              </w:rPr>
              <w:t xml:space="preserve">URGENT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0000"/>
                <w:sz w:val="20"/>
                <w:szCs w:val="20"/>
              </w:rPr>
              <w:t xml:space="preserve">Freeze payments. Audit now.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2026-04-13T06:50:52.158Z</dcterms:created>
  <dcterms:modified xsi:type="dcterms:W3CDTF">2026-04-13T06:50:52.180Z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