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4544"/>
      </w:tblGrid>
      <w:tr>
        <w:trPr>
          <w:trHeight w:val="7800" w:hRule="atLeast"/>
        </w:trPr>
        <w:tc>
          <w:tcPr>
            <w:tcW w:type="dxa" w:w="14544"/>
            <w:shd w:fill="0C2554"/>
            <w:tcBorders>
              <w:top w:val="single" w:sz="0" w:color="0C2554"/>
              <w:start w:val="single" w:sz="0" w:color="0C2554"/>
              <w:bottom w:val="single" w:sz="0" w:color="0C2554"/>
              <w:end w:val="single" w:sz="0" w:color="0C2554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56"/>
              </w:rPr>
              <w:t>Current State Architecture Flow</w:t>
            </w:r>
          </w:p>
          <w:p>
            <w:pPr>
              <w:jc w:val="center"/>
            </w:pPr>
            <w:r>
              <w:rPr>
                <w:b w:val="0"/>
                <w:i w:val="0"/>
                <w:color w:val="DCE6F2"/>
                <w:sz w:val="28"/>
              </w:rPr>
              <w:t>TrackAllLoanMaintenanceLegacy</w:t>
            </w:r>
          </w:p>
          <w:p>
            <w:pPr>
              <w:jc w:val="center"/>
            </w:pPr>
            <w:r>
              <w:rPr>
                <w:b/>
                <w:i w:val="0"/>
                <w:color w:val="F0A500"/>
                <w:sz w:val="28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Loan Maintenance Modernization Document Set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  <w:i w:val="0"/>
          <w:color w:val="0C2554"/>
          <w:sz w:val="20"/>
        </w:rPr>
        <w:t>1. Current State — System Context</w:t>
      </w:r>
    </w:p>
    <w:p>
      <w:pPr>
        <w:ind w:left="0"/>
      </w:pPr>
      <w:r>
        <w:rPr>
          <w:b/>
          <w:i w:val="0"/>
          <w:color w:val="0C2554"/>
          <w:sz w:val="20"/>
        </w:rPr>
        <w:t>2. Business Process Flows</w:t>
      </w:r>
    </w:p>
    <w:p>
      <w:pPr>
        <w:ind w:left="317"/>
      </w:pPr>
      <w:r>
        <w:rPr>
          <w:b/>
          <w:i w:val="0"/>
          <w:color w:val="0C2554"/>
          <w:sz w:val="18"/>
        </w:rPr>
        <w:t>2.1 Search Loan</w:t>
      </w:r>
    </w:p>
    <w:p>
      <w:pPr>
        <w:ind w:left="317"/>
      </w:pPr>
      <w:r>
        <w:rPr>
          <w:b/>
          <w:i w:val="0"/>
          <w:color w:val="0C2554"/>
          <w:sz w:val="18"/>
        </w:rPr>
        <w:t>2.2 Quote Process (post-search)</w:t>
      </w:r>
    </w:p>
    <w:p>
      <w:pPr>
        <w:ind w:left="317"/>
      </w:pPr>
      <w:r>
        <w:rPr>
          <w:b/>
          <w:i w:val="0"/>
          <w:color w:val="0C2554"/>
          <w:sz w:val="18"/>
        </w:rPr>
        <w:t>2.3 14E Dispatch</w:t>
      </w:r>
    </w:p>
    <w:p>
      <w:pPr>
        <w:ind w:left="317"/>
      </w:pPr>
      <w:r>
        <w:rPr>
          <w:b/>
          <w:i w:val="0"/>
          <w:color w:val="0C2554"/>
          <w:sz w:val="18"/>
        </w:rPr>
        <w:t>2.4 Add Loan</w:t>
      </w:r>
    </w:p>
    <w:p>
      <w:pPr>
        <w:ind w:left="317"/>
      </w:pPr>
      <w:r>
        <w:rPr>
          <w:b/>
          <w:i w:val="0"/>
          <w:color w:val="0C2554"/>
          <w:sz w:val="18"/>
        </w:rPr>
        <w:t>2.5 Modify Loan</w:t>
      </w:r>
    </w:p>
    <w:p>
      <w:pPr>
        <w:ind w:left="0"/>
      </w:pPr>
      <w:r>
        <w:rPr>
          <w:b/>
          <w:i w:val="0"/>
          <w:color w:val="0C2554"/>
          <w:sz w:val="20"/>
        </w:rPr>
        <w:t>3. Technical Dependency Flows</w:t>
      </w:r>
    </w:p>
    <w:p>
      <w:pPr>
        <w:ind w:left="317"/>
      </w:pPr>
      <w:r>
        <w:rPr>
          <w:b/>
          <w:i w:val="0"/>
          <w:color w:val="0C2554"/>
          <w:sz w:val="18"/>
        </w:rPr>
        <w:t>3.1 Search sequence</w:t>
      </w:r>
    </w:p>
    <w:p>
      <w:pPr>
        <w:ind w:left="317"/>
      </w:pPr>
      <w:r>
        <w:rPr>
          <w:b/>
          <w:i w:val="0"/>
          <w:color w:val="0C2554"/>
          <w:sz w:val="18"/>
        </w:rPr>
        <w:t>3.2 Add sequence</w:t>
      </w:r>
    </w:p>
    <w:p>
      <w:pPr>
        <w:ind w:left="317"/>
      </w:pPr>
      <w:r>
        <w:rPr>
          <w:b/>
          <w:i w:val="0"/>
          <w:color w:val="0C2554"/>
          <w:sz w:val="18"/>
        </w:rPr>
        <w:t>3.3 Process/Dispatch sequence</w:t>
      </w:r>
    </w:p>
    <w:p>
      <w:pPr>
        <w:ind w:left="0"/>
      </w:pPr>
      <w:r>
        <w:rPr>
          <w:b/>
          <w:i w:val="0"/>
          <w:color w:val="0C2554"/>
          <w:sz w:val="20"/>
        </w:rPr>
        <w:t>5. Integration Map</w:t>
      </w:r>
    </w:p>
    <w:p>
      <w:pPr>
        <w:ind w:left="0"/>
      </w:pPr>
      <w:r>
        <w:rPr>
          <w:b/>
          <w:i w:val="0"/>
          <w:color w:val="0C2554"/>
          <w:sz w:val="20"/>
        </w:rPr>
        <w:t>Open Items / Ambiguities</w:t>
      </w:r>
    </w:p>
    <w:p>
      <w:pPr>
        <w:ind w:left="0"/>
      </w:pPr>
      <w:r>
        <w:rPr>
          <w:b/>
          <w:i w:val="0"/>
          <w:color w:val="0C2554"/>
          <w:sz w:val="20"/>
        </w:rPr>
        <w:t>Traceability Summary / Cross-Reference</w:t>
      </w:r>
    </w:p>
    <w:p>
      <w:r>
        <w:br w:type="page"/>
      </w:r>
    </w:p>
    <w:p>
      <w:pPr>
        <w:pStyle w:val="Heading2"/>
      </w:pPr>
      <w:r>
        <w:t>Document Governance Note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EF3FA"/>
            <w:tcBorders>
              <w:top w:val="single" w:sz="4" w:color="D9E2EF"/>
              <w:start w:val="single" w:sz="18" w:color="F0A500"/>
              <w:bottom w:val="single" w:sz="4" w:color="D9E2EF"/>
              <w:end w:val="single" w:sz="4" w:color="D9E2EF"/>
            </w:tcBorders>
          </w:tcPr>
          <w:p>
            <w:r/>
            <w:r>
              <w:rPr>
                <w:b w:val="0"/>
                <w:i w:val="0"/>
                <w:sz w:val="16"/>
              </w:rPr>
              <w:t xml:space="preserve">Grounding labels covered in this publication set: </w:t>
            </w:r>
            <w:r>
              <w:rPr>
                <w:b w:val="0"/>
                <w:i w:val="0"/>
                <w:color w:val="1A7A4A"/>
                <w:sz w:val="16"/>
              </w:rPr>
              <w:t>[SG]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1A7A4A"/>
                <w:sz w:val="16"/>
              </w:rPr>
              <w:t>[SG-influenced]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[inferred]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[placeholder]</w:t>
            </w:r>
            <w:r>
              <w:rPr>
                <w:b w:val="0"/>
                <w:i w:val="0"/>
                <w:sz w:val="16"/>
              </w:rPr>
              <w:t>. Review Priority badges are styled as Priority or Standard where rule-review columns appear.</w:t>
            </w:r>
          </w:p>
        </w:tc>
      </w:tr>
    </w:tbl>
    <w:p>
      <w:pPr>
        <w:pStyle w:val="Heading1"/>
      </w:pPr>
      <w:r>
        <w:rPr>
          <w:b/>
          <w:i w:val="0"/>
          <w:color w:val="0C2554"/>
        </w:rPr>
        <w:t>Current State Architecture Flow</w:t>
      </w:r>
    </w:p>
    <w:p>
      <w:pPr>
        <w:pStyle w:val="Heading2"/>
      </w:pPr>
      <w:r>
        <w:rPr>
          <w:b/>
          <w:i w:val="0"/>
          <w:color w:val="0C2554"/>
        </w:rPr>
        <w:t>1. Current State —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4574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d98d3db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457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(1)</w:t>
      </w:r>
    </w:p>
    <w:p>
      <w:pPr>
        <w:pStyle w:val="Heading2"/>
      </w:pPr>
      <w:r>
        <w:rPr>
          <w:b/>
          <w:i w:val="0"/>
          <w:color w:val="0C2554"/>
        </w:rPr>
        <w:t>2. Business Process Flows</w:t>
      </w:r>
    </w:p>
    <w:p>
      <w:pPr>
        <w:pStyle w:val="Heading3"/>
      </w:pPr>
      <w:r>
        <w:rPr>
          <w:b/>
          <w:i w:val="0"/>
          <w:color w:val="0C2554"/>
        </w:rPr>
        <w:t>2.1 Search Loan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3839" cy="489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e9d5aec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3839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(2)</w:t>
      </w:r>
    </w:p>
    <w:p>
      <w:pPr>
        <w:pStyle w:val="Heading3"/>
      </w:pPr>
      <w:r>
        <w:rPr>
          <w:b/>
          <w:i w:val="0"/>
          <w:color w:val="0C2554"/>
        </w:rPr>
        <w:t>2.2 Quote Process (post-search)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08347" cy="489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fe804a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347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(3)</w:t>
      </w:r>
    </w:p>
    <w:p>
      <w:pPr>
        <w:pStyle w:val="Heading3"/>
      </w:pPr>
      <w:r>
        <w:rPr>
          <w:b/>
          <w:i w:val="0"/>
          <w:color w:val="0C2554"/>
        </w:rPr>
        <w:t>2.3 14E Dispatch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7065" cy="4892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b31413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7065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(4)</w:t>
      </w:r>
    </w:p>
    <w:p>
      <w:pPr>
        <w:pStyle w:val="Heading3"/>
      </w:pPr>
      <w:r>
        <w:rPr>
          <w:b/>
          <w:i w:val="0"/>
          <w:color w:val="0C2554"/>
        </w:rPr>
        <w:t>2.4 Add Loan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5881" cy="4892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dcfdd5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881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(5)</w:t>
      </w:r>
    </w:p>
    <w:p>
      <w:pPr>
        <w:pStyle w:val="Heading3"/>
      </w:pPr>
      <w:r>
        <w:rPr>
          <w:b/>
          <w:i w:val="0"/>
          <w:color w:val="0C2554"/>
        </w:rPr>
        <w:t>2.5 Modify Loan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78644" cy="489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_ca6f074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64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(6)</w:t>
      </w:r>
    </w:p>
    <w:p>
      <w:pPr>
        <w:pStyle w:val="Heading2"/>
      </w:pPr>
      <w:r>
        <w:rPr>
          <w:b/>
          <w:i w:val="0"/>
          <w:color w:val="0C2554"/>
        </w:rPr>
        <w:t>3. Technical Dependency Flows</w:t>
      </w:r>
    </w:p>
    <w:p>
      <w:pPr>
        <w:pStyle w:val="Heading3"/>
      </w:pPr>
      <w:r>
        <w:rPr>
          <w:b/>
          <w:i w:val="0"/>
          <w:color w:val="0C2554"/>
        </w:rPr>
        <w:t>3.1 Search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316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_fa4ced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31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(7)</w:t>
      </w:r>
    </w:p>
    <w:p>
      <w:pPr>
        <w:pStyle w:val="Heading3"/>
      </w:pPr>
      <w:r>
        <w:rPr>
          <w:b/>
          <w:i w:val="0"/>
          <w:color w:val="0C2554"/>
        </w:rPr>
        <w:t>3.2 Add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316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_9aac62f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31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(8)</w:t>
      </w:r>
    </w:p>
    <w:p>
      <w:pPr>
        <w:pStyle w:val="Heading3"/>
      </w:pPr>
      <w:r>
        <w:rPr>
          <w:b/>
          <w:i w:val="0"/>
          <w:color w:val="0C2554"/>
        </w:rPr>
        <w:t>3.3 Process/Dispatch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13595" cy="4892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_6ddc8de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13595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(9)</w:t>
      </w:r>
    </w:p>
    <w:p>
      <w:pPr>
        <w:pStyle w:val="Heading2"/>
      </w:pPr>
      <w:r>
        <w:rPr>
          <w:b/>
          <w:i w:val="0"/>
          <w:color w:val="0C2554"/>
        </w:rPr>
        <w:t>5. Integration Map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Integration Point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Protocol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Direction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Legacy System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LOAN_SEARCH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 mnemonic over fgatetcp/TLS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Tandem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TMELibAdapter.cpp::SendMessage; TKA900.cbl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ADD_LOAN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 mnemonic over fgatetcp/TLS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Tandem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LoanAddDlg.cpp; TKA901.cbl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MODIFY_LOAN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 mnemonic over fgatetcp/TLS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Tandem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LoanModifyDlg.cpp; TKA902.cbl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14E_NOTIFY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 mnemonic over fgatetcp/TLS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Tandem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EDINotificationWriter.cpp; TKA920.cbl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KY_ISO_QUERY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 mnemonic over fgatetcp/TLS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Tandem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AIP930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RataBaseServiceAdapter.cpp; LSS001T seed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RataBase quote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External HTTP service call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 -&gt; External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RataBase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RataBaseServiceAdapter.cpp::GetQuote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Diagram suggestion callout:</w:t>
      </w:r>
    </w:p>
    <w:p>
      <w:pPr>
        <w:pStyle w:val="ListBullet"/>
      </w:pPr>
      <w:r>
        <w:rPr>
          <w:b w:val="0"/>
          <w:i w:val="0"/>
          <w:sz w:val="18"/>
        </w:rPr>
        <w:t>Render each Mermaid diagram as a high-resolution embedded image with readable labels at print scale.</w:t>
      </w:r>
    </w:p>
    <w:p>
      <w:pPr>
        <w:spacing w:after="80"/>
      </w:pPr>
      <w:r>
        <w:rPr>
          <w:b w:val="0"/>
          <w:i w:val="0"/>
          <w:sz w:val="18"/>
        </w:rPr>
        <w:t>---</w:t>
      </w:r>
    </w:p>
    <w:p>
      <w:pPr>
        <w:pStyle w:val="Heading2"/>
      </w:pPr>
      <w:r>
        <w:rPr>
          <w:b/>
          <w:i w:val="0"/>
          <w:color w:val="0C2554"/>
        </w:rPr>
        <w:t>Open Items / Ambiguities</w:t>
      </w:r>
    </w:p>
    <w:p>
      <w:pPr>
        <w:pBdr>
          <w:left w:val="single" w:sz="18" w:space="6" w:color="C0392B"/>
        </w:pBdr>
        <w:shd w:fill="FCEEEE"/>
      </w:pPr>
      <w:r>
        <w:rPr>
          <w:b/>
          <w:i w:val="0"/>
          <w:color w:val="C0392B"/>
          <w:sz w:val="16"/>
        </w:rPr>
        <w:t>Unresolved items requiring SME or implementation-team validation are listed below.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Open question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Add/Modify rc templates and concrete control definitions are missing from current resource files.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A-002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Three Loan Search control IDs are referenced in code but absent in current rc/resource definitions.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"loan must exist before modification" should be promoted to a standalone rule card.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A-004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selected-row precondition for opening Modify is documented as a formal business rule.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add-handler delegation evidence treatment for rule-card references.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A-006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modify-handler delegation evidence treatment for rule-card 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Traceability Summary / Cross-Reference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Functional Area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Candidate API / Service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Blueprint Spec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Audit Trail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DB-AUDIT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Integration Gateway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Internal TandemGatewayClient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4"/>
      </w:rPr>
      <w:t>TrackAllLoanMaintenanceLegacy | Generated from Rendering_Handoff.md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2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C2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C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