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4544"/>
      </w:tblGrid>
      <w:tr>
        <w:trPr>
          <w:trHeight w:val="7800" w:hRule="atLeast"/>
        </w:trPr>
        <w:tc>
          <w:tcPr>
            <w:tcW w:type="dxa" w:w="14544"/>
            <w:shd w:fill="0C2554"/>
            <w:tcBorders>
              <w:top w:val="single" w:sz="0" w:color="0C2554"/>
              <w:start w:val="single" w:sz="0" w:color="0C2554"/>
              <w:bottom w:val="single" w:sz="0" w:color="0C2554"/>
              <w:end w:val="single" w:sz="0" w:color="0C2554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56"/>
              </w:rPr>
              <w:t>Modern Stack Architecture Flow</w:t>
            </w:r>
          </w:p>
          <w:p>
            <w:pPr>
              <w:jc w:val="center"/>
            </w:pPr>
            <w:r>
              <w:rPr>
                <w:b w:val="0"/>
                <w:i w:val="0"/>
                <w:color w:val="DCE6F2"/>
                <w:sz w:val="28"/>
              </w:rPr>
              <w:t>TrackAllLoanMaintenanceLegacy</w:t>
            </w:r>
          </w:p>
          <w:p>
            <w:pPr>
              <w:jc w:val="center"/>
            </w:pPr>
            <w:r>
              <w:rPr>
                <w:b/>
                <w:i w:val="0"/>
                <w:color w:val="F0A500"/>
                <w:sz w:val="28"/>
              </w:rPr>
              <w:t>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b w:val="0"/>
                <w:i w:val="0"/>
                <w:color w:val="FFFFFF"/>
                <w:sz w:val="20"/>
              </w:rPr>
              <w:t>Loan Maintenance Modernization Document Set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b/>
          <w:i w:val="0"/>
          <w:color w:val="0C2554"/>
          <w:sz w:val="20"/>
        </w:rPr>
        <w:t>1.2 Target State — System Context</w:t>
      </w:r>
    </w:p>
    <w:p>
      <w:pPr>
        <w:ind w:left="0"/>
      </w:pPr>
      <w:r>
        <w:rPr>
          <w:b/>
          <w:i w:val="0"/>
          <w:color w:val="0C2554"/>
          <w:sz w:val="20"/>
        </w:rPr>
        <w:t>4. Service Boundary Map</w:t>
      </w:r>
    </w:p>
    <w:p>
      <w:pPr>
        <w:ind w:left="0"/>
      </w:pPr>
      <w:r>
        <w:rPr>
          <w:b/>
          <w:i w:val="0"/>
          <w:color w:val="0C2554"/>
          <w:sz w:val="20"/>
        </w:rPr>
        <w:t>5. Integration Map</w:t>
      </w:r>
    </w:p>
    <w:p>
      <w:pPr>
        <w:ind w:left="0"/>
      </w:pPr>
      <w:r>
        <w:rPr>
          <w:b/>
          <w:i w:val="0"/>
          <w:color w:val="0C2554"/>
          <w:sz w:val="20"/>
        </w:rPr>
        <w:t>6. Architecture Decision Prompts</w:t>
      </w:r>
    </w:p>
    <w:p>
      <w:pPr>
        <w:ind w:left="317"/>
      </w:pPr>
      <w:r>
        <w:rPr>
          <w:b/>
          <w:i w:val="0"/>
          <w:color w:val="0C2554"/>
          <w:sz w:val="18"/>
        </w:rPr>
        <w:t>6.1 Coupling analysis</w:t>
      </w:r>
    </w:p>
    <w:p>
      <w:pPr>
        <w:ind w:left="317"/>
      </w:pPr>
      <w:r>
        <w:rPr>
          <w:b/>
          <w:i w:val="0"/>
          <w:color w:val="0C2554"/>
          <w:sz w:val="18"/>
        </w:rPr>
        <w:t>6.2 Pattern fitness table</w:t>
      </w:r>
    </w:p>
    <w:p>
      <w:pPr>
        <w:ind w:left="317"/>
      </w:pPr>
      <w:r>
        <w:rPr>
          <w:b/>
          <w:i w:val="0"/>
          <w:color w:val="0C2554"/>
          <w:sz w:val="18"/>
        </w:rPr>
        <w:t>6.3 Framing</w:t>
      </w:r>
    </w:p>
    <w:p>
      <w:pPr>
        <w:ind w:left="0"/>
      </w:pPr>
      <w:r>
        <w:rPr>
          <w:b/>
          <w:i w:val="0"/>
          <w:color w:val="0C2554"/>
          <w:sz w:val="20"/>
        </w:rPr>
        <w:t>7. Legacy → Modern Mapping</w:t>
      </w:r>
    </w:p>
    <w:p>
      <w:pPr>
        <w:ind w:left="0"/>
      </w:pPr>
      <w:r>
        <w:rPr>
          <w:b/>
          <w:i w:val="0"/>
          <w:color w:val="0C2554"/>
          <w:sz w:val="20"/>
        </w:rPr>
        <w:t>Open Items / Ambiguities</w:t>
      </w:r>
    </w:p>
    <w:p>
      <w:pPr>
        <w:ind w:left="0"/>
      </w:pPr>
      <w:r>
        <w:rPr>
          <w:b/>
          <w:i w:val="0"/>
          <w:color w:val="0C2554"/>
          <w:sz w:val="20"/>
        </w:rPr>
        <w:t>Traceability Summary / Cross-Reference</w:t>
      </w:r>
    </w:p>
    <w:p>
      <w:r>
        <w:br w:type="page"/>
      </w:r>
    </w:p>
    <w:p>
      <w:pPr>
        <w:pStyle w:val="Heading2"/>
      </w:pPr>
      <w:r>
        <w:t>Document Governance Note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EF3FA"/>
            <w:tcBorders>
              <w:top w:val="single" w:sz="4" w:color="D9E2EF"/>
              <w:start w:val="single" w:sz="18" w:color="F0A500"/>
              <w:bottom w:val="single" w:sz="4" w:color="D9E2EF"/>
              <w:end w:val="single" w:sz="4" w:color="D9E2EF"/>
            </w:tcBorders>
          </w:tcPr>
          <w:p>
            <w:r/>
            <w:r>
              <w:rPr>
                <w:b w:val="0"/>
                <w:i w:val="0"/>
                <w:sz w:val="16"/>
              </w:rPr>
              <w:t xml:space="preserve">Grounding labels covered in this publication set: </w:t>
            </w:r>
            <w:r>
              <w:rPr>
                <w:b w:val="0"/>
                <w:i w:val="0"/>
                <w:color w:val="1A7A4A"/>
                <w:sz w:val="16"/>
              </w:rPr>
              <w:t>[SG]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1A7A4A"/>
                <w:sz w:val="16"/>
              </w:rPr>
              <w:t>[SG-influenced]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C0392B"/>
                <w:sz w:val="16"/>
              </w:rPr>
              <w:t>[inferred]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C0392B"/>
                <w:sz w:val="16"/>
              </w:rPr>
              <w:t>[placeholder]</w:t>
            </w:r>
            <w:r>
              <w:rPr>
                <w:b w:val="0"/>
                <w:i w:val="0"/>
                <w:sz w:val="16"/>
              </w:rPr>
              <w:t>. Review Priority badges are styled as Priority or Standard where rule-review columns appear.</w:t>
            </w:r>
          </w:p>
        </w:tc>
      </w:tr>
    </w:tbl>
    <w:p>
      <w:pPr>
        <w:pStyle w:val="Heading1"/>
      </w:pPr>
      <w:r>
        <w:rPr>
          <w:b/>
          <w:i w:val="0"/>
          <w:color w:val="0C2554"/>
        </w:rPr>
        <w:t>Modern Stack Architecture Flow</w:t>
      </w:r>
    </w:p>
    <w:p>
      <w:pPr>
        <w:pStyle w:val="Heading2"/>
      </w:pPr>
      <w:r>
        <w:rPr>
          <w:b/>
          <w:i w:val="0"/>
          <w:color w:val="0C2554"/>
        </w:rPr>
        <w:t>1.2 Target State — System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5843" cy="489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4a14a1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5843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(1)</w:t>
      </w:r>
    </w:p>
    <w:p>
      <w:pPr>
        <w:pStyle w:val="Heading2"/>
      </w:pPr>
      <w:r>
        <w:rPr>
          <w:b/>
          <w:i w:val="0"/>
          <w:color w:val="0C2554"/>
        </w:rPr>
        <w:t>4. Service Boundary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54195" cy="489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e68a84d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54195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(2)</w:t>
      </w:r>
    </w:p>
    <w:p>
      <w:pPr>
        <w:pStyle w:val="Heading2"/>
      </w:pPr>
      <w:r>
        <w:rPr>
          <w:b/>
          <w:i w:val="0"/>
          <w:color w:val="0C2554"/>
        </w:rPr>
        <w:t>5. Integration Map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Integration Point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Protocol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Direction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Legacy System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Modern Target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 search orchestration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Tandem SQL/MP path via TKA900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Bidirectional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TKA900 + LSS_LOAN_T/LSS_CYCLE_STEP_T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LoanService + Azure SQL query layer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screen_action_api_estimation.md; service_decomposition.md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Add loan transaction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Tandem SQL/MP path via TKA901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Bidirectional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TKA901 + LSS_LOAN_T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LoanService POST /api/loans + Azure SQL insert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screen_action_api_estimation.md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Modify loan transaction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Tandem SQL/MP path via TKA902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Bidirectional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TKA902 + LSS_LOAN_T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LoanService PUT /api/loans/{loanNum} + read-before-write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screen_action_api_estimation.md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Rating quote call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External service call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Outbound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RataBase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RatingService external adapter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service_decomposition.md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KY advisory pre-call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Tandem program call via KY_ISO_QUERY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Outbound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AIP930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RatingService KY advisory adapter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service_decomposition.md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14E notification dispatch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Tandem dispatch via TKA920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Outbound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TKA920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EdiNotificationService dispatch adapter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service_decomposition.md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6. Architecture Decision Prompts</w:t>
      </w:r>
    </w:p>
    <w:p>
      <w:pPr>
        <w:pStyle w:val="Heading3"/>
      </w:pPr>
      <w:r>
        <w:rPr>
          <w:b/>
          <w:i w:val="0"/>
          <w:color w:val="0C2554"/>
        </w:rPr>
        <w:t>6.1 Coupling analysis</w:t>
      </w:r>
    </w:p>
    <w:p>
      <w:pPr>
        <w:spacing w:after="80"/>
      </w:pPr>
      <w:r>
        <w:rPr>
          <w:b w:val="0"/>
          <w:i w:val="0"/>
          <w:sz w:val="18"/>
        </w:rPr>
        <w:t>The analysis suggests LoanService and EdiNotificationService share loan/cycle data dependencies, while RatingService is integration-coupled to external rating and KY advisory lookups.</w:t>
      </w:r>
    </w:p>
    <w:p>
      <w:pPr>
        <w:pStyle w:val="Heading3"/>
      </w:pPr>
      <w:r>
        <w:rPr>
          <w:b/>
          <w:i w:val="0"/>
          <w:color w:val="0C2554"/>
        </w:rPr>
        <w:t>6.2 Pattern fitness table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  <w:cantSplit/>
        </w:trPr>
        <w:tc>
          <w:tcPr>
            <w:tcW w:type="dxa" w:w="484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Pattern</w:t>
            </w:r>
          </w:p>
        </w:tc>
        <w:tc>
          <w:tcPr>
            <w:tcW w:type="dxa" w:w="484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When it fits</w:t>
            </w:r>
          </w:p>
        </w:tc>
        <w:tc>
          <w:tcPr>
            <w:tcW w:type="dxa" w:w="484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Evidence from this analysis</w:t>
            </w:r>
          </w:p>
        </w:tc>
      </w:tr>
      <w:tr>
        <w:trPr>
          <w:cantSplit/>
        </w:trPr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modular monolith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Tight shared data and limited service count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Shared Loan/Cycle entities across three candidate services</w:t>
            </w:r>
          </w:p>
        </w:tc>
      </w:tr>
      <w:tr>
        <w:trPr>
          <w:cantSplit/>
        </w:trPr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microservices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Distinct ownership and independent scaling needs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Distinct integration concerns for rating and EDI paths</w:t>
            </w:r>
          </w:p>
        </w:tc>
      </w:tr>
      <w:tr>
        <w:trPr>
          <w:cantSplit/>
        </w:trPr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strangler fig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Progressive replacement of Tandem call paths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Clear mnemonic-to-API mapping per operation</w:t>
            </w:r>
          </w:p>
        </w:tc>
      </w:tr>
      <w:tr>
        <w:trPr>
          <w:cantSplit/>
        </w:trPr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CQRS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Heavy read/write divergence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Search/read paths differ from add/modify command rules</w:t>
            </w:r>
          </w:p>
        </w:tc>
      </w:tr>
      <w:tr>
        <w:trPr>
          <w:cantSplit/>
        </w:trPr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event-driven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Asynchronous notification scenarios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dispatch currently synchronous; potential future async prompt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6.3 Framing</w:t>
      </w:r>
    </w:p>
    <w:p>
      <w:pPr>
        <w:spacing w:after="80"/>
      </w:pPr>
      <w:r>
        <w:rPr>
          <w:b w:val="0"/>
          <w:i w:val="0"/>
          <w:sz w:val="18"/>
        </w:rPr>
        <w:t>The analysis suggests preserving read-before-write semantics and explicit suppression outcomes during modernization, regardless of final deployment topology.</w:t>
      </w:r>
    </w:p>
    <w:p>
      <w:pPr>
        <w:pStyle w:val="Heading2"/>
      </w:pPr>
      <w:r>
        <w:rPr>
          <w:b/>
          <w:i w:val="0"/>
          <w:color w:val="0C2554"/>
        </w:rPr>
        <w:t>7. Legacy → Modern Mapping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2258" cy="4892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c57a37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2258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4"/>
        </w:rPr>
        <w:t>Mermaid diagram rendered from source (3)</w:t>
      </w:r>
    </w:p>
    <w:p>
      <w:pPr>
        <w:spacing w:after="80"/>
      </w:pPr>
      <w:r>
        <w:rPr>
          <w:b w:val="0"/>
          <w:i w:val="0"/>
          <w:sz w:val="18"/>
        </w:rPr>
        <w:t>Diagram suggestion callout:</w:t>
      </w:r>
    </w:p>
    <w:p>
      <w:pPr>
        <w:pStyle w:val="ListBullet"/>
      </w:pPr>
      <w:r>
        <w:rPr>
          <w:b w:val="0"/>
          <w:i w:val="0"/>
          <w:sz w:val="18"/>
        </w:rPr>
        <w:t>For the Legacy -&gt; Modern mapping, use side-by-side diagram rendering with clear dotted-equivalence arrows retained.</w:t>
      </w:r>
    </w:p>
    <w:p>
      <w:pPr>
        <w:spacing w:after="80"/>
      </w:pPr>
      <w:r>
        <w:rPr>
          <w:b w:val="0"/>
          <w:i w:val="0"/>
          <w:sz w:val="18"/>
        </w:rPr>
        <w:t>---</w:t>
      </w:r>
    </w:p>
    <w:p>
      <w:pPr>
        <w:pStyle w:val="Heading2"/>
      </w:pPr>
      <w:r>
        <w:rPr>
          <w:b/>
          <w:i w:val="0"/>
          <w:color w:val="0C2554"/>
        </w:rPr>
        <w:t>Open Items / Ambiguities</w:t>
      </w:r>
    </w:p>
    <w:p>
      <w:pPr>
        <w:pBdr>
          <w:left w:val="single" w:sz="18" w:space="6" w:color="C0392B"/>
        </w:pBdr>
        <w:shd w:fill="FCEEEE"/>
      </w:pPr>
      <w:r>
        <w:rPr>
          <w:b/>
          <w:i w:val="0"/>
          <w:color w:val="C0392B"/>
          <w:sz w:val="16"/>
        </w:rPr>
        <w:t>Unresolved items requiring SME or implementation-team validation are listed below.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Open question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A-001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Add/Modify rc templates and concrete control definitions are missing from current resource files.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A-002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Three Loan Search control IDs are referenced in code but absent in current rc/resource definitions.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A-003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whether "loan must exist before modification" should be promoted to a standalone rule card.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A-004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whether selected-row precondition for opening Modify is documented as a formal business rule.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A-005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add-handler delegation evidence treatment for rule-card references.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A-006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modify-handler delegation evidence treatment for rule-card references.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Traceability Summary / Cross-Reference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 ID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Functional Area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Review Priority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Candidate API / Service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Blueprint Spec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R-L-008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R-L-009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Audit Trail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0D7377"/>
                <w:sz w:val="15"/>
              </w:rPr>
              <w:t>DB-AUDIT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R-L-018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R-L-019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0D7377"/>
                <w:sz w:val="15"/>
              </w:rPr>
              <w:t>DB-001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Integration Gateway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Internal TandemGatewayClient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6666"/>
        <w:sz w:val="14"/>
      </w:rPr>
      <w:t>TrackAllLoanMaintenanceLegacy | Generated from Rendering_Handoff.md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C25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C25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C25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