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4544"/>
      </w:tblGrid>
      <w:tr>
        <w:trPr>
          <w:trHeight w:val="7800" w:hRule="atLeast"/>
        </w:trPr>
        <w:tc>
          <w:tcPr>
            <w:tcW w:type="dxa" w:w="14544"/>
            <w:shd w:fill="0C2554"/>
            <w:tcBorders>
              <w:top w:val="single" w:sz="0" w:color="0C2554"/>
              <w:start w:val="single" w:sz="0" w:color="0C2554"/>
              <w:bottom w:val="single" w:sz="0" w:color="0C2554"/>
              <w:end w:val="single" w:sz="0" w:color="0C2554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56"/>
              </w:rPr>
              <w:t>Reverse-Engineered Technical Specification</w:t>
            </w:r>
          </w:p>
          <w:p>
            <w:pPr>
              <w:jc w:val="center"/>
            </w:pPr>
            <w:r>
              <w:rPr>
                <w:b w:val="0"/>
                <w:i w:val="0"/>
                <w:color w:val="DCE6F2"/>
                <w:sz w:val="28"/>
              </w:rPr>
              <w:t>TrackAllLoanMaintenanceLegacy</w:t>
            </w:r>
          </w:p>
          <w:p>
            <w:pPr>
              <w:jc w:val="center"/>
            </w:pPr>
            <w:r>
              <w:rPr>
                <w:b/>
                <w:i w:val="0"/>
                <w:color w:val="F0A500"/>
                <w:sz w:val="28"/>
              </w:rPr>
              <w:t>────────────────────────────</w:t>
            </w:r>
          </w:p>
          <w:p>
            <w:pPr>
              <w:jc w:val="center"/>
            </w:pPr>
            <w:r>
              <w:rPr>
                <w:b w:val="0"/>
                <w:i w:val="0"/>
                <w:color w:val="FFFFFF"/>
                <w:sz w:val="20"/>
              </w:rPr>
              <w:t>Loan Maintenance Modernization Document Set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pPr>
        <w:ind w:left="0"/>
      </w:pPr>
      <w:r>
        <w:rPr>
          <w:b/>
          <w:i w:val="0"/>
          <w:color w:val="0C2554"/>
          <w:sz w:val="20"/>
        </w:rPr>
        <w:t>1. Overview</w:t>
      </w:r>
    </w:p>
    <w:p>
      <w:pPr>
        <w:ind w:left="317"/>
      </w:pPr>
      <w:r>
        <w:rPr>
          <w:b/>
          <w:i w:val="0"/>
          <w:color w:val="0C2554"/>
          <w:sz w:val="18"/>
        </w:rPr>
        <w:t>1.1 Purpose and audience</w:t>
      </w:r>
    </w:p>
    <w:p>
      <w:pPr>
        <w:ind w:left="317"/>
      </w:pPr>
      <w:r>
        <w:rPr>
          <w:b/>
          <w:i w:val="0"/>
          <w:color w:val="0C2554"/>
          <w:sz w:val="18"/>
        </w:rPr>
        <w:t>1.2 Scope</w:t>
      </w:r>
    </w:p>
    <w:p>
      <w:pPr>
        <w:ind w:left="317"/>
      </w:pPr>
      <w:r>
        <w:rPr>
          <w:b/>
          <w:i w:val="0"/>
          <w:color w:val="0C2554"/>
          <w:sz w:val="18"/>
        </w:rPr>
        <w:t>1.3 Relationship to full modernization programme</w:t>
      </w:r>
    </w:p>
    <w:p>
      <w:pPr>
        <w:ind w:left="0"/>
      </w:pPr>
      <w:r>
        <w:rPr>
          <w:b/>
          <w:i w:val="0"/>
          <w:color w:val="0C2554"/>
          <w:sz w:val="20"/>
        </w:rPr>
        <w:t>2. Current State Architecture</w:t>
      </w:r>
    </w:p>
    <w:p>
      <w:pPr>
        <w:ind w:left="317"/>
      </w:pPr>
      <w:r>
        <w:rPr>
          <w:b/>
          <w:i w:val="0"/>
          <w:color w:val="0C2554"/>
          <w:sz w:val="18"/>
        </w:rPr>
        <w:t>2.1 Technology stack</w:t>
      </w:r>
    </w:p>
    <w:p>
      <w:pPr>
        <w:ind w:left="317"/>
      </w:pPr>
      <w:r>
        <w:rPr>
          <w:b/>
          <w:i w:val="0"/>
          <w:color w:val="0C2554"/>
          <w:sz w:val="18"/>
        </w:rPr>
        <w:t>2.2 Subdomain position</w:t>
      </w:r>
    </w:p>
    <w:p>
      <w:pPr>
        <w:ind w:left="317"/>
      </w:pPr>
      <w:r>
        <w:rPr>
          <w:b/>
          <w:i w:val="0"/>
          <w:color w:val="0C2554"/>
          <w:sz w:val="18"/>
        </w:rPr>
        <w:t>2.3 Key components analyzed</w:t>
      </w:r>
    </w:p>
    <w:p>
      <w:pPr>
        <w:ind w:left="0"/>
      </w:pPr>
      <w:r>
        <w:rPr>
          <w:b/>
          <w:i w:val="0"/>
          <w:color w:val="0C2554"/>
          <w:sz w:val="20"/>
        </w:rPr>
        <w:t>3. Reverse-Engineering Approach</w:t>
      </w:r>
    </w:p>
    <w:p>
      <w:pPr>
        <w:ind w:left="317"/>
      </w:pPr>
      <w:r>
        <w:rPr>
          <w:b/>
          <w:i w:val="0"/>
          <w:color w:val="0C2554"/>
          <w:sz w:val="18"/>
        </w:rPr>
        <w:t>3.1 Governed method</w:t>
      </w:r>
    </w:p>
    <w:p>
      <w:pPr>
        <w:ind w:left="317"/>
      </w:pPr>
      <w:r>
        <w:rPr>
          <w:b/>
          <w:i w:val="0"/>
          <w:color w:val="0C2554"/>
          <w:sz w:val="18"/>
        </w:rPr>
        <w:t>3.2 Governance model</w:t>
      </w:r>
    </w:p>
    <w:p>
      <w:pPr>
        <w:ind w:left="317"/>
      </w:pPr>
      <w:r>
        <w:rPr>
          <w:b/>
          <w:i w:val="0"/>
          <w:color w:val="0C2554"/>
          <w:sz w:val="18"/>
        </w:rPr>
        <w:t>3.3 Business validation path</w:t>
      </w:r>
    </w:p>
    <w:p>
      <w:pPr>
        <w:ind w:left="0"/>
      </w:pPr>
      <w:r>
        <w:rPr>
          <w:b/>
          <w:i w:val="0"/>
          <w:color w:val="0C2554"/>
          <w:sz w:val="20"/>
        </w:rPr>
        <w:t>4. Screen and Control Analysis</w:t>
      </w:r>
    </w:p>
    <w:p>
      <w:pPr>
        <w:ind w:left="0"/>
      </w:pPr>
      <w:r>
        <w:rPr>
          <w:b/>
          <w:i w:val="0"/>
          <w:color w:val="0C2554"/>
          <w:sz w:val="20"/>
        </w:rPr>
        <w:t>5. Business Rule Extraction</w:t>
      </w:r>
    </w:p>
    <w:p>
      <w:pPr>
        <w:ind w:left="317"/>
      </w:pPr>
      <w:r>
        <w:rPr>
          <w:b/>
          <w:i w:val="0"/>
          <w:color w:val="0C2554"/>
          <w:sz w:val="18"/>
        </w:rPr>
        <w:t>Loan Maintenance — Loan Search Input Validation</w:t>
      </w:r>
    </w:p>
    <w:p>
      <w:pPr>
        <w:ind w:left="317"/>
      </w:pPr>
      <w:r>
        <w:rPr>
          <w:b/>
          <w:i w:val="0"/>
          <w:color w:val="0C2554"/>
          <w:sz w:val="18"/>
        </w:rPr>
        <w:t>Loan Maintenance — Premium Rating</w:t>
      </w:r>
    </w:p>
    <w:p>
      <w:pPr>
        <w:ind w:left="317"/>
      </w:pPr>
      <w:r>
        <w:rPr>
          <w:b/>
          <w:i w:val="0"/>
          <w:color w:val="0C2554"/>
          <w:sz w:val="18"/>
        </w:rPr>
        <w:t>Loan Maintenance — EDI Notification</w:t>
      </w:r>
    </w:p>
    <w:p>
      <w:pPr>
        <w:ind w:left="317"/>
      </w:pPr>
      <w:r>
        <w:rPr>
          <w:b/>
          <w:i w:val="0"/>
          <w:color w:val="0C2554"/>
          <w:sz w:val="18"/>
        </w:rPr>
        <w:t>Loan Maintenance — Audit Trail</w:t>
      </w:r>
    </w:p>
    <w:p>
      <w:pPr>
        <w:ind w:left="317"/>
      </w:pPr>
      <w:r>
        <w:rPr>
          <w:b/>
          <w:i w:val="0"/>
          <w:color w:val="0C2554"/>
          <w:sz w:val="18"/>
        </w:rPr>
        <w:t>Loan Maintenance — Add Loan Validation</w:t>
      </w:r>
    </w:p>
    <w:p>
      <w:pPr>
        <w:ind w:left="317"/>
      </w:pPr>
      <w:r>
        <w:rPr>
          <w:b/>
          <w:i w:val="0"/>
          <w:color w:val="0C2554"/>
          <w:sz w:val="18"/>
        </w:rPr>
        <w:t>Loan Maintenance — Modify Loan Validation</w:t>
      </w:r>
    </w:p>
    <w:p>
      <w:pPr>
        <w:ind w:left="317"/>
      </w:pPr>
      <w:r>
        <w:rPr>
          <w:b/>
          <w:i w:val="0"/>
          <w:color w:val="0C2554"/>
          <w:sz w:val="18"/>
        </w:rPr>
        <w:t>Loan Maintenance — Integration Gateway</w:t>
      </w:r>
    </w:p>
    <w:p>
      <w:pPr>
        <w:ind w:left="0"/>
      </w:pPr>
      <w:r>
        <w:rPr>
          <w:b/>
          <w:i w:val="0"/>
          <w:color w:val="0C2554"/>
          <w:sz w:val="20"/>
        </w:rPr>
        <w:t>6. Dependency and Flow Analysis</w:t>
      </w:r>
    </w:p>
    <w:p>
      <w:pPr>
        <w:ind w:left="0"/>
      </w:pPr>
      <w:r>
        <w:rPr>
          <w:b/>
          <w:i w:val="0"/>
          <w:color w:val="0C2554"/>
          <w:sz w:val="20"/>
        </w:rPr>
        <w:t>7. Candidate API Estimation</w:t>
      </w:r>
    </w:p>
    <w:p>
      <w:pPr>
        <w:ind w:left="0"/>
      </w:pPr>
      <w:r>
        <w:rPr>
          <w:b/>
          <w:i w:val="0"/>
          <w:color w:val="0C2554"/>
          <w:sz w:val="20"/>
        </w:rPr>
        <w:t>8. Candidate Service Decomposition</w:t>
      </w:r>
    </w:p>
    <w:p>
      <w:pPr>
        <w:ind w:left="0"/>
      </w:pPr>
      <w:r>
        <w:rPr>
          <w:b/>
          <w:i w:val="0"/>
          <w:color w:val="0C2554"/>
          <w:sz w:val="20"/>
        </w:rPr>
        <w:t>9. Target State Mapping</w:t>
      </w:r>
    </w:p>
    <w:p>
      <w:pPr>
        <w:ind w:left="0"/>
      </w:pPr>
      <w:r>
        <w:rPr>
          <w:b/>
          <w:i w:val="0"/>
          <w:color w:val="0C2554"/>
          <w:sz w:val="20"/>
        </w:rPr>
        <w:t>10. Data and Integration Considerations</w:t>
      </w:r>
    </w:p>
    <w:p>
      <w:pPr>
        <w:ind w:left="0"/>
      </w:pPr>
      <w:r>
        <w:rPr>
          <w:b/>
          <w:i w:val="0"/>
          <w:color w:val="0C2554"/>
          <w:sz w:val="20"/>
        </w:rPr>
        <w:t>11. Governance Summary</w:t>
      </w:r>
    </w:p>
    <w:p>
      <w:pPr>
        <w:ind w:left="0"/>
      </w:pPr>
      <w:r>
        <w:rPr>
          <w:b/>
          <w:i w:val="0"/>
          <w:color w:val="0C2554"/>
          <w:sz w:val="20"/>
        </w:rPr>
        <w:t>12. Risks and Assumptions</w:t>
      </w:r>
    </w:p>
    <w:p>
      <w:pPr>
        <w:ind w:left="0"/>
      </w:pPr>
      <w:r>
        <w:rPr>
          <w:b/>
          <w:i w:val="0"/>
          <w:color w:val="0C2554"/>
          <w:sz w:val="20"/>
        </w:rPr>
        <w:t>13. Appendix</w:t>
      </w:r>
    </w:p>
    <w:p>
      <w:pPr>
        <w:ind w:left="0"/>
      </w:pPr>
      <w:r>
        <w:rPr>
          <w:b/>
          <w:i w:val="0"/>
          <w:color w:val="0C2554"/>
          <w:sz w:val="20"/>
        </w:rPr>
        <w:t>Open Items / Ambiguities</w:t>
      </w:r>
    </w:p>
    <w:p>
      <w:pPr>
        <w:ind w:left="0"/>
      </w:pPr>
      <w:r>
        <w:rPr>
          <w:b/>
          <w:i w:val="0"/>
          <w:color w:val="0C2554"/>
          <w:sz w:val="20"/>
        </w:rPr>
        <w:t>Traceability Summary / Cross-Reference</w:t>
      </w:r>
    </w:p>
    <w:p>
      <w:r>
        <w:br w:type="page"/>
      </w:r>
    </w:p>
    <w:p>
      <w:pPr>
        <w:pStyle w:val="Heading2"/>
      </w:pPr>
      <w:r>
        <w:t>Document Governance Note</w:t>
      </w:r>
    </w:p>
    <w:tbl>
      <w:tblPr>
        <w:tblW w:type="pct" w:w="5000"/>
        <w:tblLook w:firstColumn="1" w:firstRow="1" w:lastColumn="0" w:lastRow="0" w:noHBand="0" w:noVBand="1" w:val="04A0"/>
      </w:tblPr>
      <w:tblGrid>
        <w:gridCol w:w="14544"/>
      </w:tblGrid>
      <w:tr>
        <w:tc>
          <w:tcPr>
            <w:tcW w:type="dxa" w:w="14544"/>
            <w:shd w:fill="EEF3FA"/>
            <w:tcBorders>
              <w:top w:val="single" w:sz="4" w:color="D9E2EF"/>
              <w:start w:val="single" w:sz="18" w:color="F0A500"/>
              <w:bottom w:val="single" w:sz="4" w:color="D9E2EF"/>
              <w:end w:val="single" w:sz="4" w:color="D9E2EF"/>
            </w:tcBorders>
          </w:tcPr>
          <w:p>
            <w:r/>
            <w:r>
              <w:rPr>
                <w:b w:val="0"/>
                <w:i w:val="0"/>
                <w:sz w:val="16"/>
              </w:rPr>
              <w:t xml:space="preserve">Grounding labels covered in this publication set: </w:t>
            </w:r>
            <w:r>
              <w:rPr>
                <w:b w:val="0"/>
                <w:i w:val="0"/>
                <w:color w:val="1A7A4A"/>
                <w:sz w:val="16"/>
              </w:rPr>
              <w:t>[SG]</w:t>
            </w:r>
            <w:r>
              <w:rPr>
                <w:b w:val="0"/>
                <w:i w:val="0"/>
                <w:sz w:val="16"/>
              </w:rPr>
              <w:t xml:space="preserve">, </w:t>
            </w:r>
            <w:r>
              <w:rPr>
                <w:b w:val="0"/>
                <w:i w:val="0"/>
                <w:color w:val="1A7A4A"/>
                <w:sz w:val="16"/>
              </w:rPr>
              <w:t>[SG-influenced]</w:t>
            </w:r>
            <w:r>
              <w:rPr>
                <w:b w:val="0"/>
                <w:i w:val="0"/>
                <w:sz w:val="16"/>
              </w:rPr>
              <w:t xml:space="preserve">, </w:t>
            </w:r>
            <w:r>
              <w:rPr>
                <w:b w:val="0"/>
                <w:i w:val="0"/>
                <w:color w:val="C0392B"/>
                <w:sz w:val="16"/>
              </w:rPr>
              <w:t>[inferred]</w:t>
            </w:r>
            <w:r>
              <w:rPr>
                <w:b w:val="0"/>
                <w:i w:val="0"/>
                <w:sz w:val="16"/>
              </w:rPr>
              <w:t xml:space="preserve">, </w:t>
            </w:r>
            <w:r>
              <w:rPr>
                <w:b w:val="0"/>
                <w:i w:val="0"/>
                <w:color w:val="C0392B"/>
                <w:sz w:val="16"/>
              </w:rPr>
              <w:t>[placeholder]</w:t>
            </w:r>
            <w:r>
              <w:rPr>
                <w:b w:val="0"/>
                <w:i w:val="0"/>
                <w:sz w:val="16"/>
              </w:rPr>
              <w:t>. Review Priority badges are styled as Priority or Standard where rule-review columns appear.</w:t>
            </w:r>
          </w:p>
        </w:tc>
      </w:tr>
    </w:tbl>
    <w:p>
      <w:pPr>
        <w:pStyle w:val="Heading1"/>
      </w:pPr>
      <w:r>
        <w:rPr>
          <w:b/>
          <w:i w:val="0"/>
          <w:color w:val="0C2554"/>
        </w:rPr>
        <w:t>Reverse-Engineered Technical Specification</w:t>
      </w:r>
    </w:p>
    <w:p>
      <w:pPr>
        <w:pStyle w:val="Heading2"/>
      </w:pPr>
      <w:r>
        <w:rPr>
          <w:b/>
          <w:i w:val="0"/>
          <w:color w:val="0C2554"/>
        </w:rPr>
        <w:t>1. Overview</w:t>
      </w:r>
    </w:p>
    <w:p>
      <w:pPr>
        <w:pStyle w:val="Heading3"/>
      </w:pPr>
      <w:r>
        <w:rPr>
          <w:b/>
          <w:i w:val="0"/>
          <w:color w:val="0C2554"/>
        </w:rPr>
        <w:t>1.1 Purpose and audience</w:t>
      </w:r>
    </w:p>
    <w:p>
      <w:pPr>
        <w:spacing w:after="80"/>
      </w:pPr>
      <w:r>
        <w:rPr>
          <w:b w:val="0"/>
          <w:i w:val="0"/>
          <w:sz w:val="18"/>
        </w:rPr>
        <w:t>This technical specification is for developers, architects, and technical leads implementing modernization for the Loan Maintenance slice.</w:t>
      </w:r>
    </w:p>
    <w:p>
      <w:pPr>
        <w:pStyle w:val="Heading3"/>
      </w:pPr>
      <w:r>
        <w:rPr>
          <w:b/>
          <w:i w:val="0"/>
          <w:color w:val="0C2554"/>
        </w:rPr>
        <w:t>1.2 Scope</w:t>
      </w:r>
    </w:p>
    <w:p>
      <w:pPr>
        <w:spacing w:after="80"/>
      </w:pPr>
      <w:r>
        <w:rPr>
          <w:b w:val="0"/>
          <w:i w:val="0"/>
          <w:sz w:val="18"/>
        </w:rPr>
        <w:t>In-scope: Loan Search, Add Loan, Modify Loan, quote orchestration, EDI notification, and gateway routing in the Loan Maintenance subdomain.</w:t>
      </w:r>
    </w:p>
    <w:p>
      <w:pPr>
        <w:pStyle w:val="Heading3"/>
      </w:pPr>
      <w:r>
        <w:rPr>
          <w:b/>
          <w:i w:val="0"/>
          <w:color w:val="0C2554"/>
        </w:rPr>
        <w:t>1.3 Relationship to full modernization programme</w:t>
      </w:r>
    </w:p>
    <w:p>
      <w:pPr>
        <w:spacing w:after="80"/>
      </w:pPr>
      <w:r>
        <w:rPr>
          <w:b w:val="0"/>
          <w:i w:val="0"/>
          <w:sz w:val="18"/>
        </w:rPr>
        <w:t>This document covers only the subdomain in scope from current artifacts and is intended as one governed slice of the broader modernization program.</w:t>
      </w:r>
    </w:p>
    <w:p>
      <w:pPr>
        <w:pStyle w:val="Heading2"/>
      </w:pPr>
      <w:r>
        <w:rPr>
          <w:b/>
          <w:i w:val="0"/>
          <w:color w:val="0C2554"/>
        </w:rPr>
        <w:t>2. Current State Architecture</w:t>
      </w:r>
    </w:p>
    <w:p>
      <w:pPr>
        <w:pStyle w:val="Heading3"/>
      </w:pPr>
      <w:r>
        <w:rPr>
          <w:b/>
          <w:i w:val="0"/>
          <w:color w:val="0C2554"/>
        </w:rPr>
        <w:t>2.1 Technology stack</w:t>
      </w:r>
    </w:p>
    <w:p>
      <w:pPr>
        <w:pStyle w:val="ListBullet"/>
      </w:pPr>
      <w:r>
        <w:rPr>
          <w:b w:val="0"/>
          <w:i w:val="0"/>
          <w:sz w:val="18"/>
        </w:rPr>
        <w:t>Frontend: VC++ MFC thick client dialogs.</w:t>
      </w:r>
    </w:p>
    <w:p>
      <w:pPr>
        <w:pStyle w:val="ListBullet"/>
      </w:pPr>
      <w:r>
        <w:rPr>
          <w:b w:val="0"/>
          <w:i w:val="0"/>
          <w:sz w:val="18"/>
        </w:rPr>
        <w:t>Backend/data: HP NonStop COBOL and SQL/MP tables.</w:t>
      </w:r>
    </w:p>
    <w:p>
      <w:pPr>
        <w:pStyle w:val="ListBullet"/>
      </w:pPr>
      <w:r>
        <w:rPr>
          <w:b w:val="0"/>
          <w:i w:val="0"/>
          <w:sz w:val="18"/>
        </w:rPr>
        <w:t>Integration: TME framework over TLS TCP with mnemonic routing.</w:t>
      </w:r>
    </w:p>
    <w:p>
      <w:pPr>
        <w:pStyle w:val="ListBullet"/>
      </w:pPr>
      <w:r>
        <w:rPr>
          <w:b w:val="0"/>
          <w:i w:val="0"/>
          <w:sz w:val="18"/>
        </w:rPr>
        <w:t>External services: RataBase and Kentucky ISO advisory service.</w:t>
      </w:r>
    </w:p>
    <w:p>
      <w:pPr>
        <w:pStyle w:val="Heading3"/>
      </w:pPr>
      <w:r>
        <w:rPr>
          <w:b/>
          <w:i w:val="0"/>
          <w:color w:val="0C2554"/>
        </w:rPr>
        <w:t>2.2 Subdomain position</w:t>
      </w:r>
    </w:p>
    <w:p>
      <w:pPr>
        <w:spacing w:after="80"/>
      </w:pPr>
      <w:r>
        <w:rPr>
          <w:b w:val="0"/>
          <w:i w:val="0"/>
          <w:sz w:val="18"/>
        </w:rPr>
        <w:t>Loan Maintenance sits at the transactional core for searching, creating, and modifying insured mortgage-loan records, with quote and EDI side effects.</w:t>
      </w:r>
    </w:p>
    <w:p>
      <w:pPr>
        <w:pStyle w:val="Heading3"/>
      </w:pPr>
      <w:r>
        <w:rPr>
          <w:b/>
          <w:i w:val="0"/>
          <w:color w:val="0C2554"/>
        </w:rPr>
        <w:t>2.3 Key components analyzed</w:t>
      </w:r>
    </w:p>
    <w:p>
      <w:pPr>
        <w:spacing w:after="80"/>
      </w:pPr>
      <w:r>
        <w:rPr>
          <w:b w:val="0"/>
          <w:i w:val="0"/>
          <w:sz w:val="18"/>
        </w:rPr>
        <w:t>CLoanSearchDlg, CLoanAddDlg, CLoanModifyDlg, CLoanRules, CRataBaseServiceAdapter, CEDINotificationWriter, CTMELibAdapter, TKA900/TKA901/TKA902/TKA920/AIP930, LSS_LOAN_T, LSS_CYCLE_STEP_T, LSS001T.</w:t>
      </w:r>
    </w:p>
    <w:p>
      <w:pPr>
        <w:pStyle w:val="Heading2"/>
      </w:pPr>
      <w:r>
        <w:rPr>
          <w:b/>
          <w:i w:val="0"/>
          <w:color w:val="0C2554"/>
        </w:rPr>
        <w:t>3. Reverse-Engineering Approach</w:t>
      </w:r>
    </w:p>
    <w:p>
      <w:pPr>
        <w:pStyle w:val="Heading3"/>
      </w:pPr>
      <w:r>
        <w:rPr>
          <w:b/>
          <w:i w:val="0"/>
          <w:color w:val="0C2554"/>
        </w:rPr>
        <w:t>3.1 Governed method</w:t>
      </w:r>
    </w:p>
    <w:p>
      <w:pPr>
        <w:spacing w:after="80"/>
      </w:pPr>
      <w:r>
        <w:rPr>
          <w:b w:val="0"/>
          <w:i w:val="0"/>
          <w:sz w:val="18"/>
        </w:rPr>
        <w:t>Each source file is analysed against a governance contract that enforces evidence grounding, flags unresolved references, and classifies every extracted rule by confidence. A subject-matter review step then stamps each rule with a review priority before publication, so business reviewers can focus on non-code-grounded or ambiguous items.</w:t>
      </w:r>
    </w:p>
    <w:p>
      <w:pPr>
        <w:pStyle w:val="Heading3"/>
      </w:pPr>
      <w:r>
        <w:rPr>
          <w:b/>
          <w:i w:val="0"/>
          <w:color w:val="0C2554"/>
        </w:rPr>
        <w:t>3.2 Governance model</w:t>
      </w:r>
    </w:p>
    <w:p>
      <w:pPr>
        <w:spacing w:after="80"/>
      </w:pPr>
      <w:r>
        <w:rPr>
          <w:b w:val="0"/>
          <w:i w:val="0"/>
          <w:sz w:val="18"/>
        </w:rPr>
        <w:t>Artifacts include rule register, ambiguity log, rerun log, and rule coverage checklist.</w:t>
      </w:r>
    </w:p>
    <w:p>
      <w:pPr>
        <w:pStyle w:val="Heading3"/>
      </w:pPr>
      <w:r>
        <w:rPr>
          <w:b/>
          <w:i w:val="0"/>
          <w:color w:val="0C2554"/>
        </w:rPr>
        <w:t>3.3 Business validation path</w:t>
      </w:r>
    </w:p>
    <w:p>
      <w:pPr>
        <w:spacing w:after="80"/>
      </w:pPr>
      <w:r>
        <w:rPr>
          <w:b w:val="0"/>
          <w:i w:val="0"/>
          <w:sz w:val="18"/>
        </w:rPr>
        <w:t>Business validation is performed on generated publication documents; Priority rules (if any) are reviewed more deeply while Standard rules are skimmed.</w:t>
      </w:r>
    </w:p>
    <w:p>
      <w:pPr>
        <w:pStyle w:val="Heading2"/>
      </w:pPr>
      <w:r>
        <w:rPr>
          <w:b/>
          <w:i w:val="0"/>
          <w:color w:val="0C2554"/>
        </w:rPr>
        <w:t>4. Screen and Control Analysis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rPr>
          <w:tblHeader w:val="true"/>
          <w:cantSplit/>
        </w:trPr>
        <w:tc>
          <w:tcPr>
            <w:tcW w:type="dxa" w:w="2909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Field</w:t>
            </w:r>
          </w:p>
        </w:tc>
        <w:tc>
          <w:tcPr>
            <w:tcW w:type="dxa" w:w="2909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Control type</w:t>
            </w:r>
          </w:p>
        </w:tc>
        <w:tc>
          <w:tcPr>
            <w:tcW w:type="dxa" w:w="2909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Business meaning</w:t>
            </w:r>
          </w:p>
        </w:tc>
        <w:tc>
          <w:tcPr>
            <w:tcW w:type="dxa" w:w="2909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Constraints</w:t>
            </w:r>
          </w:p>
        </w:tc>
        <w:tc>
          <w:tcPr>
            <w:tcW w:type="dxa" w:w="2909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Audit trigger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Loan Number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Text input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Search/add/identity key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10-digit numeric; immutable after add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Included in EDI audit payload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Borrower Name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Text input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Party identification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Required on add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Included in payload context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Property Address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Text input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Collateral location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Required on add; cannot clear on modify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Included in payload context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Property State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Text input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Rating jurisdiction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Approved-state list applies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Used in quote context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Quote Status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Static label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Displays quote outcome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Set after rating branch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None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Results Grid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List control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Loan selection and processing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Selection required for Modify open path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None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/>
          <w:i w:val="0"/>
          <w:color w:val="0C2554"/>
        </w:rPr>
        <w:t>5. Business Rule Extraction</w:t>
      </w:r>
    </w:p>
    <w:p>
      <w:pPr>
        <w:spacing w:after="80"/>
      </w:pPr>
      <w:r>
        <w:rPr>
          <w:b w:val="0"/>
          <w:i w:val="0"/>
          <w:sz w:val="18"/>
        </w:rPr>
        <w:t>Summary: 25 Active rules are extracted and code-grounded; no deferred cards.</w:t>
      </w:r>
    </w:p>
    <w:p>
      <w:pPr>
        <w:pStyle w:val="Heading3"/>
      </w:pPr>
      <w:r>
        <w:rPr>
          <w:b/>
          <w:i w:val="0"/>
          <w:color w:val="0C2554"/>
        </w:rPr>
        <w:t>Loan Maintenance — Loan Search Input Validation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  <w:gridCol w:w="2424"/>
        <w:gridCol w:w="2424"/>
      </w:tblGrid>
      <w:tr>
        <w:trPr>
          <w:tblHeader w:val="true"/>
          <w:cantSplit/>
        </w:trPr>
        <w:tc>
          <w:tcPr>
            <w:tcW w:type="dxa" w:w="2424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3"/>
              </w:rPr>
              <w:t>Rule ID</w:t>
            </w:r>
          </w:p>
        </w:tc>
        <w:tc>
          <w:tcPr>
            <w:tcW w:type="dxa" w:w="2424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3"/>
              </w:rPr>
              <w:t>Rule Statement</w:t>
            </w:r>
          </w:p>
        </w:tc>
        <w:tc>
          <w:tcPr>
            <w:tcW w:type="dxa" w:w="2424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3"/>
              </w:rPr>
              <w:t>Evidence (file::function)</w:t>
            </w:r>
          </w:p>
        </w:tc>
        <w:tc>
          <w:tcPr>
            <w:tcW w:type="dxa" w:w="2424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3"/>
              </w:rPr>
              <w:t>Grounding</w:t>
            </w:r>
          </w:p>
        </w:tc>
        <w:tc>
          <w:tcPr>
            <w:tcW w:type="dxa" w:w="2424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3"/>
              </w:rPr>
              <w:t>Confidence</w:t>
            </w:r>
          </w:p>
        </w:tc>
        <w:tc>
          <w:tcPr>
            <w:tcW w:type="dxa" w:w="2424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3"/>
              </w:rPr>
              <w:t>Review Priority</w:t>
            </w:r>
          </w:p>
        </w:tc>
      </w:tr>
      <w:tr>
        <w:trPr>
          <w:cantSplit/>
        </w:trPr>
        <w:tc>
          <w:tcPr>
            <w:tcW w:type="dxa" w:w="2424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0C2554"/>
                <w:sz w:val="12"/>
              </w:rPr>
              <w:t>R-L-001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b w:val="0"/>
                <w:i w:val="0"/>
                <w:sz w:val="12"/>
              </w:rPr>
              <w:t>Reject search when loan number and borrower are empty and no address criterion exists.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b w:val="0"/>
                <w:i w:val="0"/>
                <w:sz w:val="12"/>
              </w:rPr>
              <w:t>LoanRules.cpp::ValidateLoanForSearch; TKA900.cbl::2000-VALIDATE-INPUT</w:t>
            </w:r>
          </w:p>
        </w:tc>
        <w:tc>
          <w:tcPr>
            <w:tcW w:type="dxa" w:w="2424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sz w:val="12"/>
              </w:rPr>
              <w:t>code-grounded</w:t>
            </w:r>
          </w:p>
        </w:tc>
        <w:tc>
          <w:tcPr>
            <w:tcW w:type="dxa" w:w="2424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sz w:val="12"/>
              </w:rPr>
              <w:t>High</w:t>
            </w:r>
          </w:p>
        </w:tc>
        <w:tc>
          <w:tcPr>
            <w:tcW w:type="dxa" w:w="2424"/>
            <w:shd w:fill="1A7A4A"/>
            <w:vAlign w:val="top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2"/>
              </w:rPr>
              <w:t>Standard</w:t>
            </w:r>
          </w:p>
        </w:tc>
      </w:tr>
      <w:tr>
        <w:trPr>
          <w:cantSplit/>
        </w:trPr>
        <w:tc>
          <w:tcPr>
            <w:tcW w:type="dxa" w:w="2424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0C2554"/>
                <w:sz w:val="12"/>
              </w:rPr>
              <w:t>R-L-002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b w:val="0"/>
                <w:i w:val="0"/>
                <w:sz w:val="12"/>
              </w:rPr>
              <w:t>Enforce loan number length 10 and numeric-only characters.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b w:val="0"/>
                <w:i w:val="0"/>
                <w:sz w:val="12"/>
              </w:rPr>
              <w:t>LoanRules.cpp::ValidateLoanForSearch</w:t>
            </w:r>
          </w:p>
        </w:tc>
        <w:tc>
          <w:tcPr>
            <w:tcW w:type="dxa" w:w="2424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sz w:val="12"/>
              </w:rPr>
              <w:t>code-grounded</w:t>
            </w:r>
          </w:p>
        </w:tc>
        <w:tc>
          <w:tcPr>
            <w:tcW w:type="dxa" w:w="2424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sz w:val="12"/>
              </w:rPr>
              <w:t>High</w:t>
            </w:r>
          </w:p>
        </w:tc>
        <w:tc>
          <w:tcPr>
            <w:tcW w:type="dxa" w:w="2424"/>
            <w:shd w:fill="1A7A4A"/>
            <w:vAlign w:val="top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2"/>
              </w:rPr>
              <w:t>Standard</w:t>
            </w:r>
          </w:p>
        </w:tc>
      </w:tr>
      <w:tr>
        <w:trPr>
          <w:cantSplit/>
        </w:trPr>
        <w:tc>
          <w:tcPr>
            <w:tcW w:type="dxa" w:w="2424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0C2554"/>
                <w:sz w:val="12"/>
              </w:rPr>
              <w:t>R-L-003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b w:val="0"/>
                <w:i w:val="0"/>
                <w:sz w:val="12"/>
              </w:rPr>
              <w:t>Accept property address as standalone criterion with early pass branch.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b w:val="0"/>
                <w:i w:val="0"/>
                <w:sz w:val="12"/>
              </w:rPr>
              <w:t>LoanSearchDlg.cpp::ValidateSearchCriteria</w:t>
            </w:r>
          </w:p>
        </w:tc>
        <w:tc>
          <w:tcPr>
            <w:tcW w:type="dxa" w:w="2424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sz w:val="12"/>
              </w:rPr>
              <w:t>code-grounded</w:t>
            </w:r>
          </w:p>
        </w:tc>
        <w:tc>
          <w:tcPr>
            <w:tcW w:type="dxa" w:w="2424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sz w:val="12"/>
              </w:rPr>
              <w:t>Medium</w:t>
            </w:r>
          </w:p>
        </w:tc>
        <w:tc>
          <w:tcPr>
            <w:tcW w:type="dxa" w:w="2424"/>
            <w:shd w:fill="1A7A4A"/>
            <w:vAlign w:val="top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2"/>
              </w:rPr>
              <w:t>Standard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b/>
          <w:i w:val="0"/>
          <w:color w:val="0C2554"/>
        </w:rPr>
        <w:t>Loan Maintenance — Premium Rating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  <w:gridCol w:w="2424"/>
        <w:gridCol w:w="2424"/>
      </w:tblGrid>
      <w:tr>
        <w:trPr>
          <w:tblHeader w:val="true"/>
          <w:cantSplit/>
        </w:trPr>
        <w:tc>
          <w:tcPr>
            <w:tcW w:type="dxa" w:w="2424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3"/>
              </w:rPr>
              <w:t>Rule ID</w:t>
            </w:r>
          </w:p>
        </w:tc>
        <w:tc>
          <w:tcPr>
            <w:tcW w:type="dxa" w:w="2424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3"/>
              </w:rPr>
              <w:t>Rule Statement</w:t>
            </w:r>
          </w:p>
        </w:tc>
        <w:tc>
          <w:tcPr>
            <w:tcW w:type="dxa" w:w="2424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3"/>
              </w:rPr>
              <w:t>Evidence (file::function)</w:t>
            </w:r>
          </w:p>
        </w:tc>
        <w:tc>
          <w:tcPr>
            <w:tcW w:type="dxa" w:w="2424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3"/>
              </w:rPr>
              <w:t>Grounding</w:t>
            </w:r>
          </w:p>
        </w:tc>
        <w:tc>
          <w:tcPr>
            <w:tcW w:type="dxa" w:w="2424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3"/>
              </w:rPr>
              <w:t>Confidence</w:t>
            </w:r>
          </w:p>
        </w:tc>
        <w:tc>
          <w:tcPr>
            <w:tcW w:type="dxa" w:w="2424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3"/>
              </w:rPr>
              <w:t>Review Priority</w:t>
            </w:r>
          </w:p>
        </w:tc>
      </w:tr>
      <w:tr>
        <w:trPr>
          <w:cantSplit/>
        </w:trPr>
        <w:tc>
          <w:tcPr>
            <w:tcW w:type="dxa" w:w="2424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0C2554"/>
                <w:sz w:val="12"/>
              </w:rPr>
              <w:t>R-L-004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b w:val="0"/>
                <w:i w:val="0"/>
                <w:sz w:val="12"/>
              </w:rPr>
              <w:t>Require quote branch when QUOTE_REQD equals Y.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b w:val="0"/>
                <w:i w:val="0"/>
                <w:sz w:val="12"/>
              </w:rPr>
              <w:t>LoanRules.cpp::RequiresQuote; LoanSearchDlg.cpp::ProcessLoanResult</w:t>
            </w:r>
          </w:p>
        </w:tc>
        <w:tc>
          <w:tcPr>
            <w:tcW w:type="dxa" w:w="2424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sz w:val="12"/>
              </w:rPr>
              <w:t>code-grounded</w:t>
            </w:r>
          </w:p>
        </w:tc>
        <w:tc>
          <w:tcPr>
            <w:tcW w:type="dxa" w:w="2424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sz w:val="12"/>
              </w:rPr>
              <w:t>High</w:t>
            </w:r>
          </w:p>
        </w:tc>
        <w:tc>
          <w:tcPr>
            <w:tcW w:type="dxa" w:w="2424"/>
            <w:shd w:fill="1A7A4A"/>
            <w:vAlign w:val="top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2"/>
              </w:rPr>
              <w:t>Standard</w:t>
            </w:r>
          </w:p>
        </w:tc>
      </w:tr>
      <w:tr>
        <w:trPr>
          <w:cantSplit/>
        </w:trPr>
        <w:tc>
          <w:tcPr>
            <w:tcW w:type="dxa" w:w="2424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0C2554"/>
                <w:sz w:val="12"/>
              </w:rPr>
              <w:t>R-L-005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b w:val="0"/>
                <w:i w:val="0"/>
                <w:sz w:val="12"/>
              </w:rPr>
              <w:t>Restrict rating to approved carrier states.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b w:val="0"/>
                <w:i w:val="0"/>
                <w:sz w:val="12"/>
              </w:rPr>
              <w:t>LoanRules.cpp::EnforceCarrierCoverage</w:t>
            </w:r>
          </w:p>
        </w:tc>
        <w:tc>
          <w:tcPr>
            <w:tcW w:type="dxa" w:w="2424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sz w:val="12"/>
              </w:rPr>
              <w:t>code-grounded</w:t>
            </w:r>
          </w:p>
        </w:tc>
        <w:tc>
          <w:tcPr>
            <w:tcW w:type="dxa" w:w="2424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sz w:val="12"/>
              </w:rPr>
              <w:t>High</w:t>
            </w:r>
          </w:p>
        </w:tc>
        <w:tc>
          <w:tcPr>
            <w:tcW w:type="dxa" w:w="2424"/>
            <w:shd w:fill="1A7A4A"/>
            <w:vAlign w:val="top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2"/>
              </w:rPr>
              <w:t>Standard</w:t>
            </w:r>
          </w:p>
        </w:tc>
      </w:tr>
      <w:tr>
        <w:trPr>
          <w:cantSplit/>
        </w:trPr>
        <w:tc>
          <w:tcPr>
            <w:tcW w:type="dxa" w:w="2424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0C2554"/>
                <w:sz w:val="12"/>
              </w:rPr>
              <w:t>R-L-006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b w:val="0"/>
                <w:i w:val="0"/>
                <w:sz w:val="12"/>
              </w:rPr>
              <w:t>For KY state, execute ISO pre-call before rating submission.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b w:val="0"/>
                <w:i w:val="0"/>
                <w:sz w:val="12"/>
              </w:rPr>
              <w:t>RataBaseServiceAdapter.cpp::GetQuote</w:t>
            </w:r>
          </w:p>
        </w:tc>
        <w:tc>
          <w:tcPr>
            <w:tcW w:type="dxa" w:w="2424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sz w:val="12"/>
              </w:rPr>
              <w:t>code-grounded</w:t>
            </w:r>
          </w:p>
        </w:tc>
        <w:tc>
          <w:tcPr>
            <w:tcW w:type="dxa" w:w="2424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sz w:val="12"/>
              </w:rPr>
              <w:t>High</w:t>
            </w:r>
          </w:p>
        </w:tc>
        <w:tc>
          <w:tcPr>
            <w:tcW w:type="dxa" w:w="2424"/>
            <w:shd w:fill="1A7A4A"/>
            <w:vAlign w:val="top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2"/>
              </w:rPr>
              <w:t>Standard</w:t>
            </w:r>
          </w:p>
        </w:tc>
      </w:tr>
      <w:tr>
        <w:trPr>
          <w:cantSplit/>
        </w:trPr>
        <w:tc>
          <w:tcPr>
            <w:tcW w:type="dxa" w:w="2424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0C2554"/>
                <w:sz w:val="12"/>
              </w:rPr>
              <w:t>R-L-007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b w:val="0"/>
                <w:i w:val="0"/>
                <w:sz w:val="12"/>
              </w:rPr>
              <w:t>Reject quote requests when property value is non-positive.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b w:val="0"/>
                <w:i w:val="0"/>
                <w:sz w:val="12"/>
              </w:rPr>
              <w:t>RataBaseServiceAdapter.cpp::GetQuote</w:t>
            </w:r>
          </w:p>
        </w:tc>
        <w:tc>
          <w:tcPr>
            <w:tcW w:type="dxa" w:w="2424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sz w:val="12"/>
              </w:rPr>
              <w:t>code-grounded</w:t>
            </w:r>
          </w:p>
        </w:tc>
        <w:tc>
          <w:tcPr>
            <w:tcW w:type="dxa" w:w="2424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sz w:val="12"/>
              </w:rPr>
              <w:t>High</w:t>
            </w:r>
          </w:p>
        </w:tc>
        <w:tc>
          <w:tcPr>
            <w:tcW w:type="dxa" w:w="2424"/>
            <w:shd w:fill="1A7A4A"/>
            <w:vAlign w:val="top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2"/>
              </w:rPr>
              <w:t>Standard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b/>
          <w:i w:val="0"/>
          <w:color w:val="0C2554"/>
        </w:rPr>
        <w:t>Loan Maintenance — EDI Notification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  <w:gridCol w:w="2424"/>
        <w:gridCol w:w="2424"/>
      </w:tblGrid>
      <w:tr>
        <w:trPr>
          <w:tblHeader w:val="true"/>
          <w:cantSplit/>
        </w:trPr>
        <w:tc>
          <w:tcPr>
            <w:tcW w:type="dxa" w:w="2424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3"/>
              </w:rPr>
              <w:t>Rule ID</w:t>
            </w:r>
          </w:p>
        </w:tc>
        <w:tc>
          <w:tcPr>
            <w:tcW w:type="dxa" w:w="2424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3"/>
              </w:rPr>
              <w:t>Rule Statement</w:t>
            </w:r>
          </w:p>
        </w:tc>
        <w:tc>
          <w:tcPr>
            <w:tcW w:type="dxa" w:w="2424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3"/>
              </w:rPr>
              <w:t>Evidence (file::function)</w:t>
            </w:r>
          </w:p>
        </w:tc>
        <w:tc>
          <w:tcPr>
            <w:tcW w:type="dxa" w:w="2424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3"/>
              </w:rPr>
              <w:t>Grounding</w:t>
            </w:r>
          </w:p>
        </w:tc>
        <w:tc>
          <w:tcPr>
            <w:tcW w:type="dxa" w:w="2424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3"/>
              </w:rPr>
              <w:t>Confidence</w:t>
            </w:r>
          </w:p>
        </w:tc>
        <w:tc>
          <w:tcPr>
            <w:tcW w:type="dxa" w:w="2424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3"/>
              </w:rPr>
              <w:t>Review Priority</w:t>
            </w:r>
          </w:p>
        </w:tc>
      </w:tr>
      <w:tr>
        <w:trPr>
          <w:cantSplit/>
        </w:trPr>
        <w:tc>
          <w:tcPr>
            <w:tcW w:type="dxa" w:w="2424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0C2554"/>
                <w:sz w:val="12"/>
              </w:rPr>
              <w:t>R-L-008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b w:val="0"/>
                <w:i w:val="0"/>
                <w:sz w:val="12"/>
              </w:rPr>
              <w:t>Require EDI_FLAG Y for 14E dispatch eligibility.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b w:val="0"/>
                <w:i w:val="0"/>
                <w:sz w:val="12"/>
              </w:rPr>
              <w:t>LoanRules.cpp::EnforceEdiEligibility</w:t>
            </w:r>
          </w:p>
        </w:tc>
        <w:tc>
          <w:tcPr>
            <w:tcW w:type="dxa" w:w="2424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sz w:val="12"/>
              </w:rPr>
              <w:t>code-grounded</w:t>
            </w:r>
          </w:p>
        </w:tc>
        <w:tc>
          <w:tcPr>
            <w:tcW w:type="dxa" w:w="2424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sz w:val="12"/>
              </w:rPr>
              <w:t>High</w:t>
            </w:r>
          </w:p>
        </w:tc>
        <w:tc>
          <w:tcPr>
            <w:tcW w:type="dxa" w:w="2424"/>
            <w:shd w:fill="1A7A4A"/>
            <w:vAlign w:val="top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2"/>
              </w:rPr>
              <w:t>Standard</w:t>
            </w:r>
          </w:p>
        </w:tc>
      </w:tr>
      <w:tr>
        <w:trPr>
          <w:cantSplit/>
        </w:trPr>
        <w:tc>
          <w:tcPr>
            <w:tcW w:type="dxa" w:w="2424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0C2554"/>
                <w:sz w:val="12"/>
              </w:rPr>
              <w:t>R-L-009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b w:val="0"/>
                <w:i w:val="0"/>
                <w:sz w:val="12"/>
              </w:rPr>
              <w:t>Suppress 14E when cycle type is INSTANT_ISSUE.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b w:val="0"/>
                <w:i w:val="0"/>
                <w:sz w:val="12"/>
              </w:rPr>
              <w:t>LoanRules.cpp::EnforceEdiEligibility</w:t>
            </w:r>
          </w:p>
        </w:tc>
        <w:tc>
          <w:tcPr>
            <w:tcW w:type="dxa" w:w="2424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sz w:val="12"/>
              </w:rPr>
              <w:t>code-grounded</w:t>
            </w:r>
          </w:p>
        </w:tc>
        <w:tc>
          <w:tcPr>
            <w:tcW w:type="dxa" w:w="2424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sz w:val="12"/>
              </w:rPr>
              <w:t>High</w:t>
            </w:r>
          </w:p>
        </w:tc>
        <w:tc>
          <w:tcPr>
            <w:tcW w:type="dxa" w:w="2424"/>
            <w:shd w:fill="1A7A4A"/>
            <w:vAlign w:val="top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2"/>
              </w:rPr>
              <w:t>Standard</w:t>
            </w:r>
          </w:p>
        </w:tc>
      </w:tr>
      <w:tr>
        <w:trPr>
          <w:cantSplit/>
        </w:trPr>
        <w:tc>
          <w:tcPr>
            <w:tcW w:type="dxa" w:w="2424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0C2554"/>
                <w:sz w:val="12"/>
              </w:rPr>
              <w:t>R-L-010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b w:val="0"/>
                <w:i w:val="0"/>
                <w:sz w:val="12"/>
              </w:rPr>
              <w:t>Require form ID membership in lender target registration set.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b w:val="0"/>
                <w:i w:val="0"/>
                <w:sz w:val="12"/>
              </w:rPr>
              <w:t>LoanRules.cpp::EnforceEdiEligibility</w:t>
            </w:r>
          </w:p>
        </w:tc>
        <w:tc>
          <w:tcPr>
            <w:tcW w:type="dxa" w:w="2424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sz w:val="12"/>
              </w:rPr>
              <w:t>code-grounded</w:t>
            </w:r>
          </w:p>
        </w:tc>
        <w:tc>
          <w:tcPr>
            <w:tcW w:type="dxa" w:w="2424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sz w:val="12"/>
              </w:rPr>
              <w:t>High</w:t>
            </w:r>
          </w:p>
        </w:tc>
        <w:tc>
          <w:tcPr>
            <w:tcW w:type="dxa" w:w="2424"/>
            <w:shd w:fill="1A7A4A"/>
            <w:vAlign w:val="top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2"/>
              </w:rPr>
              <w:t>Standard</w:t>
            </w:r>
          </w:p>
        </w:tc>
      </w:tr>
      <w:tr>
        <w:trPr>
          <w:cantSplit/>
        </w:trPr>
        <w:tc>
          <w:tcPr>
            <w:tcW w:type="dxa" w:w="2424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0C2554"/>
                <w:sz w:val="12"/>
              </w:rPr>
              <w:t>R-L-011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b w:val="0"/>
                <w:i w:val="0"/>
                <w:sz w:val="12"/>
              </w:rPr>
              <w:t>Select BK fixed-width vs SSP delimited format by FCI prefix.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b w:val="0"/>
                <w:i w:val="0"/>
                <w:sz w:val="12"/>
              </w:rPr>
              <w:t>EDINotificationWriter.cpp::Write14ERecord</w:t>
            </w:r>
          </w:p>
        </w:tc>
        <w:tc>
          <w:tcPr>
            <w:tcW w:type="dxa" w:w="2424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sz w:val="12"/>
              </w:rPr>
              <w:t>code-grounded</w:t>
            </w:r>
          </w:p>
        </w:tc>
        <w:tc>
          <w:tcPr>
            <w:tcW w:type="dxa" w:w="2424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sz w:val="12"/>
              </w:rPr>
              <w:t>High</w:t>
            </w:r>
          </w:p>
        </w:tc>
        <w:tc>
          <w:tcPr>
            <w:tcW w:type="dxa" w:w="2424"/>
            <w:shd w:fill="1A7A4A"/>
            <w:vAlign w:val="top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2"/>
              </w:rPr>
              <w:t>Standard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b/>
          <w:i w:val="0"/>
          <w:color w:val="0C2554"/>
        </w:rPr>
        <w:t>Loan Maintenance — Audit Trail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  <w:gridCol w:w="2424"/>
        <w:gridCol w:w="2424"/>
      </w:tblGrid>
      <w:tr>
        <w:trPr>
          <w:tblHeader w:val="true"/>
          <w:cantSplit/>
        </w:trPr>
        <w:tc>
          <w:tcPr>
            <w:tcW w:type="dxa" w:w="2424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3"/>
              </w:rPr>
              <w:t>Rule ID</w:t>
            </w:r>
          </w:p>
        </w:tc>
        <w:tc>
          <w:tcPr>
            <w:tcW w:type="dxa" w:w="2424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3"/>
              </w:rPr>
              <w:t>Rule Statement</w:t>
            </w:r>
          </w:p>
        </w:tc>
        <w:tc>
          <w:tcPr>
            <w:tcW w:type="dxa" w:w="2424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3"/>
              </w:rPr>
              <w:t>Evidence (file::function)</w:t>
            </w:r>
          </w:p>
        </w:tc>
        <w:tc>
          <w:tcPr>
            <w:tcW w:type="dxa" w:w="2424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3"/>
              </w:rPr>
              <w:t>Grounding</w:t>
            </w:r>
          </w:p>
        </w:tc>
        <w:tc>
          <w:tcPr>
            <w:tcW w:type="dxa" w:w="2424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3"/>
              </w:rPr>
              <w:t>Confidence</w:t>
            </w:r>
          </w:p>
        </w:tc>
        <w:tc>
          <w:tcPr>
            <w:tcW w:type="dxa" w:w="2424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3"/>
              </w:rPr>
              <w:t>Review Priority</w:t>
            </w:r>
          </w:p>
        </w:tc>
      </w:tr>
      <w:tr>
        <w:trPr>
          <w:cantSplit/>
        </w:trPr>
        <w:tc>
          <w:tcPr>
            <w:tcW w:type="dxa" w:w="2424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0C2554"/>
                <w:sz w:val="12"/>
              </w:rPr>
              <w:t>R-L-012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b w:val="0"/>
                <w:i w:val="0"/>
                <w:sz w:val="12"/>
              </w:rPr>
              <w:t>Build and include loan audit message payload in each 14E dispatch.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b w:val="0"/>
                <w:i w:val="0"/>
                <w:sz w:val="12"/>
              </w:rPr>
              <w:t>EDINotificationWriter.cpp::Write14ERecord; LoanRules.cpp::BuildLoanAuditMessages</w:t>
            </w:r>
          </w:p>
        </w:tc>
        <w:tc>
          <w:tcPr>
            <w:tcW w:type="dxa" w:w="2424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sz w:val="12"/>
              </w:rPr>
              <w:t>code-grounded</w:t>
            </w:r>
          </w:p>
        </w:tc>
        <w:tc>
          <w:tcPr>
            <w:tcW w:type="dxa" w:w="2424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sz w:val="12"/>
              </w:rPr>
              <w:t>High</w:t>
            </w:r>
          </w:p>
        </w:tc>
        <w:tc>
          <w:tcPr>
            <w:tcW w:type="dxa" w:w="2424"/>
            <w:shd w:fill="1A7A4A"/>
            <w:vAlign w:val="top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2"/>
              </w:rPr>
              <w:t>Standard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b/>
          <w:i w:val="0"/>
          <w:color w:val="0C2554"/>
        </w:rPr>
        <w:t>Loan Maintenance — Add Loan Validation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  <w:gridCol w:w="2424"/>
        <w:gridCol w:w="2424"/>
      </w:tblGrid>
      <w:tr>
        <w:trPr>
          <w:tblHeader w:val="true"/>
          <w:cantSplit/>
        </w:trPr>
        <w:tc>
          <w:tcPr>
            <w:tcW w:type="dxa" w:w="2424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3"/>
              </w:rPr>
              <w:t>Rule ID</w:t>
            </w:r>
          </w:p>
        </w:tc>
        <w:tc>
          <w:tcPr>
            <w:tcW w:type="dxa" w:w="2424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3"/>
              </w:rPr>
              <w:t>Rule Statement</w:t>
            </w:r>
          </w:p>
        </w:tc>
        <w:tc>
          <w:tcPr>
            <w:tcW w:type="dxa" w:w="2424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3"/>
              </w:rPr>
              <w:t>Evidence (file::function)</w:t>
            </w:r>
          </w:p>
        </w:tc>
        <w:tc>
          <w:tcPr>
            <w:tcW w:type="dxa" w:w="2424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3"/>
              </w:rPr>
              <w:t>Grounding</w:t>
            </w:r>
          </w:p>
        </w:tc>
        <w:tc>
          <w:tcPr>
            <w:tcW w:type="dxa" w:w="2424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3"/>
              </w:rPr>
              <w:t>Confidence</w:t>
            </w:r>
          </w:p>
        </w:tc>
        <w:tc>
          <w:tcPr>
            <w:tcW w:type="dxa" w:w="2424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3"/>
              </w:rPr>
              <w:t>Review Priority</w:t>
            </w:r>
          </w:p>
        </w:tc>
      </w:tr>
      <w:tr>
        <w:trPr>
          <w:cantSplit/>
        </w:trPr>
        <w:tc>
          <w:tcPr>
            <w:tcW w:type="dxa" w:w="2424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0C2554"/>
                <w:sz w:val="12"/>
              </w:rPr>
              <w:t>R-L-013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b w:val="0"/>
                <w:i w:val="0"/>
                <w:sz w:val="12"/>
              </w:rPr>
              <w:t>Require loan number and borrower name for add.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b w:val="0"/>
                <w:i w:val="0"/>
                <w:sz w:val="12"/>
              </w:rPr>
              <w:t>LoanRules.cpp::ValidateLoanForAdd; TKA901.cbl::2000-VALIDATE-ADD</w:t>
            </w:r>
          </w:p>
        </w:tc>
        <w:tc>
          <w:tcPr>
            <w:tcW w:type="dxa" w:w="2424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sz w:val="12"/>
              </w:rPr>
              <w:t>code-grounded</w:t>
            </w:r>
          </w:p>
        </w:tc>
        <w:tc>
          <w:tcPr>
            <w:tcW w:type="dxa" w:w="2424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sz w:val="12"/>
              </w:rPr>
              <w:t>High</w:t>
            </w:r>
          </w:p>
        </w:tc>
        <w:tc>
          <w:tcPr>
            <w:tcW w:type="dxa" w:w="2424"/>
            <w:shd w:fill="1A7A4A"/>
            <w:vAlign w:val="top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2"/>
              </w:rPr>
              <w:t>Standard</w:t>
            </w:r>
          </w:p>
        </w:tc>
      </w:tr>
      <w:tr>
        <w:trPr>
          <w:cantSplit/>
        </w:trPr>
        <w:tc>
          <w:tcPr>
            <w:tcW w:type="dxa" w:w="2424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0C2554"/>
                <w:sz w:val="12"/>
              </w:rPr>
              <w:t>R-L-014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b w:val="0"/>
                <w:i w:val="0"/>
                <w:sz w:val="12"/>
              </w:rPr>
              <w:t>Enforce add-path loan number format.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b w:val="0"/>
                <w:i w:val="0"/>
                <w:sz w:val="12"/>
              </w:rPr>
              <w:t>LoanRules.cpp::ValidateLoanForAdd</w:t>
            </w:r>
          </w:p>
        </w:tc>
        <w:tc>
          <w:tcPr>
            <w:tcW w:type="dxa" w:w="2424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sz w:val="12"/>
              </w:rPr>
              <w:t>code-grounded</w:t>
            </w:r>
          </w:p>
        </w:tc>
        <w:tc>
          <w:tcPr>
            <w:tcW w:type="dxa" w:w="2424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sz w:val="12"/>
              </w:rPr>
              <w:t>High</w:t>
            </w:r>
          </w:p>
        </w:tc>
        <w:tc>
          <w:tcPr>
            <w:tcW w:type="dxa" w:w="2424"/>
            <w:shd w:fill="1A7A4A"/>
            <w:vAlign w:val="top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2"/>
              </w:rPr>
              <w:t>Standard</w:t>
            </w:r>
          </w:p>
        </w:tc>
      </w:tr>
      <w:tr>
        <w:trPr>
          <w:cantSplit/>
        </w:trPr>
        <w:tc>
          <w:tcPr>
            <w:tcW w:type="dxa" w:w="2424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0C2554"/>
                <w:sz w:val="12"/>
              </w:rPr>
              <w:t>R-L-015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b w:val="0"/>
                <w:i w:val="0"/>
                <w:sz w:val="12"/>
              </w:rPr>
              <w:t>Require positive property value for add.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b w:val="0"/>
                <w:i w:val="0"/>
                <w:sz w:val="12"/>
              </w:rPr>
              <w:t>LoanRules.cpp::ValidateLoanForAdd</w:t>
            </w:r>
          </w:p>
        </w:tc>
        <w:tc>
          <w:tcPr>
            <w:tcW w:type="dxa" w:w="2424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sz w:val="12"/>
              </w:rPr>
              <w:t>code-grounded</w:t>
            </w:r>
          </w:p>
        </w:tc>
        <w:tc>
          <w:tcPr>
            <w:tcW w:type="dxa" w:w="2424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sz w:val="12"/>
              </w:rPr>
              <w:t>High</w:t>
            </w:r>
          </w:p>
        </w:tc>
        <w:tc>
          <w:tcPr>
            <w:tcW w:type="dxa" w:w="2424"/>
            <w:shd w:fill="1A7A4A"/>
            <w:vAlign w:val="top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2"/>
              </w:rPr>
              <w:t>Standard</w:t>
            </w:r>
          </w:p>
        </w:tc>
      </w:tr>
      <w:tr>
        <w:trPr>
          <w:cantSplit/>
        </w:trPr>
        <w:tc>
          <w:tcPr>
            <w:tcW w:type="dxa" w:w="2424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0C2554"/>
                <w:sz w:val="12"/>
              </w:rPr>
              <w:t>R-L-016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b w:val="0"/>
                <w:i w:val="0"/>
                <w:sz w:val="12"/>
              </w:rPr>
              <w:t>Require property address for add.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b w:val="0"/>
                <w:i w:val="0"/>
                <w:sz w:val="12"/>
              </w:rPr>
              <w:t>LoanRules.cpp::ValidateLoanForAdd</w:t>
            </w:r>
          </w:p>
        </w:tc>
        <w:tc>
          <w:tcPr>
            <w:tcW w:type="dxa" w:w="2424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sz w:val="12"/>
              </w:rPr>
              <w:t>code-grounded</w:t>
            </w:r>
          </w:p>
        </w:tc>
        <w:tc>
          <w:tcPr>
            <w:tcW w:type="dxa" w:w="2424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sz w:val="12"/>
              </w:rPr>
              <w:t>High</w:t>
            </w:r>
          </w:p>
        </w:tc>
        <w:tc>
          <w:tcPr>
            <w:tcW w:type="dxa" w:w="2424"/>
            <w:shd w:fill="1A7A4A"/>
            <w:vAlign w:val="top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2"/>
              </w:rPr>
              <w:t>Standard</w:t>
            </w:r>
          </w:p>
        </w:tc>
      </w:tr>
      <w:tr>
        <w:trPr>
          <w:cantSplit/>
        </w:trPr>
        <w:tc>
          <w:tcPr>
            <w:tcW w:type="dxa" w:w="2424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0C2554"/>
                <w:sz w:val="12"/>
              </w:rPr>
              <w:t>R-L-017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b w:val="0"/>
                <w:i w:val="0"/>
                <w:sz w:val="12"/>
              </w:rPr>
              <w:t>Require initial status ACTIVE for add.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b w:val="0"/>
                <w:i w:val="0"/>
                <w:sz w:val="12"/>
              </w:rPr>
              <w:t>LoanRules.cpp::ValidateLoanForAdd</w:t>
            </w:r>
          </w:p>
        </w:tc>
        <w:tc>
          <w:tcPr>
            <w:tcW w:type="dxa" w:w="2424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sz w:val="12"/>
              </w:rPr>
              <w:t>code-grounded</w:t>
            </w:r>
          </w:p>
        </w:tc>
        <w:tc>
          <w:tcPr>
            <w:tcW w:type="dxa" w:w="2424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sz w:val="12"/>
              </w:rPr>
              <w:t>High</w:t>
            </w:r>
          </w:p>
        </w:tc>
        <w:tc>
          <w:tcPr>
            <w:tcW w:type="dxa" w:w="2424"/>
            <w:shd w:fill="1A7A4A"/>
            <w:vAlign w:val="top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2"/>
              </w:rPr>
              <w:t>Standard</w:t>
            </w:r>
          </w:p>
        </w:tc>
      </w:tr>
      <w:tr>
        <w:trPr>
          <w:cantSplit/>
        </w:trPr>
        <w:tc>
          <w:tcPr>
            <w:tcW w:type="dxa" w:w="2424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0C2554"/>
                <w:sz w:val="12"/>
              </w:rPr>
              <w:t>R-L-018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b w:val="0"/>
                <w:i w:val="0"/>
                <w:sz w:val="12"/>
              </w:rPr>
              <w:t>Require UPB greater than zero for add.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b w:val="0"/>
                <w:i w:val="0"/>
                <w:sz w:val="12"/>
              </w:rPr>
              <w:t>LoanRules.cpp::ValidateLoanForAdd</w:t>
            </w:r>
          </w:p>
        </w:tc>
        <w:tc>
          <w:tcPr>
            <w:tcW w:type="dxa" w:w="2424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sz w:val="12"/>
              </w:rPr>
              <w:t>code-grounded</w:t>
            </w:r>
          </w:p>
        </w:tc>
        <w:tc>
          <w:tcPr>
            <w:tcW w:type="dxa" w:w="2424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sz w:val="12"/>
              </w:rPr>
              <w:t>High</w:t>
            </w:r>
          </w:p>
        </w:tc>
        <w:tc>
          <w:tcPr>
            <w:tcW w:type="dxa" w:w="2424"/>
            <w:shd w:fill="1A7A4A"/>
            <w:vAlign w:val="top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2"/>
              </w:rPr>
              <w:t>Standard</w:t>
            </w:r>
          </w:p>
        </w:tc>
      </w:tr>
      <w:tr>
        <w:trPr>
          <w:cantSplit/>
        </w:trPr>
        <w:tc>
          <w:tcPr>
            <w:tcW w:type="dxa" w:w="2424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0C2554"/>
                <w:sz w:val="12"/>
              </w:rPr>
              <w:t>R-L-019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b w:val="0"/>
                <w:i w:val="0"/>
                <w:sz w:val="12"/>
              </w:rPr>
              <w:t>Restrict property type domain to RESIDENTIAL/COMMERCIAL.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b w:val="0"/>
                <w:i w:val="0"/>
                <w:sz w:val="12"/>
              </w:rPr>
              <w:t>LoanRules.cpp::IsValidPropertyType</w:t>
            </w:r>
          </w:p>
        </w:tc>
        <w:tc>
          <w:tcPr>
            <w:tcW w:type="dxa" w:w="2424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sz w:val="12"/>
              </w:rPr>
              <w:t>code-grounded</w:t>
            </w:r>
          </w:p>
        </w:tc>
        <w:tc>
          <w:tcPr>
            <w:tcW w:type="dxa" w:w="2424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sz w:val="12"/>
              </w:rPr>
              <w:t>High</w:t>
            </w:r>
          </w:p>
        </w:tc>
        <w:tc>
          <w:tcPr>
            <w:tcW w:type="dxa" w:w="2424"/>
            <w:shd w:fill="1A7A4A"/>
            <w:vAlign w:val="top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2"/>
              </w:rPr>
              <w:t>Standard</w:t>
            </w:r>
          </w:p>
        </w:tc>
      </w:tr>
      <w:tr>
        <w:trPr>
          <w:cantSplit/>
        </w:trPr>
        <w:tc>
          <w:tcPr>
            <w:tcW w:type="dxa" w:w="2424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0C2554"/>
                <w:sz w:val="12"/>
              </w:rPr>
              <w:t>R-L-020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b w:val="0"/>
                <w:i w:val="0"/>
                <w:sz w:val="12"/>
              </w:rPr>
              <w:t>Enforce uniqueness through duplicate-key failure on insert.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b w:val="0"/>
                <w:i w:val="0"/>
                <w:sz w:val="12"/>
              </w:rPr>
              <w:t>TKA901.cbl::3000-INSERT-LOAN</w:t>
            </w:r>
          </w:p>
        </w:tc>
        <w:tc>
          <w:tcPr>
            <w:tcW w:type="dxa" w:w="2424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sz w:val="12"/>
              </w:rPr>
              <w:t>code-grounded</w:t>
            </w:r>
          </w:p>
        </w:tc>
        <w:tc>
          <w:tcPr>
            <w:tcW w:type="dxa" w:w="2424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sz w:val="12"/>
              </w:rPr>
              <w:t>High</w:t>
            </w:r>
          </w:p>
        </w:tc>
        <w:tc>
          <w:tcPr>
            <w:tcW w:type="dxa" w:w="2424"/>
            <w:shd w:fill="1A7A4A"/>
            <w:vAlign w:val="top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2"/>
              </w:rPr>
              <w:t>Standard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b/>
          <w:i w:val="0"/>
          <w:color w:val="0C2554"/>
        </w:rPr>
        <w:t>Loan Maintenance — Modify Loan Validation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  <w:gridCol w:w="2424"/>
        <w:gridCol w:w="2424"/>
      </w:tblGrid>
      <w:tr>
        <w:trPr>
          <w:tblHeader w:val="true"/>
          <w:cantSplit/>
        </w:trPr>
        <w:tc>
          <w:tcPr>
            <w:tcW w:type="dxa" w:w="2424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3"/>
              </w:rPr>
              <w:t>Rule ID</w:t>
            </w:r>
          </w:p>
        </w:tc>
        <w:tc>
          <w:tcPr>
            <w:tcW w:type="dxa" w:w="2424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3"/>
              </w:rPr>
              <w:t>Rule Statement</w:t>
            </w:r>
          </w:p>
        </w:tc>
        <w:tc>
          <w:tcPr>
            <w:tcW w:type="dxa" w:w="2424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3"/>
              </w:rPr>
              <w:t>Evidence (file::function)</w:t>
            </w:r>
          </w:p>
        </w:tc>
        <w:tc>
          <w:tcPr>
            <w:tcW w:type="dxa" w:w="2424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3"/>
              </w:rPr>
              <w:t>Grounding</w:t>
            </w:r>
          </w:p>
        </w:tc>
        <w:tc>
          <w:tcPr>
            <w:tcW w:type="dxa" w:w="2424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3"/>
              </w:rPr>
              <w:t>Confidence</w:t>
            </w:r>
          </w:p>
        </w:tc>
        <w:tc>
          <w:tcPr>
            <w:tcW w:type="dxa" w:w="2424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3"/>
              </w:rPr>
              <w:t>Review Priority</w:t>
            </w:r>
          </w:p>
        </w:tc>
      </w:tr>
      <w:tr>
        <w:trPr>
          <w:cantSplit/>
        </w:trPr>
        <w:tc>
          <w:tcPr>
            <w:tcW w:type="dxa" w:w="2424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0C2554"/>
                <w:sz w:val="12"/>
              </w:rPr>
              <w:t>R-L-021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b w:val="0"/>
                <w:i w:val="0"/>
                <w:sz w:val="12"/>
              </w:rPr>
              <w:t>Reject loan-number change after creation.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b w:val="0"/>
                <w:i w:val="0"/>
                <w:sz w:val="12"/>
              </w:rPr>
              <w:t>LoanRules.cpp::ValidateLoanForModify</w:t>
            </w:r>
          </w:p>
        </w:tc>
        <w:tc>
          <w:tcPr>
            <w:tcW w:type="dxa" w:w="2424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sz w:val="12"/>
              </w:rPr>
              <w:t>code-grounded</w:t>
            </w:r>
          </w:p>
        </w:tc>
        <w:tc>
          <w:tcPr>
            <w:tcW w:type="dxa" w:w="2424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sz w:val="12"/>
              </w:rPr>
              <w:t>High</w:t>
            </w:r>
          </w:p>
        </w:tc>
        <w:tc>
          <w:tcPr>
            <w:tcW w:type="dxa" w:w="2424"/>
            <w:shd w:fill="1A7A4A"/>
            <w:vAlign w:val="top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2"/>
              </w:rPr>
              <w:t>Standard</w:t>
            </w:r>
          </w:p>
        </w:tc>
      </w:tr>
      <w:tr>
        <w:trPr>
          <w:cantSplit/>
        </w:trPr>
        <w:tc>
          <w:tcPr>
            <w:tcW w:type="dxa" w:w="2424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0C2554"/>
                <w:sz w:val="12"/>
              </w:rPr>
              <w:t>R-L-022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b w:val="0"/>
                <w:i w:val="0"/>
                <w:sz w:val="12"/>
              </w:rPr>
              <w:t>Permit only ACTIVE-&gt;DELINQUENT-&gt;CLOSED transitions.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b w:val="0"/>
                <w:i w:val="0"/>
                <w:sz w:val="12"/>
              </w:rPr>
              <w:t>LoanRules.cpp::IsLoanStatusTransitionValid; TKA902.cbl::3000-VALIDATE-MODIFY</w:t>
            </w:r>
          </w:p>
        </w:tc>
        <w:tc>
          <w:tcPr>
            <w:tcW w:type="dxa" w:w="2424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sz w:val="12"/>
              </w:rPr>
              <w:t>code-grounded</w:t>
            </w:r>
          </w:p>
        </w:tc>
        <w:tc>
          <w:tcPr>
            <w:tcW w:type="dxa" w:w="2424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sz w:val="12"/>
              </w:rPr>
              <w:t>High</w:t>
            </w:r>
          </w:p>
        </w:tc>
        <w:tc>
          <w:tcPr>
            <w:tcW w:type="dxa" w:w="2424"/>
            <w:shd w:fill="1A7A4A"/>
            <w:vAlign w:val="top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2"/>
              </w:rPr>
              <w:t>Standard</w:t>
            </w:r>
          </w:p>
        </w:tc>
      </w:tr>
      <w:tr>
        <w:trPr>
          <w:cantSplit/>
        </w:trPr>
        <w:tc>
          <w:tcPr>
            <w:tcW w:type="dxa" w:w="2424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0C2554"/>
                <w:sz w:val="12"/>
              </w:rPr>
              <w:t>R-L-023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b w:val="0"/>
                <w:i w:val="0"/>
                <w:sz w:val="12"/>
              </w:rPr>
              <w:t>Reject UPB increase on modify.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b w:val="0"/>
                <w:i w:val="0"/>
                <w:sz w:val="12"/>
              </w:rPr>
              <w:t>LoanRules.cpp::ValidateLoanForModify</w:t>
            </w:r>
          </w:p>
        </w:tc>
        <w:tc>
          <w:tcPr>
            <w:tcW w:type="dxa" w:w="2424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sz w:val="12"/>
              </w:rPr>
              <w:t>code-grounded</w:t>
            </w:r>
          </w:p>
        </w:tc>
        <w:tc>
          <w:tcPr>
            <w:tcW w:type="dxa" w:w="2424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sz w:val="12"/>
              </w:rPr>
              <w:t>High</w:t>
            </w:r>
          </w:p>
        </w:tc>
        <w:tc>
          <w:tcPr>
            <w:tcW w:type="dxa" w:w="2424"/>
            <w:shd w:fill="1A7A4A"/>
            <w:vAlign w:val="top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2"/>
              </w:rPr>
              <w:t>Standard</w:t>
            </w:r>
          </w:p>
        </w:tc>
      </w:tr>
      <w:tr>
        <w:trPr>
          <w:cantSplit/>
        </w:trPr>
        <w:tc>
          <w:tcPr>
            <w:tcW w:type="dxa" w:w="2424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0C2554"/>
                <w:sz w:val="12"/>
              </w:rPr>
              <w:t>R-L-024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b w:val="0"/>
                <w:i w:val="0"/>
                <w:sz w:val="12"/>
              </w:rPr>
              <w:t>Reject clearing property address during modify.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b w:val="0"/>
                <w:i w:val="0"/>
                <w:sz w:val="12"/>
              </w:rPr>
              <w:t>LoanRules.cpp::ValidateLoanForModify</w:t>
            </w:r>
          </w:p>
        </w:tc>
        <w:tc>
          <w:tcPr>
            <w:tcW w:type="dxa" w:w="2424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sz w:val="12"/>
              </w:rPr>
              <w:t>code-grounded</w:t>
            </w:r>
          </w:p>
        </w:tc>
        <w:tc>
          <w:tcPr>
            <w:tcW w:type="dxa" w:w="2424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sz w:val="12"/>
              </w:rPr>
              <w:t>High</w:t>
            </w:r>
          </w:p>
        </w:tc>
        <w:tc>
          <w:tcPr>
            <w:tcW w:type="dxa" w:w="2424"/>
            <w:shd w:fill="1A7A4A"/>
            <w:vAlign w:val="top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2"/>
              </w:rPr>
              <w:t>Standard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b/>
          <w:i w:val="0"/>
          <w:color w:val="0C2554"/>
        </w:rPr>
        <w:t>Loan Maintenance — Integration Gateway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  <w:gridCol w:w="2424"/>
        <w:gridCol w:w="2424"/>
      </w:tblGrid>
      <w:tr>
        <w:trPr>
          <w:tblHeader w:val="true"/>
          <w:cantSplit/>
        </w:trPr>
        <w:tc>
          <w:tcPr>
            <w:tcW w:type="dxa" w:w="2424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3"/>
              </w:rPr>
              <w:t>Rule ID</w:t>
            </w:r>
          </w:p>
        </w:tc>
        <w:tc>
          <w:tcPr>
            <w:tcW w:type="dxa" w:w="2424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3"/>
              </w:rPr>
              <w:t>Rule Statement</w:t>
            </w:r>
          </w:p>
        </w:tc>
        <w:tc>
          <w:tcPr>
            <w:tcW w:type="dxa" w:w="2424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3"/>
              </w:rPr>
              <w:t>Evidence (file::function)</w:t>
            </w:r>
          </w:p>
        </w:tc>
        <w:tc>
          <w:tcPr>
            <w:tcW w:type="dxa" w:w="2424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3"/>
              </w:rPr>
              <w:t>Grounding</w:t>
            </w:r>
          </w:p>
        </w:tc>
        <w:tc>
          <w:tcPr>
            <w:tcW w:type="dxa" w:w="2424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3"/>
              </w:rPr>
              <w:t>Confidence</w:t>
            </w:r>
          </w:p>
        </w:tc>
        <w:tc>
          <w:tcPr>
            <w:tcW w:type="dxa" w:w="2424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3"/>
              </w:rPr>
              <w:t>Review Priority</w:t>
            </w:r>
          </w:p>
        </w:tc>
      </w:tr>
      <w:tr>
        <w:trPr>
          <w:cantSplit/>
        </w:trPr>
        <w:tc>
          <w:tcPr>
            <w:tcW w:type="dxa" w:w="2424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0C2554"/>
                <w:sz w:val="12"/>
              </w:rPr>
              <w:t>R-L-025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b w:val="0"/>
                <w:i w:val="0"/>
                <w:sz w:val="12"/>
              </w:rPr>
              <w:t>Block dispatch when mnemonic is not resolved in routing table.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b w:val="0"/>
                <w:i w:val="0"/>
                <w:sz w:val="12"/>
              </w:rPr>
              <w:t>TMELibAdapter.cpp::SendMessage; TMELibAdapter.cpp::LoadRoutingTable</w:t>
            </w:r>
          </w:p>
        </w:tc>
        <w:tc>
          <w:tcPr>
            <w:tcW w:type="dxa" w:w="2424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sz w:val="12"/>
              </w:rPr>
              <w:t>code-grounded</w:t>
            </w:r>
          </w:p>
        </w:tc>
        <w:tc>
          <w:tcPr>
            <w:tcW w:type="dxa" w:w="2424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sz w:val="12"/>
              </w:rPr>
              <w:t>High</w:t>
            </w:r>
          </w:p>
        </w:tc>
        <w:tc>
          <w:tcPr>
            <w:tcW w:type="dxa" w:w="2424"/>
            <w:shd w:fill="1A7A4A"/>
            <w:vAlign w:val="top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2"/>
              </w:rPr>
              <w:t>Standard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/>
          <w:i w:val="0"/>
          <w:color w:val="0C2554"/>
        </w:rPr>
        <w:t>6. Dependency and Flow Analysis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rPr>
          <w:tblHeader w:val="true"/>
          <w:cantSplit/>
        </w:trPr>
        <w:tc>
          <w:tcPr>
            <w:tcW w:type="dxa" w:w="2909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Action</w:t>
            </w:r>
          </w:p>
        </w:tc>
        <w:tc>
          <w:tcPr>
            <w:tcW w:type="dxa" w:w="2909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Handler</w:t>
            </w:r>
          </w:p>
        </w:tc>
        <w:tc>
          <w:tcPr>
            <w:tcW w:type="dxa" w:w="2909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Service/Rule Layer</w:t>
            </w:r>
          </w:p>
        </w:tc>
        <w:tc>
          <w:tcPr>
            <w:tcW w:type="dxa" w:w="2909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Repository/Data</w:t>
            </w:r>
          </w:p>
        </w:tc>
        <w:tc>
          <w:tcPr>
            <w:tcW w:type="dxa" w:w="2909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Gateway/External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Search Loan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CLoanSearchDlg::OnBnClickedSearch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CLoanRules::ValidateLoanForSearch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TKA900 -&gt; LSS_LOAN_T + LSS_CYCLE_STEP_T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CTMELibAdapter / LOAN_SEARCH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Submit Add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CLoanAddDlg::OnBnClickedAdd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CLoanRules::ValidateLoanForAdd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TKA901 -&gt; LSS_LOAN_T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CTMELibAdapter / ADD_LOAN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Submit Modify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CLoanModifyDlg::OnBnClickedModify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CLoanRules::ValidateLoanForModify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TKA902 fetch/update LSS_LOAN_T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CTMELibAdapter / MODIFY_LOAN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Process Quote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CLoanSearchDlg::ProcessLoanResult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RequiresQuote + carrier/KY checks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Cycle config context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KY_ISO_QUERY/AIP930 + RataBase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Dispatch 14E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CLoanSearchDlg::ProcessLoanResult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EDI eligibility + audit + format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TKA920 outbound spool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CTMELibAdapter / 14E_NOTIFY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/>
          <w:i w:val="0"/>
          <w:color w:val="0C2554"/>
        </w:rPr>
        <w:t>7. Candidate API Estimation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  <w:gridCol w:w="2424"/>
        <w:gridCol w:w="2424"/>
      </w:tblGrid>
      <w:tr>
        <w:trPr>
          <w:tblHeader w:val="true"/>
          <w:cantSplit/>
        </w:trPr>
        <w:tc>
          <w:tcPr>
            <w:tcW w:type="dxa" w:w="2424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3"/>
              </w:rPr>
              <w:t>Action</w:t>
            </w:r>
          </w:p>
        </w:tc>
        <w:tc>
          <w:tcPr>
            <w:tcW w:type="dxa" w:w="2424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3"/>
              </w:rPr>
              <w:t>Candidate REST API</w:t>
            </w:r>
          </w:p>
        </w:tc>
        <w:tc>
          <w:tcPr>
            <w:tcW w:type="dxa" w:w="2424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3"/>
              </w:rPr>
              <w:t>HTTP method</w:t>
            </w:r>
          </w:p>
        </w:tc>
        <w:tc>
          <w:tcPr>
            <w:tcW w:type="dxa" w:w="2424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3"/>
              </w:rPr>
              <w:t>Service group</w:t>
            </w:r>
          </w:p>
        </w:tc>
        <w:tc>
          <w:tcPr>
            <w:tcW w:type="dxa" w:w="2424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3"/>
              </w:rPr>
              <w:t>Confidence</w:t>
            </w:r>
          </w:p>
        </w:tc>
        <w:tc>
          <w:tcPr>
            <w:tcW w:type="dxa" w:w="2424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3"/>
              </w:rPr>
              <w:t>Grounding</w:t>
            </w:r>
          </w:p>
        </w:tc>
      </w:tr>
      <w:tr>
        <w:trPr>
          <w:cantSplit/>
        </w:trPr>
        <w:tc>
          <w:tcPr>
            <w:tcW w:type="dxa" w:w="2424"/>
            <w:vAlign w:val="top"/>
          </w:tcPr>
          <w:p>
            <w:r/>
            <w:r>
              <w:rPr>
                <w:b w:val="0"/>
                <w:i w:val="0"/>
                <w:sz w:val="12"/>
              </w:rPr>
              <w:t>Search Loan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b w:val="0"/>
                <w:i w:val="0"/>
                <w:sz w:val="12"/>
              </w:rPr>
              <w:t>/api/loans/search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b w:val="0"/>
                <w:i w:val="0"/>
                <w:sz w:val="12"/>
              </w:rPr>
              <w:t>POST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b w:val="0"/>
                <w:i w:val="0"/>
                <w:sz w:val="12"/>
              </w:rPr>
              <w:t>LoanService</w:t>
            </w:r>
          </w:p>
        </w:tc>
        <w:tc>
          <w:tcPr>
            <w:tcW w:type="dxa" w:w="2424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sz w:val="12"/>
              </w:rPr>
              <w:t>High</w:t>
            </w:r>
          </w:p>
        </w:tc>
        <w:tc>
          <w:tcPr>
            <w:tcW w:type="dxa" w:w="2424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sz w:val="12"/>
              </w:rPr>
              <w:t>inferred (from code-grounded flows)</w:t>
            </w:r>
          </w:p>
        </w:tc>
      </w:tr>
      <w:tr>
        <w:trPr>
          <w:cantSplit/>
        </w:trPr>
        <w:tc>
          <w:tcPr>
            <w:tcW w:type="dxa" w:w="2424"/>
            <w:vAlign w:val="top"/>
          </w:tcPr>
          <w:p>
            <w:r/>
            <w:r>
              <w:rPr>
                <w:b w:val="0"/>
                <w:i w:val="0"/>
                <w:sz w:val="12"/>
              </w:rPr>
              <w:t>Add Loan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b w:val="0"/>
                <w:i w:val="0"/>
                <w:sz w:val="12"/>
              </w:rPr>
              <w:t>/api/loans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b w:val="0"/>
                <w:i w:val="0"/>
                <w:sz w:val="12"/>
              </w:rPr>
              <w:t>POST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b w:val="0"/>
                <w:i w:val="0"/>
                <w:sz w:val="12"/>
              </w:rPr>
              <w:t>LoanService</w:t>
            </w:r>
          </w:p>
        </w:tc>
        <w:tc>
          <w:tcPr>
            <w:tcW w:type="dxa" w:w="2424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sz w:val="12"/>
              </w:rPr>
              <w:t>High</w:t>
            </w:r>
          </w:p>
        </w:tc>
        <w:tc>
          <w:tcPr>
            <w:tcW w:type="dxa" w:w="2424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sz w:val="12"/>
              </w:rPr>
              <w:t>inferred</w:t>
            </w:r>
          </w:p>
        </w:tc>
      </w:tr>
      <w:tr>
        <w:trPr>
          <w:cantSplit/>
        </w:trPr>
        <w:tc>
          <w:tcPr>
            <w:tcW w:type="dxa" w:w="2424"/>
            <w:vAlign w:val="top"/>
          </w:tcPr>
          <w:p>
            <w:r/>
            <w:r>
              <w:rPr>
                <w:b w:val="0"/>
                <w:i w:val="0"/>
                <w:sz w:val="12"/>
              </w:rPr>
              <w:t>Modify Loan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b w:val="0"/>
                <w:i w:val="0"/>
                <w:sz w:val="12"/>
              </w:rPr>
              <w:t>/api/loans/{loanNum}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b w:val="0"/>
                <w:i w:val="0"/>
                <w:sz w:val="12"/>
              </w:rPr>
              <w:t>PUT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b w:val="0"/>
                <w:i w:val="0"/>
                <w:sz w:val="12"/>
              </w:rPr>
              <w:t>LoanService</w:t>
            </w:r>
          </w:p>
        </w:tc>
        <w:tc>
          <w:tcPr>
            <w:tcW w:type="dxa" w:w="2424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sz w:val="12"/>
              </w:rPr>
              <w:t>High</w:t>
            </w:r>
          </w:p>
        </w:tc>
        <w:tc>
          <w:tcPr>
            <w:tcW w:type="dxa" w:w="2424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sz w:val="12"/>
              </w:rPr>
              <w:t>inferred</w:t>
            </w:r>
          </w:p>
        </w:tc>
      </w:tr>
      <w:tr>
        <w:trPr>
          <w:cantSplit/>
        </w:trPr>
        <w:tc>
          <w:tcPr>
            <w:tcW w:type="dxa" w:w="2424"/>
            <w:vAlign w:val="top"/>
          </w:tcPr>
          <w:p>
            <w:r/>
            <w:r>
              <w:rPr>
                <w:b w:val="0"/>
                <w:i w:val="0"/>
                <w:sz w:val="12"/>
              </w:rPr>
              <w:t>Get Premium Quote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b w:val="0"/>
                <w:i w:val="0"/>
                <w:sz w:val="12"/>
              </w:rPr>
              <w:t>/api/quotes/rating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b w:val="0"/>
                <w:i w:val="0"/>
                <w:sz w:val="12"/>
              </w:rPr>
              <w:t>POST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b w:val="0"/>
                <w:i w:val="0"/>
                <w:sz w:val="12"/>
              </w:rPr>
              <w:t>RatingService</w:t>
            </w:r>
          </w:p>
        </w:tc>
        <w:tc>
          <w:tcPr>
            <w:tcW w:type="dxa" w:w="2424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sz w:val="12"/>
              </w:rPr>
              <w:t>High</w:t>
            </w:r>
          </w:p>
        </w:tc>
        <w:tc>
          <w:tcPr>
            <w:tcW w:type="dxa" w:w="2424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sz w:val="12"/>
              </w:rPr>
              <w:t>inferred</w:t>
            </w:r>
          </w:p>
        </w:tc>
      </w:tr>
      <w:tr>
        <w:trPr>
          <w:cantSplit/>
        </w:trPr>
        <w:tc>
          <w:tcPr>
            <w:tcW w:type="dxa" w:w="2424"/>
            <w:vAlign w:val="top"/>
          </w:tcPr>
          <w:p>
            <w:r/>
            <w:r>
              <w:rPr>
                <w:b w:val="0"/>
                <w:i w:val="0"/>
                <w:sz w:val="12"/>
              </w:rPr>
              <w:t>Dispatch 14E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b w:val="0"/>
                <w:i w:val="0"/>
                <w:sz w:val="12"/>
              </w:rPr>
              <w:t>/api/edi/notifications/14e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b w:val="0"/>
                <w:i w:val="0"/>
                <w:sz w:val="12"/>
              </w:rPr>
              <w:t>POST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b w:val="0"/>
                <w:i w:val="0"/>
                <w:sz w:val="12"/>
              </w:rPr>
              <w:t>EdiNotificationService</w:t>
            </w:r>
          </w:p>
        </w:tc>
        <w:tc>
          <w:tcPr>
            <w:tcW w:type="dxa" w:w="2424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sz w:val="12"/>
              </w:rPr>
              <w:t>High</w:t>
            </w:r>
          </w:p>
        </w:tc>
        <w:tc>
          <w:tcPr>
            <w:tcW w:type="dxa" w:w="2424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sz w:val="12"/>
              </w:rPr>
              <w:t>inferred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/>
          <w:i w:val="0"/>
          <w:color w:val="0C2554"/>
        </w:rPr>
        <w:t>8. Candidate Service Decomposition</w:t>
      </w:r>
    </w:p>
    <w:p>
      <w:pPr>
        <w:pStyle w:val="ListBullet"/>
      </w:pPr>
      <w:r>
        <w:rPr>
          <w:b w:val="0"/>
          <w:i w:val="0"/>
          <w:sz w:val="18"/>
        </w:rPr>
        <w:t>LoanService: search/add/modify against Loan aggregate.</w:t>
      </w:r>
    </w:p>
    <w:p>
      <w:pPr>
        <w:pStyle w:val="ListBullet"/>
      </w:pPr>
      <w:r>
        <w:rPr>
          <w:b w:val="0"/>
          <w:i w:val="0"/>
          <w:sz w:val="18"/>
        </w:rPr>
        <w:t>RatingService: quote gate, carrier eligibility, KY ISO pre-call, rating call.</w:t>
      </w:r>
    </w:p>
    <w:p>
      <w:pPr>
        <w:pStyle w:val="ListBullet"/>
      </w:pPr>
      <w:r>
        <w:rPr>
          <w:b w:val="0"/>
          <w:i w:val="0"/>
          <w:sz w:val="18"/>
        </w:rPr>
        <w:t>EdiNotificationService: eligibility, format, audit payload, dispatch.</w:t>
      </w:r>
    </w:p>
    <w:p>
      <w:pPr>
        <w:pStyle w:val="ListBullet"/>
      </w:pPr>
      <w:r>
        <w:rPr>
          <w:b w:val="0"/>
          <w:i w:val="0"/>
          <w:sz w:val="18"/>
        </w:rPr>
        <w:t>TandemGatewayClient: infrastructure adapter for mnemonic route and transport.</w:t>
      </w:r>
    </w:p>
    <w:p>
      <w:pPr>
        <w:pStyle w:val="Heading2"/>
      </w:pPr>
      <w:r>
        <w:rPr>
          <w:b/>
          <w:i w:val="0"/>
          <w:color w:val="0C2554"/>
        </w:rPr>
        <w:t>9. Target State Mapping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tblHeader w:val="true"/>
          <w:cantSplit/>
        </w:trPr>
        <w:tc>
          <w:tcPr>
            <w:tcW w:type="dxa" w:w="7272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Legacy Component</w:t>
            </w:r>
          </w:p>
        </w:tc>
        <w:tc>
          <w:tcPr>
            <w:tcW w:type="dxa" w:w="7272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Modern Target Component</w:t>
            </w:r>
          </w:p>
        </w:tc>
      </w:tr>
      <w:tr>
        <w:trPr>
          <w:cantSplit/>
        </w:trPr>
        <w:tc>
          <w:tcPr>
            <w:tcW w:type="dxa" w:w="7272"/>
            <w:vAlign w:val="top"/>
          </w:tcPr>
          <w:p>
            <w:r/>
            <w:r>
              <w:rPr>
                <w:b w:val="0"/>
                <w:i w:val="0"/>
                <w:sz w:val="15"/>
              </w:rPr>
              <w:t>CLoanSearchDlg</w:t>
            </w:r>
          </w:p>
        </w:tc>
        <w:tc>
          <w:tcPr>
            <w:tcW w:type="dxa" w:w="7272"/>
            <w:vAlign w:val="top"/>
          </w:tcPr>
          <w:p>
            <w:r/>
            <w:r>
              <w:rPr>
                <w:b w:val="0"/>
                <w:i w:val="0"/>
                <w:sz w:val="15"/>
              </w:rPr>
              <w:t>Angular LoanSearchPage</w:t>
            </w:r>
          </w:p>
        </w:tc>
      </w:tr>
      <w:tr>
        <w:trPr>
          <w:cantSplit/>
        </w:trPr>
        <w:tc>
          <w:tcPr>
            <w:tcW w:type="dxa" w:w="7272"/>
            <w:vAlign w:val="top"/>
          </w:tcPr>
          <w:p>
            <w:r/>
            <w:r>
              <w:rPr>
                <w:b w:val="0"/>
                <w:i w:val="0"/>
                <w:sz w:val="15"/>
              </w:rPr>
              <w:t>CLoanAddDlg</w:t>
            </w:r>
          </w:p>
        </w:tc>
        <w:tc>
          <w:tcPr>
            <w:tcW w:type="dxa" w:w="7272"/>
            <w:vAlign w:val="top"/>
          </w:tcPr>
          <w:p>
            <w:r/>
            <w:r>
              <w:rPr>
                <w:b w:val="0"/>
                <w:i w:val="0"/>
                <w:sz w:val="15"/>
              </w:rPr>
              <w:t>Angular LoanAddPage</w:t>
            </w:r>
          </w:p>
        </w:tc>
      </w:tr>
      <w:tr>
        <w:trPr>
          <w:cantSplit/>
        </w:trPr>
        <w:tc>
          <w:tcPr>
            <w:tcW w:type="dxa" w:w="7272"/>
            <w:vAlign w:val="top"/>
          </w:tcPr>
          <w:p>
            <w:r/>
            <w:r>
              <w:rPr>
                <w:b w:val="0"/>
                <w:i w:val="0"/>
                <w:sz w:val="15"/>
              </w:rPr>
              <w:t>CLoanModifyDlg</w:t>
            </w:r>
          </w:p>
        </w:tc>
        <w:tc>
          <w:tcPr>
            <w:tcW w:type="dxa" w:w="7272"/>
            <w:vAlign w:val="top"/>
          </w:tcPr>
          <w:p>
            <w:r/>
            <w:r>
              <w:rPr>
                <w:b w:val="0"/>
                <w:i w:val="0"/>
                <w:sz w:val="15"/>
              </w:rPr>
              <w:t>Angular LoanModifyPage</w:t>
            </w:r>
          </w:p>
        </w:tc>
      </w:tr>
      <w:tr>
        <w:trPr>
          <w:cantSplit/>
        </w:trPr>
        <w:tc>
          <w:tcPr>
            <w:tcW w:type="dxa" w:w="7272"/>
            <w:vAlign w:val="top"/>
          </w:tcPr>
          <w:p>
            <w:r/>
            <w:r>
              <w:rPr>
                <w:b w:val="0"/>
                <w:i w:val="0"/>
                <w:sz w:val="15"/>
              </w:rPr>
              <w:t>CLoanRules</w:t>
            </w:r>
          </w:p>
        </w:tc>
        <w:tc>
          <w:tcPr>
            <w:tcW w:type="dxa" w:w="7272"/>
            <w:vAlign w:val="top"/>
          </w:tcPr>
          <w:p>
            <w:r/>
            <w:r>
              <w:rPr>
                <w:b w:val="0"/>
                <w:i w:val="0"/>
                <w:sz w:val="15"/>
              </w:rPr>
              <w:t>.NET domain/application validation layer</w:t>
            </w:r>
          </w:p>
        </w:tc>
      </w:tr>
      <w:tr>
        <w:trPr>
          <w:cantSplit/>
        </w:trPr>
        <w:tc>
          <w:tcPr>
            <w:tcW w:type="dxa" w:w="7272"/>
            <w:vAlign w:val="top"/>
          </w:tcPr>
          <w:p>
            <w:r/>
            <w:r>
              <w:rPr>
                <w:b w:val="0"/>
                <w:i w:val="0"/>
                <w:sz w:val="15"/>
              </w:rPr>
              <w:t>CTMELibAdapter</w:t>
            </w:r>
          </w:p>
        </w:tc>
        <w:tc>
          <w:tcPr>
            <w:tcW w:type="dxa" w:w="7272"/>
            <w:vAlign w:val="top"/>
          </w:tcPr>
          <w:p>
            <w:r/>
            <w:r>
              <w:rPr>
                <w:b w:val="0"/>
                <w:i w:val="0"/>
                <w:sz w:val="15"/>
              </w:rPr>
              <w:t>API integration adapter/client boundary</w:t>
            </w:r>
          </w:p>
        </w:tc>
      </w:tr>
      <w:tr>
        <w:trPr>
          <w:cantSplit/>
        </w:trPr>
        <w:tc>
          <w:tcPr>
            <w:tcW w:type="dxa" w:w="7272"/>
            <w:vAlign w:val="top"/>
          </w:tcPr>
          <w:p>
            <w:r/>
            <w:r>
              <w:rPr>
                <w:b w:val="0"/>
                <w:i w:val="0"/>
                <w:sz w:val="15"/>
              </w:rPr>
              <w:t>LSS_LOAN_T</w:t>
            </w:r>
          </w:p>
        </w:tc>
        <w:tc>
          <w:tcPr>
            <w:tcW w:type="dxa" w:w="7272"/>
            <w:vAlign w:val="top"/>
          </w:tcPr>
          <w:p>
            <w:r/>
            <w:r>
              <w:rPr>
                <w:b w:val="0"/>
                <w:i w:val="0"/>
                <w:sz w:val="15"/>
              </w:rPr>
              <w:t>Azure SQL Loans table</w:t>
            </w:r>
          </w:p>
        </w:tc>
      </w:tr>
      <w:tr>
        <w:trPr>
          <w:cantSplit/>
        </w:trPr>
        <w:tc>
          <w:tcPr>
            <w:tcW w:type="dxa" w:w="7272"/>
            <w:vAlign w:val="top"/>
          </w:tcPr>
          <w:p>
            <w:r/>
            <w:r>
              <w:rPr>
                <w:b w:val="0"/>
                <w:i w:val="0"/>
                <w:sz w:val="15"/>
              </w:rPr>
              <w:t>LSS_CYCLE_STEP_T</w:t>
            </w:r>
          </w:p>
        </w:tc>
        <w:tc>
          <w:tcPr>
            <w:tcW w:type="dxa" w:w="7272"/>
            <w:vAlign w:val="top"/>
          </w:tcPr>
          <w:p>
            <w:r/>
            <w:r>
              <w:rPr>
                <w:b w:val="0"/>
                <w:i w:val="0"/>
                <w:sz w:val="15"/>
              </w:rPr>
              <w:t>Azure SQL ClientCycleConfig table</w:t>
            </w:r>
          </w:p>
        </w:tc>
      </w:tr>
      <w:tr>
        <w:trPr>
          <w:cantSplit/>
        </w:trPr>
        <w:tc>
          <w:tcPr>
            <w:tcW w:type="dxa" w:w="7272"/>
            <w:vAlign w:val="top"/>
          </w:tcPr>
          <w:p>
            <w:r/>
            <w:r>
              <w:rPr>
                <w:b w:val="0"/>
                <w:i w:val="0"/>
                <w:sz w:val="15"/>
              </w:rPr>
              <w:t>LSS001T</w:t>
            </w:r>
          </w:p>
        </w:tc>
        <w:tc>
          <w:tcPr>
            <w:tcW w:type="dxa" w:w="7272"/>
            <w:vAlign w:val="top"/>
          </w:tcPr>
          <w:p>
            <w:r/>
            <w:r>
              <w:rPr>
                <w:b w:val="0"/>
                <w:i w:val="0"/>
                <w:sz w:val="15"/>
              </w:rPr>
              <w:t>Route config store (modern config boundary)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/>
          <w:i w:val="0"/>
          <w:color w:val="0C2554"/>
        </w:rPr>
        <w:t>10. Data and Integration Considerations</w:t>
      </w:r>
    </w:p>
    <w:p>
      <w:pPr>
        <w:pStyle w:val="ListBullet"/>
      </w:pPr>
      <w:r>
        <w:rPr>
          <w:b w:val="0"/>
          <w:i w:val="0"/>
          <w:sz w:val="18"/>
        </w:rPr>
        <w:t>LSS_LOAN_T primary key and status semantics must be preserved in target schema.</w:t>
      </w:r>
    </w:p>
    <w:p>
      <w:pPr>
        <w:pStyle w:val="ListBullet"/>
      </w:pPr>
      <w:r>
        <w:rPr>
          <w:b w:val="0"/>
          <w:i w:val="0"/>
          <w:sz w:val="18"/>
        </w:rPr>
        <w:t>Cycle configuration fields QUOTE_REQD and CYCLE_TYPE are required for quote and EDI branching.</w:t>
      </w:r>
    </w:p>
    <w:p>
      <w:pPr>
        <w:pStyle w:val="ListBullet"/>
      </w:pPr>
      <w:r>
        <w:rPr>
          <w:b w:val="0"/>
          <w:i w:val="0"/>
          <w:sz w:val="18"/>
        </w:rPr>
        <w:t>External touchpoints (RataBase, KY ISO advisory) remain integration dependencies.</w:t>
      </w:r>
    </w:p>
    <w:p>
      <w:pPr>
        <w:pStyle w:val="ListBullet"/>
      </w:pPr>
      <w:r>
        <w:rPr>
          <w:b w:val="0"/>
          <w:i w:val="0"/>
          <w:sz w:val="18"/>
        </w:rPr>
        <w:t>EDI suppression outcomes should remain first-class response states.</w:t>
      </w:r>
    </w:p>
    <w:p>
      <w:pPr>
        <w:pStyle w:val="Heading2"/>
      </w:pPr>
      <w:r>
        <w:rPr>
          <w:b/>
          <w:i w:val="0"/>
          <w:color w:val="0C2554"/>
        </w:rPr>
        <w:t>11. Governance Summary</w:t>
      </w:r>
    </w:p>
    <w:p>
      <w:pPr>
        <w:pStyle w:val="ListBullet"/>
      </w:pPr>
      <w:r>
        <w:rPr>
          <w:b w:val="0"/>
          <w:i w:val="0"/>
          <w:sz w:val="18"/>
        </w:rPr>
        <w:t>Active rules: 25; Deferred rules: 0.</w:t>
      </w:r>
    </w:p>
    <w:p>
      <w:pPr>
        <w:pStyle w:val="ListBullet"/>
      </w:pPr>
      <w:r>
        <w:rPr>
          <w:b w:val="0"/>
          <w:i w:val="0"/>
          <w:sz w:val="18"/>
        </w:rPr>
        <w:t>Review Priority: Standard 25, Priority 0.</w:t>
      </w:r>
    </w:p>
    <w:p>
      <w:pPr>
        <w:pStyle w:val="ListBullet"/>
      </w:pPr>
      <w:r>
        <w:rPr>
          <w:b w:val="0"/>
          <w:i w:val="0"/>
          <w:sz w:val="18"/>
        </w:rPr>
        <w:t xml:space="preserve">Open ambiguities: </w:t>
      </w:r>
      <w:r>
        <w:rPr>
          <w:b w:val="0"/>
          <w:i w:val="0"/>
          <w:color w:val="C0392B"/>
          <w:sz w:val="18"/>
        </w:rPr>
        <w:t>A-001</w:t>
      </w:r>
      <w:r>
        <w:rPr>
          <w:b w:val="0"/>
          <w:i w:val="0"/>
          <w:sz w:val="18"/>
        </w:rPr>
        <w:t xml:space="preserve"> to </w:t>
      </w:r>
      <w:r>
        <w:rPr>
          <w:b w:val="0"/>
          <w:i w:val="0"/>
          <w:color w:val="C0392B"/>
          <w:sz w:val="18"/>
        </w:rPr>
        <w:t>A-006</w:t>
      </w:r>
      <w:r>
        <w:rPr>
          <w:b w:val="0"/>
          <w:i w:val="0"/>
          <w:sz w:val="18"/>
        </w:rPr>
        <w:t>.</w:t>
      </w:r>
    </w:p>
    <w:p>
      <w:pPr>
        <w:pStyle w:val="ListBullet"/>
      </w:pPr>
      <w:r>
        <w:rPr>
          <w:b w:val="0"/>
          <w:i w:val="0"/>
          <w:sz w:val="18"/>
        </w:rPr>
        <w:t>Re-run log entries: none in current rerun register.</w:t>
      </w:r>
    </w:p>
    <w:p>
      <w:pPr>
        <w:pStyle w:val="ListBullet"/>
      </w:pPr>
      <w:r>
        <w:rPr>
          <w:b w:val="0"/>
          <w:i w:val="0"/>
          <w:sz w:val="18"/>
        </w:rPr>
        <w:t>Coverage checklist: gap-scan completion remains open with four flagged items.</w:t>
      </w:r>
    </w:p>
    <w:p>
      <w:pPr>
        <w:pStyle w:val="Heading2"/>
      </w:pPr>
      <w:r>
        <w:rPr>
          <w:b/>
          <w:i w:val="0"/>
          <w:color w:val="0C2554"/>
        </w:rPr>
        <w:t>12. Risks and Assumptions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tblHeader w:val="true"/>
          <w:cantSplit/>
        </w:trPr>
        <w:tc>
          <w:tcPr>
            <w:tcW w:type="dxa" w:w="7272"/>
            <w:shd w:fill="C0392B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7272"/>
            <w:shd w:fill="C0392B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Risk / Assumption</w:t>
            </w:r>
          </w:p>
        </w:tc>
      </w:tr>
      <w:tr>
        <w:trPr>
          <w:cantSplit/>
        </w:trPr>
        <w:tc>
          <w:tcPr>
            <w:tcW w:type="dxa" w:w="7272"/>
            <w:shd w:fill="FCEEEE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C0392B"/>
                <w:sz w:val="15"/>
              </w:rPr>
              <w:t>A-001</w:t>
            </w:r>
          </w:p>
        </w:tc>
        <w:tc>
          <w:tcPr>
            <w:tcW w:type="dxa" w:w="7272"/>
            <w:vAlign w:val="top"/>
          </w:tcPr>
          <w:p>
            <w:r/>
            <w:r>
              <w:rPr>
                <w:b w:val="0"/>
                <w:i w:val="0"/>
                <w:sz w:val="15"/>
              </w:rPr>
              <w:t>Missing Add/Modify resource templates may hide UI-level constraints not represented in current artifacts.</w:t>
            </w:r>
          </w:p>
        </w:tc>
      </w:tr>
      <w:tr>
        <w:trPr>
          <w:cantSplit/>
        </w:trPr>
        <w:tc>
          <w:tcPr>
            <w:tcW w:type="dxa" w:w="7272"/>
            <w:shd w:fill="FCEEEE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C0392B"/>
                <w:sz w:val="15"/>
              </w:rPr>
              <w:t>A-002</w:t>
            </w:r>
          </w:p>
        </w:tc>
        <w:tc>
          <w:tcPr>
            <w:tcW w:type="dxa" w:w="7272"/>
            <w:vAlign w:val="top"/>
          </w:tcPr>
          <w:p>
            <w:r/>
            <w:r>
              <w:rPr>
                <w:b w:val="0"/>
                <w:i w:val="0"/>
                <w:sz w:val="15"/>
              </w:rPr>
              <w:t>Missing Loan Search control definitions may affect exact UI parity assumptions.</w:t>
            </w:r>
          </w:p>
        </w:tc>
      </w:tr>
      <w:tr>
        <w:trPr>
          <w:cantSplit/>
        </w:trPr>
        <w:tc>
          <w:tcPr>
            <w:tcW w:type="dxa" w:w="7272"/>
            <w:shd w:fill="FCEEEE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C0392B"/>
                <w:sz w:val="15"/>
              </w:rPr>
              <w:t>A-003</w:t>
            </w:r>
          </w:p>
        </w:tc>
        <w:tc>
          <w:tcPr>
            <w:tcW w:type="dxa" w:w="7272"/>
            <w:vAlign w:val="top"/>
          </w:tcPr>
          <w:p>
            <w:r/>
            <w:r>
              <w:rPr>
                <w:b w:val="0"/>
                <w:i w:val="0"/>
                <w:sz w:val="15"/>
              </w:rPr>
              <w:t>Existence precondition before modify may require dedicated rule/card treatment.</w:t>
            </w:r>
          </w:p>
        </w:tc>
      </w:tr>
      <w:tr>
        <w:trPr>
          <w:cantSplit/>
        </w:trPr>
        <w:tc>
          <w:tcPr>
            <w:tcW w:type="dxa" w:w="7272"/>
            <w:shd w:fill="FCEEEE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C0392B"/>
                <w:sz w:val="15"/>
              </w:rPr>
              <w:t>A-004</w:t>
            </w:r>
          </w:p>
        </w:tc>
        <w:tc>
          <w:tcPr>
            <w:tcW w:type="dxa" w:w="7272"/>
            <w:vAlign w:val="top"/>
          </w:tcPr>
          <w:p>
            <w:r/>
            <w:r>
              <w:rPr>
                <w:b w:val="0"/>
                <w:i w:val="0"/>
                <w:sz w:val="15"/>
              </w:rPr>
              <w:t>Modify-row selection may need formalization as a requirement-level precondition.</w:t>
            </w:r>
          </w:p>
        </w:tc>
      </w:tr>
      <w:tr>
        <w:trPr>
          <w:cantSplit/>
        </w:trPr>
        <w:tc>
          <w:tcPr>
            <w:tcW w:type="dxa" w:w="7272"/>
            <w:shd w:fill="FCEEEE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C0392B"/>
                <w:sz w:val="15"/>
              </w:rPr>
              <w:t>A-005</w:t>
            </w:r>
          </w:p>
        </w:tc>
        <w:tc>
          <w:tcPr>
            <w:tcW w:type="dxa" w:w="7272"/>
            <w:vAlign w:val="top"/>
          </w:tcPr>
          <w:p>
            <w:r/>
            <w:r>
              <w:rPr>
                <w:b w:val="0"/>
                <w:i w:val="0"/>
                <w:sz w:val="15"/>
              </w:rPr>
              <w:t>Add handler delegation may need explicit evidence references on rule cards.</w:t>
            </w:r>
          </w:p>
        </w:tc>
      </w:tr>
      <w:tr>
        <w:trPr>
          <w:cantSplit/>
        </w:trPr>
        <w:tc>
          <w:tcPr>
            <w:tcW w:type="dxa" w:w="7272"/>
            <w:shd w:fill="FCEEEE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C0392B"/>
                <w:sz w:val="15"/>
              </w:rPr>
              <w:t>A-006</w:t>
            </w:r>
          </w:p>
        </w:tc>
        <w:tc>
          <w:tcPr>
            <w:tcW w:type="dxa" w:w="7272"/>
            <w:vAlign w:val="top"/>
          </w:tcPr>
          <w:p>
            <w:r/>
            <w:r>
              <w:rPr>
                <w:b w:val="0"/>
                <w:i w:val="0"/>
                <w:sz w:val="15"/>
              </w:rPr>
              <w:t>Modify handler delegation may need explicit evidence references on rule cards.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/>
          <w:i w:val="0"/>
          <w:color w:val="0C2554"/>
        </w:rPr>
        <w:t>13. Appendix</w:t>
      </w:r>
    </w:p>
    <w:p>
      <w:pPr>
        <w:pStyle w:val="ListBullet"/>
      </w:pPr>
      <w:r>
        <w:rPr>
          <w:b w:val="0"/>
          <w:i w:val="0"/>
          <w:sz w:val="18"/>
        </w:rPr>
        <w:t>Grounding references: code-grounded and inferred labels as used in this document.</w:t>
      </w:r>
    </w:p>
    <w:p>
      <w:pPr>
        <w:pStyle w:val="ListBullet"/>
      </w:pPr>
      <w:r>
        <w:rPr>
          <w:b w:val="0"/>
          <w:i w:val="0"/>
          <w:sz w:val="18"/>
        </w:rPr>
        <w:t>Source index: sample-project/src/*.cpp, sample-project/tandem/*.cbl, sample-project/tandem/LSS_SCHEMA.sql.</w:t>
      </w:r>
    </w:p>
    <w:p>
      <w:pPr>
        <w:spacing w:after="80"/>
      </w:pPr>
      <w:r>
        <w:rPr>
          <w:b w:val="0"/>
          <w:i w:val="0"/>
          <w:sz w:val="18"/>
        </w:rPr>
        <w:t>---</w:t>
      </w:r>
    </w:p>
    <w:p>
      <w:pPr>
        <w:pStyle w:val="Heading2"/>
      </w:pPr>
      <w:r>
        <w:rPr>
          <w:b/>
          <w:i w:val="0"/>
          <w:color w:val="0C2554"/>
        </w:rPr>
        <w:t>Open Items / Ambiguities</w:t>
      </w:r>
    </w:p>
    <w:p>
      <w:pPr>
        <w:pBdr>
          <w:left w:val="single" w:sz="18" w:space="6" w:color="C0392B"/>
        </w:pBdr>
        <w:shd w:fill="FCEEEE"/>
      </w:pPr>
      <w:r>
        <w:rPr>
          <w:b/>
          <w:i w:val="0"/>
          <w:color w:val="C0392B"/>
          <w:sz w:val="16"/>
        </w:rPr>
        <w:t>Unresolved items requiring SME or implementation-team validation are listed below.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tblHeader w:val="true"/>
          <w:cantSplit/>
        </w:trPr>
        <w:tc>
          <w:tcPr>
            <w:tcW w:type="dxa" w:w="7272"/>
            <w:shd w:fill="C0392B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7272"/>
            <w:shd w:fill="C0392B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Open question</w:t>
            </w:r>
          </w:p>
        </w:tc>
      </w:tr>
      <w:tr>
        <w:trPr>
          <w:cantSplit/>
        </w:trPr>
        <w:tc>
          <w:tcPr>
            <w:tcW w:type="dxa" w:w="7272"/>
            <w:shd w:fill="FCEEEE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C0392B"/>
                <w:sz w:val="15"/>
              </w:rPr>
              <w:t>A-001</w:t>
            </w:r>
          </w:p>
        </w:tc>
        <w:tc>
          <w:tcPr>
            <w:tcW w:type="dxa" w:w="7272"/>
            <w:vAlign w:val="top"/>
          </w:tcPr>
          <w:p>
            <w:r/>
            <w:r>
              <w:rPr>
                <w:b w:val="0"/>
                <w:i w:val="0"/>
                <w:sz w:val="15"/>
              </w:rPr>
              <w:t>Add/Modify rc templates and concrete control definitions are missing from current resource files.</w:t>
            </w:r>
          </w:p>
        </w:tc>
      </w:tr>
      <w:tr>
        <w:trPr>
          <w:cantSplit/>
        </w:trPr>
        <w:tc>
          <w:tcPr>
            <w:tcW w:type="dxa" w:w="7272"/>
            <w:shd w:fill="FCEEEE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C0392B"/>
                <w:sz w:val="15"/>
              </w:rPr>
              <w:t>A-002</w:t>
            </w:r>
          </w:p>
        </w:tc>
        <w:tc>
          <w:tcPr>
            <w:tcW w:type="dxa" w:w="7272"/>
            <w:vAlign w:val="top"/>
          </w:tcPr>
          <w:p>
            <w:r/>
            <w:r>
              <w:rPr>
                <w:b w:val="0"/>
                <w:i w:val="0"/>
                <w:sz w:val="15"/>
              </w:rPr>
              <w:t>Three Loan Search control IDs are referenced in code but absent in current rc/resource definitions.</w:t>
            </w:r>
          </w:p>
        </w:tc>
      </w:tr>
      <w:tr>
        <w:trPr>
          <w:cantSplit/>
        </w:trPr>
        <w:tc>
          <w:tcPr>
            <w:tcW w:type="dxa" w:w="7272"/>
            <w:shd w:fill="FCEEEE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C0392B"/>
                <w:sz w:val="15"/>
              </w:rPr>
              <w:t>A-003</w:t>
            </w:r>
          </w:p>
        </w:tc>
        <w:tc>
          <w:tcPr>
            <w:tcW w:type="dxa" w:w="7272"/>
            <w:vAlign w:val="top"/>
          </w:tcPr>
          <w:p>
            <w:r/>
            <w:r>
              <w:rPr>
                <w:b w:val="0"/>
                <w:i w:val="0"/>
                <w:sz w:val="15"/>
              </w:rPr>
              <w:t>Confirm whether "loan must exist before modification" should be promoted to a standalone rule card.</w:t>
            </w:r>
          </w:p>
        </w:tc>
      </w:tr>
      <w:tr>
        <w:trPr>
          <w:cantSplit/>
        </w:trPr>
        <w:tc>
          <w:tcPr>
            <w:tcW w:type="dxa" w:w="7272"/>
            <w:shd w:fill="FCEEEE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C0392B"/>
                <w:sz w:val="15"/>
              </w:rPr>
              <w:t>A-004</w:t>
            </w:r>
          </w:p>
        </w:tc>
        <w:tc>
          <w:tcPr>
            <w:tcW w:type="dxa" w:w="7272"/>
            <w:vAlign w:val="top"/>
          </w:tcPr>
          <w:p>
            <w:r/>
            <w:r>
              <w:rPr>
                <w:b w:val="0"/>
                <w:i w:val="0"/>
                <w:sz w:val="15"/>
              </w:rPr>
              <w:t>Confirm whether selected-row precondition for opening Modify is documented as a formal business rule.</w:t>
            </w:r>
          </w:p>
        </w:tc>
      </w:tr>
      <w:tr>
        <w:trPr>
          <w:cantSplit/>
        </w:trPr>
        <w:tc>
          <w:tcPr>
            <w:tcW w:type="dxa" w:w="7272"/>
            <w:shd w:fill="FCEEEE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C0392B"/>
                <w:sz w:val="15"/>
              </w:rPr>
              <w:t>A-005</w:t>
            </w:r>
          </w:p>
        </w:tc>
        <w:tc>
          <w:tcPr>
            <w:tcW w:type="dxa" w:w="7272"/>
            <w:vAlign w:val="top"/>
          </w:tcPr>
          <w:p>
            <w:r/>
            <w:r>
              <w:rPr>
                <w:b w:val="0"/>
                <w:i w:val="0"/>
                <w:sz w:val="15"/>
              </w:rPr>
              <w:t>Confirm add-handler delegation evidence treatment for rule-card references.</w:t>
            </w:r>
          </w:p>
        </w:tc>
      </w:tr>
      <w:tr>
        <w:trPr>
          <w:cantSplit/>
        </w:trPr>
        <w:tc>
          <w:tcPr>
            <w:tcW w:type="dxa" w:w="7272"/>
            <w:shd w:fill="FCEEEE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C0392B"/>
                <w:sz w:val="15"/>
              </w:rPr>
              <w:t>A-006</w:t>
            </w:r>
          </w:p>
        </w:tc>
        <w:tc>
          <w:tcPr>
            <w:tcW w:type="dxa" w:w="7272"/>
            <w:vAlign w:val="top"/>
          </w:tcPr>
          <w:p>
            <w:r/>
            <w:r>
              <w:rPr>
                <w:b w:val="0"/>
                <w:i w:val="0"/>
                <w:sz w:val="15"/>
              </w:rPr>
              <w:t>Confirm modify-handler delegation evidence treatment for rule-card references.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/>
          <w:i w:val="0"/>
          <w:color w:val="0C2554"/>
        </w:rPr>
        <w:t>Traceability Summary / Cross-Reference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rPr>
          <w:tblHeader w:val="true"/>
          <w:cantSplit/>
        </w:trPr>
        <w:tc>
          <w:tcPr>
            <w:tcW w:type="dxa" w:w="2909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Rule ID</w:t>
            </w:r>
          </w:p>
        </w:tc>
        <w:tc>
          <w:tcPr>
            <w:tcW w:type="dxa" w:w="2909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Functional Area</w:t>
            </w:r>
          </w:p>
        </w:tc>
        <w:tc>
          <w:tcPr>
            <w:tcW w:type="dxa" w:w="2909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Review Priority</w:t>
            </w:r>
          </w:p>
        </w:tc>
        <w:tc>
          <w:tcPr>
            <w:tcW w:type="dxa" w:w="2909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Candidate API / Service</w:t>
            </w:r>
          </w:p>
        </w:tc>
        <w:tc>
          <w:tcPr>
            <w:tcW w:type="dxa" w:w="2909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Blueprint Spec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0C2554"/>
                <w:sz w:val="15"/>
              </w:rPr>
              <w:t>R-L-001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Loan Search Input Validation</w:t>
            </w:r>
          </w:p>
        </w:tc>
        <w:tc>
          <w:tcPr>
            <w:tcW w:type="dxa" w:w="2909"/>
            <w:shd w:fill="1A7A4A"/>
            <w:vAlign w:val="top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5"/>
              </w:rPr>
              <w:t>Standard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POST /api/loans/search (LoanService)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color w:val="1E73BE"/>
                <w:sz w:val="15"/>
              </w:rPr>
              <w:t>UI-001</w:t>
            </w:r>
            <w:r>
              <w:rPr>
                <w:b w:val="0"/>
                <w:i w:val="0"/>
                <w:sz w:val="15"/>
              </w:rPr>
              <w:t xml:space="preserve"> + </w:t>
            </w:r>
            <w:r>
              <w:rPr>
                <w:b w:val="0"/>
                <w:i w:val="0"/>
                <w:color w:val="1E73BE"/>
                <w:sz w:val="15"/>
              </w:rPr>
              <w:t>SVC-001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0C2554"/>
                <w:sz w:val="15"/>
              </w:rPr>
              <w:t>R-L-002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Loan Search Input Validation</w:t>
            </w:r>
          </w:p>
        </w:tc>
        <w:tc>
          <w:tcPr>
            <w:tcW w:type="dxa" w:w="2909"/>
            <w:shd w:fill="1A7A4A"/>
            <w:vAlign w:val="top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5"/>
              </w:rPr>
              <w:t>Standard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POST /api/loans/search (LoanService)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color w:val="1E73BE"/>
                <w:sz w:val="15"/>
              </w:rPr>
              <w:t>UI-001</w:t>
            </w:r>
            <w:r>
              <w:rPr>
                <w:b w:val="0"/>
                <w:i w:val="0"/>
                <w:sz w:val="15"/>
              </w:rPr>
              <w:t xml:space="preserve"> + </w:t>
            </w:r>
            <w:r>
              <w:rPr>
                <w:b w:val="0"/>
                <w:i w:val="0"/>
                <w:color w:val="1E73BE"/>
                <w:sz w:val="15"/>
              </w:rPr>
              <w:t>SVC-001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0C2554"/>
                <w:sz w:val="15"/>
              </w:rPr>
              <w:t>R-L-003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Loan Search Input Validation</w:t>
            </w:r>
          </w:p>
        </w:tc>
        <w:tc>
          <w:tcPr>
            <w:tcW w:type="dxa" w:w="2909"/>
            <w:shd w:fill="1A7A4A"/>
            <w:vAlign w:val="top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5"/>
              </w:rPr>
              <w:t>Standard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POST /api/loans/search (LoanService)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color w:val="1E73BE"/>
                <w:sz w:val="15"/>
              </w:rPr>
              <w:t>UI-001</w:t>
            </w:r>
            <w:r>
              <w:rPr>
                <w:b w:val="0"/>
                <w:i w:val="0"/>
                <w:sz w:val="15"/>
              </w:rPr>
              <w:t xml:space="preserve"> + </w:t>
            </w:r>
            <w:r>
              <w:rPr>
                <w:b w:val="0"/>
                <w:i w:val="0"/>
                <w:color w:val="1E73BE"/>
                <w:sz w:val="15"/>
              </w:rPr>
              <w:t>SVC-001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0C2554"/>
                <w:sz w:val="15"/>
              </w:rPr>
              <w:t>R-L-004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Premium Rating</w:t>
            </w:r>
          </w:p>
        </w:tc>
        <w:tc>
          <w:tcPr>
            <w:tcW w:type="dxa" w:w="2909"/>
            <w:shd w:fill="1A7A4A"/>
            <w:vAlign w:val="top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5"/>
              </w:rPr>
              <w:t>Standard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POST /api/quotes/rating (RatingService)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color w:val="1E73BE"/>
                <w:sz w:val="15"/>
              </w:rPr>
              <w:t>UI-001</w:t>
            </w:r>
            <w:r>
              <w:rPr>
                <w:b w:val="0"/>
                <w:i w:val="0"/>
                <w:sz w:val="15"/>
              </w:rPr>
              <w:t xml:space="preserve"> + </w:t>
            </w:r>
            <w:r>
              <w:rPr>
                <w:b w:val="0"/>
                <w:i w:val="0"/>
                <w:color w:val="1E73BE"/>
                <w:sz w:val="15"/>
              </w:rPr>
              <w:t>SVC-002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0C2554"/>
                <w:sz w:val="15"/>
              </w:rPr>
              <w:t>R-L-005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Premium Rating</w:t>
            </w:r>
          </w:p>
        </w:tc>
        <w:tc>
          <w:tcPr>
            <w:tcW w:type="dxa" w:w="2909"/>
            <w:shd w:fill="1A7A4A"/>
            <w:vAlign w:val="top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5"/>
              </w:rPr>
              <w:t>Standard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POST /api/quotes/rating (RatingService)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color w:val="1E73BE"/>
                <w:sz w:val="15"/>
              </w:rPr>
              <w:t>SVC-002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0C2554"/>
                <w:sz w:val="15"/>
              </w:rPr>
              <w:t>R-L-006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Premium Rating</w:t>
            </w:r>
          </w:p>
        </w:tc>
        <w:tc>
          <w:tcPr>
            <w:tcW w:type="dxa" w:w="2909"/>
            <w:shd w:fill="1A7A4A"/>
            <w:vAlign w:val="top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5"/>
              </w:rPr>
              <w:t>Standard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POST /api/quotes/rating (RatingService)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color w:val="1E73BE"/>
                <w:sz w:val="15"/>
              </w:rPr>
              <w:t>SVC-002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0C2554"/>
                <w:sz w:val="15"/>
              </w:rPr>
              <w:t>R-L-007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Premium Rating</w:t>
            </w:r>
          </w:p>
        </w:tc>
        <w:tc>
          <w:tcPr>
            <w:tcW w:type="dxa" w:w="2909"/>
            <w:shd w:fill="1A7A4A"/>
            <w:vAlign w:val="top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5"/>
              </w:rPr>
              <w:t>Standard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POST /api/quotes/rating (RatingService)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color w:val="1E73BE"/>
                <w:sz w:val="15"/>
              </w:rPr>
              <w:t>SVC-002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0C2554"/>
                <w:sz w:val="15"/>
              </w:rPr>
              <w:t>R-L-008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EDI Notification</w:t>
            </w:r>
          </w:p>
        </w:tc>
        <w:tc>
          <w:tcPr>
            <w:tcW w:type="dxa" w:w="2909"/>
            <w:shd w:fill="1A7A4A"/>
            <w:vAlign w:val="top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5"/>
              </w:rPr>
              <w:t>Standard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POST /api/edi/notifications/14e (EdiNotificationService)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color w:val="1E73BE"/>
                <w:sz w:val="15"/>
              </w:rPr>
              <w:t>SVC-003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0C2554"/>
                <w:sz w:val="15"/>
              </w:rPr>
              <w:t>R-L-009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EDI Notification</w:t>
            </w:r>
          </w:p>
        </w:tc>
        <w:tc>
          <w:tcPr>
            <w:tcW w:type="dxa" w:w="2909"/>
            <w:shd w:fill="1A7A4A"/>
            <w:vAlign w:val="top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5"/>
              </w:rPr>
              <w:t>Standard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POST /api/edi/notifications/14e (EdiNotificationService)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color w:val="1E73BE"/>
                <w:sz w:val="15"/>
              </w:rPr>
              <w:t>SVC-003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0C2554"/>
                <w:sz w:val="15"/>
              </w:rPr>
              <w:t>R-L-010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EDI Notification</w:t>
            </w:r>
          </w:p>
        </w:tc>
        <w:tc>
          <w:tcPr>
            <w:tcW w:type="dxa" w:w="2909"/>
            <w:shd w:fill="1A7A4A"/>
            <w:vAlign w:val="top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5"/>
              </w:rPr>
              <w:t>Standard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POST /api/edi/notifications/14e (EdiNotificationService)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color w:val="1E73BE"/>
                <w:sz w:val="15"/>
              </w:rPr>
              <w:t>SVC-003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0C2554"/>
                <w:sz w:val="15"/>
              </w:rPr>
              <w:t>R-L-011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EDI Notification</w:t>
            </w:r>
          </w:p>
        </w:tc>
        <w:tc>
          <w:tcPr>
            <w:tcW w:type="dxa" w:w="2909"/>
            <w:shd w:fill="1A7A4A"/>
            <w:vAlign w:val="top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5"/>
              </w:rPr>
              <w:t>Standard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POST /api/edi/notifications/14e (EdiNotificationService)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color w:val="1E73BE"/>
                <w:sz w:val="15"/>
              </w:rPr>
              <w:t>SVC-003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0C2554"/>
                <w:sz w:val="15"/>
              </w:rPr>
              <w:t>R-L-012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Audit Trail</w:t>
            </w:r>
          </w:p>
        </w:tc>
        <w:tc>
          <w:tcPr>
            <w:tcW w:type="dxa" w:w="2909"/>
            <w:shd w:fill="1A7A4A"/>
            <w:vAlign w:val="top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5"/>
              </w:rPr>
              <w:t>Standard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POST /api/edi/notifications/14e (EdiNotificationService)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color w:val="1E73BE"/>
                <w:sz w:val="15"/>
              </w:rPr>
              <w:t>SVC-003</w:t>
            </w:r>
            <w:r>
              <w:rPr>
                <w:b w:val="0"/>
                <w:i w:val="0"/>
                <w:sz w:val="15"/>
              </w:rPr>
              <w:t xml:space="preserve"> + </w:t>
            </w:r>
            <w:r>
              <w:rPr>
                <w:b w:val="0"/>
                <w:i w:val="0"/>
                <w:color w:val="0D7377"/>
                <w:sz w:val="15"/>
              </w:rPr>
              <w:t>DB-AUDIT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0C2554"/>
                <w:sz w:val="15"/>
              </w:rPr>
              <w:t>R-L-013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Add Loan Validation</w:t>
            </w:r>
          </w:p>
        </w:tc>
        <w:tc>
          <w:tcPr>
            <w:tcW w:type="dxa" w:w="2909"/>
            <w:shd w:fill="1A7A4A"/>
            <w:vAlign w:val="top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5"/>
              </w:rPr>
              <w:t>Standard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POST /api/loans (LoanService)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color w:val="1E73BE"/>
                <w:sz w:val="15"/>
              </w:rPr>
              <w:t>UI-002</w:t>
            </w:r>
            <w:r>
              <w:rPr>
                <w:b w:val="0"/>
                <w:i w:val="0"/>
                <w:sz w:val="15"/>
              </w:rPr>
              <w:t xml:space="preserve"> + </w:t>
            </w:r>
            <w:r>
              <w:rPr>
                <w:b w:val="0"/>
                <w:i w:val="0"/>
                <w:color w:val="1E73BE"/>
                <w:sz w:val="15"/>
              </w:rPr>
              <w:t>SVC-001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0C2554"/>
                <w:sz w:val="15"/>
              </w:rPr>
              <w:t>R-L-014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Add Loan Validation</w:t>
            </w:r>
          </w:p>
        </w:tc>
        <w:tc>
          <w:tcPr>
            <w:tcW w:type="dxa" w:w="2909"/>
            <w:shd w:fill="1A7A4A"/>
            <w:vAlign w:val="top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5"/>
              </w:rPr>
              <w:t>Standard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POST /api/loans (LoanService)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color w:val="1E73BE"/>
                <w:sz w:val="15"/>
              </w:rPr>
              <w:t>UI-002</w:t>
            </w:r>
            <w:r>
              <w:rPr>
                <w:b w:val="0"/>
                <w:i w:val="0"/>
                <w:sz w:val="15"/>
              </w:rPr>
              <w:t xml:space="preserve"> + </w:t>
            </w:r>
            <w:r>
              <w:rPr>
                <w:b w:val="0"/>
                <w:i w:val="0"/>
                <w:color w:val="1E73BE"/>
                <w:sz w:val="15"/>
              </w:rPr>
              <w:t>SVC-001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0C2554"/>
                <w:sz w:val="15"/>
              </w:rPr>
              <w:t>R-L-015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Add Loan Validation</w:t>
            </w:r>
          </w:p>
        </w:tc>
        <w:tc>
          <w:tcPr>
            <w:tcW w:type="dxa" w:w="2909"/>
            <w:shd w:fill="1A7A4A"/>
            <w:vAlign w:val="top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5"/>
              </w:rPr>
              <w:t>Standard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POST /api/loans (LoanService)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color w:val="1E73BE"/>
                <w:sz w:val="15"/>
              </w:rPr>
              <w:t>UI-002</w:t>
            </w:r>
            <w:r>
              <w:rPr>
                <w:b w:val="0"/>
                <w:i w:val="0"/>
                <w:sz w:val="15"/>
              </w:rPr>
              <w:t xml:space="preserve"> + </w:t>
            </w:r>
            <w:r>
              <w:rPr>
                <w:b w:val="0"/>
                <w:i w:val="0"/>
                <w:color w:val="1E73BE"/>
                <w:sz w:val="15"/>
              </w:rPr>
              <w:t>SVC-001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0C2554"/>
                <w:sz w:val="15"/>
              </w:rPr>
              <w:t>R-L-016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Add Loan Validation</w:t>
            </w:r>
          </w:p>
        </w:tc>
        <w:tc>
          <w:tcPr>
            <w:tcW w:type="dxa" w:w="2909"/>
            <w:shd w:fill="1A7A4A"/>
            <w:vAlign w:val="top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5"/>
              </w:rPr>
              <w:t>Standard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POST /api/loans (LoanService)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color w:val="1E73BE"/>
                <w:sz w:val="15"/>
              </w:rPr>
              <w:t>UI-002</w:t>
            </w:r>
            <w:r>
              <w:rPr>
                <w:b w:val="0"/>
                <w:i w:val="0"/>
                <w:sz w:val="15"/>
              </w:rPr>
              <w:t xml:space="preserve"> + </w:t>
            </w:r>
            <w:r>
              <w:rPr>
                <w:b w:val="0"/>
                <w:i w:val="0"/>
                <w:color w:val="1E73BE"/>
                <w:sz w:val="15"/>
              </w:rPr>
              <w:t>SVC-001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0C2554"/>
                <w:sz w:val="15"/>
              </w:rPr>
              <w:t>R-L-017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Add Loan Validation</w:t>
            </w:r>
          </w:p>
        </w:tc>
        <w:tc>
          <w:tcPr>
            <w:tcW w:type="dxa" w:w="2909"/>
            <w:shd w:fill="1A7A4A"/>
            <w:vAlign w:val="top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5"/>
              </w:rPr>
              <w:t>Standard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POST /api/loans (LoanService)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color w:val="1E73BE"/>
                <w:sz w:val="15"/>
              </w:rPr>
              <w:t>UI-002</w:t>
            </w:r>
            <w:r>
              <w:rPr>
                <w:b w:val="0"/>
                <w:i w:val="0"/>
                <w:sz w:val="15"/>
              </w:rPr>
              <w:t xml:space="preserve"> + </w:t>
            </w:r>
            <w:r>
              <w:rPr>
                <w:b w:val="0"/>
                <w:i w:val="0"/>
                <w:color w:val="1E73BE"/>
                <w:sz w:val="15"/>
              </w:rPr>
              <w:t>SVC-001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0C2554"/>
                <w:sz w:val="15"/>
              </w:rPr>
              <w:t>R-L-018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Add Loan Validation</w:t>
            </w:r>
          </w:p>
        </w:tc>
        <w:tc>
          <w:tcPr>
            <w:tcW w:type="dxa" w:w="2909"/>
            <w:shd w:fill="1A7A4A"/>
            <w:vAlign w:val="top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5"/>
              </w:rPr>
              <w:t>Standard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POST /api/loans (LoanService)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color w:val="1E73BE"/>
                <w:sz w:val="15"/>
              </w:rPr>
              <w:t>UI-002</w:t>
            </w:r>
            <w:r>
              <w:rPr>
                <w:b w:val="0"/>
                <w:i w:val="0"/>
                <w:sz w:val="15"/>
              </w:rPr>
              <w:t xml:space="preserve"> + </w:t>
            </w:r>
            <w:r>
              <w:rPr>
                <w:b w:val="0"/>
                <w:i w:val="0"/>
                <w:color w:val="1E73BE"/>
                <w:sz w:val="15"/>
              </w:rPr>
              <w:t>SVC-001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0C2554"/>
                <w:sz w:val="15"/>
              </w:rPr>
              <w:t>R-L-019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Add Loan Validation</w:t>
            </w:r>
          </w:p>
        </w:tc>
        <w:tc>
          <w:tcPr>
            <w:tcW w:type="dxa" w:w="2909"/>
            <w:shd w:fill="1A7A4A"/>
            <w:vAlign w:val="top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5"/>
              </w:rPr>
              <w:t>Standard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POST /api/loans (LoanService)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color w:val="1E73BE"/>
                <w:sz w:val="15"/>
              </w:rPr>
              <w:t>UI-002</w:t>
            </w:r>
            <w:r>
              <w:rPr>
                <w:b w:val="0"/>
                <w:i w:val="0"/>
                <w:sz w:val="15"/>
              </w:rPr>
              <w:t xml:space="preserve"> + </w:t>
            </w:r>
            <w:r>
              <w:rPr>
                <w:b w:val="0"/>
                <w:i w:val="0"/>
                <w:color w:val="1E73BE"/>
                <w:sz w:val="15"/>
              </w:rPr>
              <w:t>SVC-001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0C2554"/>
                <w:sz w:val="15"/>
              </w:rPr>
              <w:t>R-L-020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Add Loan Validation</w:t>
            </w:r>
          </w:p>
        </w:tc>
        <w:tc>
          <w:tcPr>
            <w:tcW w:type="dxa" w:w="2909"/>
            <w:shd w:fill="1A7A4A"/>
            <w:vAlign w:val="top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5"/>
              </w:rPr>
              <w:t>Standard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POST /api/loans (LoanService)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color w:val="1E73BE"/>
                <w:sz w:val="15"/>
              </w:rPr>
              <w:t>SVC-001</w:t>
            </w:r>
            <w:r>
              <w:rPr>
                <w:b w:val="0"/>
                <w:i w:val="0"/>
                <w:sz w:val="15"/>
              </w:rPr>
              <w:t xml:space="preserve"> + </w:t>
            </w:r>
            <w:r>
              <w:rPr>
                <w:b w:val="0"/>
                <w:i w:val="0"/>
                <w:color w:val="0D7377"/>
                <w:sz w:val="15"/>
              </w:rPr>
              <w:t>DB-001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0C2554"/>
                <w:sz w:val="15"/>
              </w:rPr>
              <w:t>R-L-021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Modify Loan Validation</w:t>
            </w:r>
          </w:p>
        </w:tc>
        <w:tc>
          <w:tcPr>
            <w:tcW w:type="dxa" w:w="2909"/>
            <w:shd w:fill="1A7A4A"/>
            <w:vAlign w:val="top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5"/>
              </w:rPr>
              <w:t>Standard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PUT /api/loans/{loanNum} (LoanService)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color w:val="1E73BE"/>
                <w:sz w:val="15"/>
              </w:rPr>
              <w:t>UI-003</w:t>
            </w:r>
            <w:r>
              <w:rPr>
                <w:b w:val="0"/>
                <w:i w:val="0"/>
                <w:sz w:val="15"/>
              </w:rPr>
              <w:t xml:space="preserve"> + </w:t>
            </w:r>
            <w:r>
              <w:rPr>
                <w:b w:val="0"/>
                <w:i w:val="0"/>
                <w:color w:val="1E73BE"/>
                <w:sz w:val="15"/>
              </w:rPr>
              <w:t>SVC-001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0C2554"/>
                <w:sz w:val="15"/>
              </w:rPr>
              <w:t>R-L-022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Modify Loan Validation</w:t>
            </w:r>
          </w:p>
        </w:tc>
        <w:tc>
          <w:tcPr>
            <w:tcW w:type="dxa" w:w="2909"/>
            <w:shd w:fill="1A7A4A"/>
            <w:vAlign w:val="top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5"/>
              </w:rPr>
              <w:t>Standard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PUT /api/loans/{loanNum} (LoanService)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color w:val="1E73BE"/>
                <w:sz w:val="15"/>
              </w:rPr>
              <w:t>UI-003</w:t>
            </w:r>
            <w:r>
              <w:rPr>
                <w:b w:val="0"/>
                <w:i w:val="0"/>
                <w:sz w:val="15"/>
              </w:rPr>
              <w:t xml:space="preserve"> + </w:t>
            </w:r>
            <w:r>
              <w:rPr>
                <w:b w:val="0"/>
                <w:i w:val="0"/>
                <w:color w:val="1E73BE"/>
                <w:sz w:val="15"/>
              </w:rPr>
              <w:t>SVC-001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0C2554"/>
                <w:sz w:val="15"/>
              </w:rPr>
              <w:t>R-L-023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Modify Loan Validation</w:t>
            </w:r>
          </w:p>
        </w:tc>
        <w:tc>
          <w:tcPr>
            <w:tcW w:type="dxa" w:w="2909"/>
            <w:shd w:fill="1A7A4A"/>
            <w:vAlign w:val="top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5"/>
              </w:rPr>
              <w:t>Standard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PUT /api/loans/{loanNum} (LoanService)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color w:val="1E73BE"/>
                <w:sz w:val="15"/>
              </w:rPr>
              <w:t>UI-003</w:t>
            </w:r>
            <w:r>
              <w:rPr>
                <w:b w:val="0"/>
                <w:i w:val="0"/>
                <w:sz w:val="15"/>
              </w:rPr>
              <w:t xml:space="preserve"> + </w:t>
            </w:r>
            <w:r>
              <w:rPr>
                <w:b w:val="0"/>
                <w:i w:val="0"/>
                <w:color w:val="1E73BE"/>
                <w:sz w:val="15"/>
              </w:rPr>
              <w:t>SVC-001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0C2554"/>
                <w:sz w:val="15"/>
              </w:rPr>
              <w:t>R-L-024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Modify Loan Validation</w:t>
            </w:r>
          </w:p>
        </w:tc>
        <w:tc>
          <w:tcPr>
            <w:tcW w:type="dxa" w:w="2909"/>
            <w:shd w:fill="1A7A4A"/>
            <w:vAlign w:val="top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5"/>
              </w:rPr>
              <w:t>Standard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PUT /api/loans/{loanNum} (LoanService)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color w:val="1E73BE"/>
                <w:sz w:val="15"/>
              </w:rPr>
              <w:t>UI-003</w:t>
            </w:r>
            <w:r>
              <w:rPr>
                <w:b w:val="0"/>
                <w:i w:val="0"/>
                <w:sz w:val="15"/>
              </w:rPr>
              <w:t xml:space="preserve"> + </w:t>
            </w:r>
            <w:r>
              <w:rPr>
                <w:b w:val="0"/>
                <w:i w:val="0"/>
                <w:color w:val="1E73BE"/>
                <w:sz w:val="15"/>
              </w:rPr>
              <w:t>SVC-001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0C2554"/>
                <w:sz w:val="15"/>
              </w:rPr>
              <w:t>R-L-025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Integration Gateway</w:t>
            </w:r>
          </w:p>
        </w:tc>
        <w:tc>
          <w:tcPr>
            <w:tcW w:type="dxa" w:w="2909"/>
            <w:shd w:fill="1A7A4A"/>
            <w:vAlign w:val="top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5"/>
              </w:rPr>
              <w:t>Standard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Internal TandemGatewayClient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color w:val="1E73BE"/>
                <w:sz w:val="15"/>
              </w:rPr>
              <w:t>SVC-001</w:t>
            </w:r>
            <w:r>
              <w:rPr>
                <w:b w:val="0"/>
                <w:i w:val="0"/>
                <w:sz w:val="15"/>
              </w:rPr>
              <w:t xml:space="preserve"> + </w:t>
            </w:r>
            <w:r>
              <w:rPr>
                <w:b w:val="0"/>
                <w:i w:val="0"/>
                <w:color w:val="1E73BE"/>
                <w:sz w:val="15"/>
              </w:rPr>
              <w:t>SVC-003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 w:val="0"/>
        <w:color w:val="666666"/>
        <w:sz w:val="14"/>
      </w:rPr>
      <w:t>TrackAllLoanMaintenanceLegacy | Generated from Rendering_Handoff.md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C255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C255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C255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urier New" w:hAnsi="Courier New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