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7048E" w14:textId="5049A005" w:rsidR="00F02947" w:rsidRPr="00F02947" w:rsidRDefault="002C4AFB" w:rsidP="00F02947">
      <w:pPr>
        <w:pStyle w:val="AuthorList"/>
        <w:rPr>
          <w:sz w:val="32"/>
          <w:szCs w:val="32"/>
        </w:rPr>
      </w:pPr>
      <w:r>
        <w:rPr>
          <w:sz w:val="32"/>
          <w:szCs w:val="32"/>
        </w:rPr>
        <w:fldChar w:fldCharType="begin"/>
      </w:r>
      <w:r>
        <w:rPr>
          <w:sz w:val="32"/>
          <w:szCs w:val="32"/>
        </w:rPr>
        <w:instrText xml:space="preserve"> MACROBUTTON MTEditEquationSection2 </w:instrText>
      </w:r>
      <w:r w:rsidRPr="002C4AFB">
        <w:rPr>
          <w:rStyle w:val="MTEquationSection"/>
        </w:rPr>
        <w:instrText>Equation Chapter 1 Section 1</w:instrText>
      </w:r>
      <w:r>
        <w:rPr>
          <w:sz w:val="32"/>
          <w:szCs w:val="32"/>
        </w:rPr>
        <w:fldChar w:fldCharType="begin"/>
      </w:r>
      <w:r>
        <w:rPr>
          <w:sz w:val="32"/>
          <w:szCs w:val="32"/>
        </w:rPr>
        <w:instrText xml:space="preserve"> SEQ MTEqn \r \h \* MERGEFORMAT </w:instrText>
      </w:r>
      <w:r>
        <w:rPr>
          <w:sz w:val="32"/>
          <w:szCs w:val="32"/>
        </w:rPr>
        <w:fldChar w:fldCharType="end"/>
      </w:r>
      <w:r>
        <w:rPr>
          <w:sz w:val="32"/>
          <w:szCs w:val="32"/>
        </w:rPr>
        <w:fldChar w:fldCharType="begin"/>
      </w:r>
      <w:r>
        <w:rPr>
          <w:sz w:val="32"/>
          <w:szCs w:val="32"/>
        </w:rPr>
        <w:instrText xml:space="preserve"> SEQ MTSec \r 1 \h \* MERGEFORMAT </w:instrText>
      </w:r>
      <w:r>
        <w:rPr>
          <w:sz w:val="32"/>
          <w:szCs w:val="32"/>
        </w:rPr>
        <w:fldChar w:fldCharType="end"/>
      </w:r>
      <w:r>
        <w:rPr>
          <w:sz w:val="32"/>
          <w:szCs w:val="32"/>
        </w:rPr>
        <w:fldChar w:fldCharType="begin"/>
      </w:r>
      <w:r>
        <w:rPr>
          <w:sz w:val="32"/>
          <w:szCs w:val="32"/>
        </w:rPr>
        <w:instrText xml:space="preserve"> SEQ MTChap \r 1 \h \* MERGEFORMAT </w:instrText>
      </w:r>
      <w:r>
        <w:rPr>
          <w:sz w:val="32"/>
          <w:szCs w:val="32"/>
        </w:rPr>
        <w:fldChar w:fldCharType="end"/>
      </w:r>
      <w:r>
        <w:rPr>
          <w:sz w:val="32"/>
          <w:szCs w:val="32"/>
        </w:rPr>
        <w:fldChar w:fldCharType="end"/>
      </w:r>
      <w:r w:rsidR="00851B9E">
        <w:rPr>
          <w:sz w:val="32"/>
          <w:szCs w:val="32"/>
        </w:rPr>
        <w:t xml:space="preserve">A Model of Anaerobic Tissue Perfusion During Trauma –Lactate </w:t>
      </w:r>
      <w:r w:rsidR="00F02947">
        <w:rPr>
          <w:sz w:val="32"/>
          <w:szCs w:val="32"/>
        </w:rPr>
        <w:t>Trajector</w:t>
      </w:r>
      <w:r w:rsidR="00D757A9">
        <w:rPr>
          <w:sz w:val="32"/>
          <w:szCs w:val="32"/>
        </w:rPr>
        <w:t>y Curvature Can</w:t>
      </w:r>
      <w:r w:rsidR="00F02947">
        <w:rPr>
          <w:sz w:val="32"/>
          <w:szCs w:val="32"/>
        </w:rPr>
        <w:t xml:space="preserve"> Determine Recovery</w:t>
      </w:r>
    </w:p>
    <w:p w14:paraId="337586F1" w14:textId="27EB5496" w:rsidR="002868E2" w:rsidRPr="00883C71" w:rsidRDefault="00553318" w:rsidP="00651CA2">
      <w:pPr>
        <w:pStyle w:val="AuthorList"/>
      </w:pPr>
      <w:r>
        <w:t>Austin Baird</w:t>
      </w:r>
      <w:r w:rsidR="00A75F87" w:rsidRPr="00A545C6">
        <w:rPr>
          <w:vertAlign w:val="superscript"/>
        </w:rPr>
        <w:t>1</w:t>
      </w:r>
      <w:r>
        <w:rPr>
          <w:vertAlign w:val="superscript"/>
        </w:rPr>
        <w:t>*</w:t>
      </w:r>
      <w:r w:rsidR="002868E2" w:rsidRPr="00376CC5">
        <w:t xml:space="preserve">, </w:t>
      </w:r>
      <w:r>
        <w:t>Steven A. White</w:t>
      </w:r>
      <w:r>
        <w:rPr>
          <w:vertAlign w:val="superscript"/>
        </w:rPr>
        <w:t>2</w:t>
      </w:r>
      <w:r w:rsidR="002868E2" w:rsidRPr="00376CC5">
        <w:t xml:space="preserve">, </w:t>
      </w:r>
      <w:r w:rsidR="00883C71">
        <w:t>Erika K Bisgaard</w:t>
      </w:r>
      <w:r w:rsidR="00883C71">
        <w:rPr>
          <w:vertAlign w:val="superscript"/>
        </w:rPr>
        <w:t>3</w:t>
      </w:r>
    </w:p>
    <w:p w14:paraId="3EC68EFD" w14:textId="1E883DAD" w:rsidR="002868E2" w:rsidRPr="00376CC5" w:rsidRDefault="00553318" w:rsidP="006B2D5B">
      <w:pPr>
        <w:spacing w:before="240" w:after="0"/>
        <w:rPr>
          <w:rFonts w:cs="Times New Roman"/>
          <w:b/>
          <w:szCs w:val="24"/>
        </w:rPr>
      </w:pPr>
      <w:r>
        <w:rPr>
          <w:vertAlign w:val="superscript"/>
        </w:rPr>
        <w:t>1</w:t>
      </w:r>
      <w:r>
        <w:t>University of Washington Department of Surgery, Division of Healthcare Simulation Sciences</w:t>
      </w:r>
      <w:r w:rsidR="002868E2" w:rsidRPr="00376CC5">
        <w:rPr>
          <w:rFonts w:cs="Times New Roman"/>
          <w:szCs w:val="24"/>
        </w:rPr>
        <w:t xml:space="preserve">, </w:t>
      </w:r>
      <w:r>
        <w:rPr>
          <w:rFonts w:cs="Times New Roman"/>
          <w:szCs w:val="24"/>
        </w:rPr>
        <w:t>Seattle, Washington, USA</w:t>
      </w:r>
    </w:p>
    <w:p w14:paraId="626845AB" w14:textId="05EE66A0" w:rsidR="002868E2" w:rsidRDefault="002868E2" w:rsidP="006B2D5B">
      <w:pPr>
        <w:spacing w:after="0"/>
        <w:rPr>
          <w:rFonts w:cs="Times New Roman"/>
          <w:szCs w:val="24"/>
        </w:rPr>
      </w:pPr>
      <w:r w:rsidRPr="00376CC5">
        <w:rPr>
          <w:rFonts w:cs="Times New Roman"/>
          <w:szCs w:val="24"/>
          <w:vertAlign w:val="superscript"/>
        </w:rPr>
        <w:t>2</w:t>
      </w:r>
      <w:r w:rsidR="002672EB">
        <w:rPr>
          <w:rFonts w:cs="Times New Roman"/>
          <w:szCs w:val="24"/>
        </w:rPr>
        <w:t>Applied Research Associated Southeast Division, Raleigh, North Carolina, USA</w:t>
      </w:r>
    </w:p>
    <w:p w14:paraId="24C37CD0" w14:textId="7956AF7D" w:rsidR="002672EB" w:rsidRPr="00883C71" w:rsidRDefault="00883C71" w:rsidP="006B2D5B">
      <w:pPr>
        <w:spacing w:after="0"/>
        <w:rPr>
          <w:rFonts w:cs="Times New Roman"/>
          <w:szCs w:val="24"/>
        </w:rPr>
      </w:pPr>
      <w:r>
        <w:rPr>
          <w:rFonts w:cs="Times New Roman"/>
          <w:szCs w:val="24"/>
          <w:vertAlign w:val="superscript"/>
        </w:rPr>
        <w:t>3</w:t>
      </w:r>
      <w:r>
        <w:rPr>
          <w:rFonts w:cs="Times New Roman"/>
          <w:szCs w:val="24"/>
        </w:rPr>
        <w:t>University of Washington Department of Surgery, Division of Trauma, Burn, and Critical Care Surgery, Seattle, Washington, USA</w:t>
      </w:r>
    </w:p>
    <w:p w14:paraId="55458F15" w14:textId="47FA9A1B"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553318">
        <w:rPr>
          <w:rFonts w:cs="Times New Roman"/>
          <w:szCs w:val="24"/>
        </w:rPr>
        <w:t>Austin Baird</w:t>
      </w:r>
      <w:r w:rsidR="00671D9A" w:rsidRPr="00376CC5">
        <w:rPr>
          <w:rFonts w:cs="Times New Roman"/>
          <w:szCs w:val="24"/>
        </w:rPr>
        <w:br/>
      </w:r>
      <w:r w:rsidR="00553318">
        <w:rPr>
          <w:rFonts w:cs="Times New Roman"/>
          <w:szCs w:val="24"/>
        </w:rPr>
        <w:t>abaird1@uw.edu</w:t>
      </w:r>
    </w:p>
    <w:p w14:paraId="688EE9ED" w14:textId="1A1BDCD5" w:rsidR="00EA3D3C" w:rsidRPr="00376CC5" w:rsidRDefault="00817DD6" w:rsidP="00651CA2">
      <w:pPr>
        <w:pStyle w:val="AuthorList"/>
      </w:pPr>
      <w:r w:rsidRPr="00376CC5">
        <w:t xml:space="preserve">Keywords: </w:t>
      </w:r>
      <w:r w:rsidR="00851B9E">
        <w:rPr>
          <w:iCs/>
        </w:rPr>
        <w:t>Physiology Model</w:t>
      </w:r>
      <w:r w:rsidR="00553318" w:rsidRPr="00553318">
        <w:rPr>
          <w:iCs/>
        </w:rPr>
        <w:t xml:space="preserve">, </w:t>
      </w:r>
      <w:r w:rsidR="00851B9E">
        <w:rPr>
          <w:iCs/>
        </w:rPr>
        <w:t>Tissue</w:t>
      </w:r>
      <w:r w:rsidR="00553318" w:rsidRPr="00553318">
        <w:rPr>
          <w:iCs/>
        </w:rPr>
        <w:t xml:space="preserve">, </w:t>
      </w:r>
      <w:r w:rsidR="00851B9E">
        <w:rPr>
          <w:iCs/>
        </w:rPr>
        <w:t>Hypoxia</w:t>
      </w:r>
      <w:r w:rsidR="00553318" w:rsidRPr="00553318">
        <w:rPr>
          <w:iCs/>
        </w:rPr>
        <w:t xml:space="preserve">, </w:t>
      </w:r>
      <w:r w:rsidR="00851B9E">
        <w:rPr>
          <w:iCs/>
        </w:rPr>
        <w:t>Ischemia</w:t>
      </w:r>
      <w:r w:rsidR="00553318" w:rsidRPr="00553318">
        <w:rPr>
          <w:iCs/>
        </w:rPr>
        <w:t xml:space="preserve">, </w:t>
      </w:r>
      <w:r w:rsidR="00851B9E">
        <w:rPr>
          <w:iCs/>
        </w:rPr>
        <w:t>Lactate</w:t>
      </w:r>
      <w:r w:rsidR="00553318" w:rsidRPr="00553318">
        <w:rPr>
          <w:iCs/>
        </w:rPr>
        <w:t xml:space="preserve"> Computational Biology, </w:t>
      </w:r>
      <w:r w:rsidR="00851B9E">
        <w:rPr>
          <w:iCs/>
        </w:rPr>
        <w:t>Trauma</w:t>
      </w:r>
      <w:r w:rsidR="00553318" w:rsidRPr="00553318">
        <w:rPr>
          <w:iCs/>
        </w:rPr>
        <w:t xml:space="preserve"> </w:t>
      </w:r>
    </w:p>
    <w:p w14:paraId="4DB10602" w14:textId="77777777" w:rsidR="008E2B54" w:rsidRPr="00376CC5" w:rsidRDefault="00EA3D3C" w:rsidP="00147395">
      <w:pPr>
        <w:pStyle w:val="AuthorList"/>
      </w:pPr>
      <w:r w:rsidRPr="00376CC5">
        <w:t>Abstract</w:t>
      </w:r>
    </w:p>
    <w:p w14:paraId="57F6A29A" w14:textId="3541678F" w:rsidR="00EA3D3C" w:rsidRDefault="00EA3D3C" w:rsidP="00D9503C">
      <w:pPr>
        <w:pStyle w:val="Heading1"/>
      </w:pPr>
      <w:r w:rsidRPr="00376CC5">
        <w:t>Introduction</w:t>
      </w:r>
    </w:p>
    <w:p w14:paraId="1ED07EC4" w14:textId="63202016" w:rsidR="00915544" w:rsidRDefault="00915544" w:rsidP="00851B9E">
      <w:r w:rsidRPr="00A94F13">
        <w:t>Hemorrhage, characterized by the loss of blood from the circulatory system, is a critical physiological event often encountered in trauma, surgery, and various pathological conditions. Its consequences extend far beyond mere blood loss, triggering a cascade of systemic responses that profoundly impact cardiovascular function, tissue perfusion, and metabolic homeostasis</w:t>
      </w:r>
      <w:r w:rsidR="00D757A9">
        <w:fldChar w:fldCharType="begin"/>
      </w:r>
      <w:r w:rsidR="00617FA5">
        <w:instrText xml:space="preserve"> ADDIN ZOTERO_ITEM CSL_CITATION {"citationID":"dGIcGyMm","properties":{"formattedCitation":"\\super 1\\uc0\\u8211{}5\\nosupersub{}","plainCitation":"1–5","noteIndex":0},"citationItems":[{"id":3759,"uris":["http://zotero.org/groups/5222748/items/LSE8D8LQ"],"itemData":{"id":3759,"type":"article-journal","abstract":"Evidence obtained in animal and man in shock indicates that the initial acid-base disturbance in hemorrhagic shock is metabolic acidosis.1 This acidosis results from the production of acid metabolites by cells forced into anaerobic metabolism by hypoxia. The hypoxia may be due to failure of the perfusion pump (heart), increased vascular resistance, loss of the perfusate (blood), or a failure to oxygenate the perfusate. In hemorrhagic shock without pulmonary injury, the first three are the most important. The opportunity to study previously healthy humans with severe hemorrhagic traumatic shock before treatment might cast light on the nature of the acid-base disturbance of shock in man.The following study was designed to answer the following questions: (1) What is the initial acid-base profile in humans, in shock, from trauma and blood loss. (2) Can the degree of acid-base derangement be predicted from the magnitude of injury and blood loss, or","container-title":"Archives of Surgery","DOI":"10.1001/archsurg.1969.01340110043001","ISSN":"0004-0010","issue":"5","journalAbbreviation":"Archives of Surgery","page":"551-557","source":"Silverchair","title":"Acid-Base Disturbances in Hemorrhagic Shock: In 66 Severely Wounded Patients Prior to Treatment","title-short":"Acid-Base Disturbances in Hemorrhagic Shock","volume":"98","author":[{"family":"Cloutier","given":"Charles T."},{"family":"Lowery","given":"Brian D."},{"family":"Carey","given":"Larry C."}],"issued":{"date-parts":[["1969",5,1]]},"citation-key":"cloutierAcidBaseDisturbancesHemorrhagic1969"},"label":"page"},{"id":4194,"uris":["http://zotero.org/groups/5222748/items/XIHELY4T"],"itemData":{"id":4194,"type":"article-journal","abstract":"This review addresses the pathophysiology and treatment of hemorrhagic shock – a condition produced by rapid and significant loss of intravascular volume, which may lead sequentially to hemodynamic instability, decreases in oxygen delivery, decreased tissue perfusion, cellular hypoxia, organ damage, and death. Hemorrhagic shock can be rapidly fatal. The primary goals are to stop the bleeding and to restore circulating blood volume. Resuscitation may well depend on the estimated severity of hemorrhage. It now appears that patients with moderate hypotension from bleeding may benefit by delaying massive fluid resuscitation until they reach a definitive care facility. On the other hand, the use of intravenous fluids, crystalloids or colloids, and blood products can be life saving in those patients who are in severe hemorrhagic shock. The optimal method of resuscitation has not been clearly established. A hemoglobin level of 7–8 g/dl appears to be an appropriate threshold for transfusion in critically ill patients with no evidence of tissue hypoxia. However, maintaining a higher hemoglobin level of 10 g/dl is a reasonable goal in actively bleeding patients, the elderly, or individuals who are at risk for myocardial infarction. Moreover, hemoglobin concentration should not be the only therapeutic guide in actively bleeding patients. Instead, therapy should be aimed at restoring intravascular volume and adequate hemodynamic parameters.","container-title":"Critical Care","DOI":"10.1186/cc2851","ISSN":"1364-8535","issue":"5","journalAbbreviation":"Crit Care","language":"en","page":"373","source":"Springer Link","title":"Clinical review: Hemorrhagic shock","title-short":"Clinical review","volume":"8","author":[{"family":"Gutierrez","given":"Guillermo"},{"family":"Reines","given":"HDavid"},{"family":"Wulf-Gutierrez","given":"Marian E."}],"issued":{"date-parts":[["2004",4,2]]},"citation-key":"gutierrezClinicalReviewHemorrhagic2004"},"label":"page"},{"id":3734,"uris":["http://zotero.org/groups/5222748/items/2VQPGIEN"],"itemData":{"id":3734,"type":"article-journal","abstract":"Severe trauma continues to represent a global public health issue and mortality and morbidity in trauma patients remains substantial. A number of initiatives have aimed to provide guidance on the management of trauma patients. This document focuses on the management of major bleeding and coagulopathy following trauma and encourages adaptation of the guiding principles to each local situation and implementation within each institution.","container-title":"Critical Care","DOI":"10.1186/s13054-016-1265-x","ISSN":"1364-8535","issue":"1","journalAbbreviation":"Crit Care","language":"en","page":"100","source":"Springer Link","title":"The European guideline on management of major bleeding and coagulopathy following trauma: fourth edition","title-short":"The European guideline on management of major bleeding and coagulopathy following trauma","volume":"20","author":[{"family":"Rossaint","given":"Rolf"},{"family":"Bouillon","given":"Bertil"},{"family":"Cerny","given":"Vladimir"},{"family":"Coats","given":"Timothy J."},{"family":"Duranteau","given":"Jacques"},{"family":"Fernández-Mondéjar","given":"Enrique"},{"family":"Filipescu","given":"Daniela"},{"family":"Hunt","given":"Beverley J."},{"family":"Komadina","given":"Radko"},{"family":"Nardi","given":"Giuseppe"},{"family":"Neugebauer","given":"Edmund A. M."},{"family":"Ozier","given":"Yves"},{"family":"Riddez","given":"Louis"},{"family":"Schultz","given":"Arthur"},{"family":"Vincent","given":"Jean-Louis"},{"family":"Spahn","given":"Donat R."}],"issued":{"date-parts":[["2016",4,12]]},"citation-key":"rossaintEuropeanGuidelineManagement2016"},"label":"page"},{"id":3687,"uris":["http://zotero.org/groups/5222748/items/7NXIDTN9"],"itemData":{"id":3687,"type":"chapter","abstract":"Hypovolemic shock is a potentially life-threatening condition. Early recognition and appropriate management are essential. Hypovolemic shock is circulatory failure due to effective intravascular volume loss (fluids or blood). This effective circulatory volume loss leads to tissue hypoperfusion and tissue hypoxia. If left untreated, hypovolemic shock can lead to ischemic injury of vital organs, leading to multiorgan failure (MOF).  Early recognition and treatment with volume resuscitation to restore euvolemia are life-saving. When the etiology of hypovolemic shock is determined, prompt replacement of volume together with source control should be performed to minimize tissue ischemia. Factors to consider when replacing fluid or blood loss include the rate and type of replacement.","call-number":"NBK513297","container-title":"StatPearls","event-place":"Treasure Island (FL)","language":"eng","license":"Copyright © 2023, StatPearls Publishing LLC.","note":"PMID: 30020669","publisher":"StatPearls Publishing","publisher-place":"Treasure Island (FL)","source":"PubMed","title":"Hypovolemic Shock","URL":"http://www.ncbi.nlm.nih.gov/books/NBK513297/","author":[{"family":"Taghavi","given":"Sharven"},{"family":"Nassar","given":"Aussama","dropping-particle":"k"},{"family":"Askari","given":"Reza"}],"accessed":{"date-parts":[["2023",10,17]]},"issued":{"date-parts":[["2023"]]},"citation-key":"taghaviHypovolemicShock2023"},"label":"page"},{"id":3693,"uris":["http://zotero.org/groups/5222748/items/H34T8GTJ"],"itemData":{"id":3693,"type":"article-journal","abstract":"Haemorrhagic shock is the most common preventable cause of early mortality in polytrauma patients. Road traffic injuries are the most common cause for polytrauma and most commonly include orthopaedic injuries. Hence, orthopaedic trainees and junior orthopaedic surgeons need to be well aware of evaluation and management of haemorrhagic shock in the multiple injured patient. The present narrative review discusses evaluation and current principles in management of haemorrhagic shock in a polytrauma patient. A classification system for haemorrhagic shock based on ATLS guidelines has been described along with novel use of colour coding to facilitate better and effective use of the classification. A treatment algorithm has also been presented for quick reference. The emphasis is to avoid overloading with crystalloid fluids, replacing with blood and blood products (Balanced resuscitation), permissive hypotension, prevent and acutely treat lethal conditions such as hypothermia, acidosis and coagulopathy. The management of haemorrhagic shock in polytrauma patient is quite challenging and require a detailed knowledge of its management. An arbitrary and haphazard management of these patients may lead to severe complications. We have mentioned the broad principles of management of hypovolemic shock in a polytrauma patient.","container-title":"Journal of Clinical Orthopaedics and Trauma","DOI":"10.1016/j.jcot.2020.12.003","ISSN":"0976-5662","journalAbbreviation":"Journal of Clinical Orthopaedics and Trauma","page":"106-115","source":"ScienceDirect","title":"Evaluation and management of haemorrhagic shock in polytrauma: Clinical practice guidelines","title-short":"Evaluation and management of haemorrhagic shock in polytrauma","volume":"13","author":[{"family":"Vishwanathan","given":"Karthik"},{"family":"Chhajwani","given":"Sunil"},{"family":"Gupta","given":"Amit"},{"family":"Vaishya","given":"Raju"}],"issued":{"date-parts":[["2021",2,1]]},"citation-key":"vishwanathanEvaluationManagementHaemorrhagic2021"},"label":"page"}],"schema":"https://github.com/citation-style-language/schema/raw/master/csl-citation.json"} </w:instrText>
      </w:r>
      <w:r w:rsidR="00D757A9">
        <w:fldChar w:fldCharType="separate"/>
      </w:r>
      <w:r w:rsidR="00617FA5" w:rsidRPr="00617FA5">
        <w:rPr>
          <w:rFonts w:cs="Times New Roman"/>
          <w:szCs w:val="24"/>
          <w:vertAlign w:val="superscript"/>
        </w:rPr>
        <w:t>1–5</w:t>
      </w:r>
      <w:r w:rsidR="00D757A9">
        <w:fldChar w:fldCharType="end"/>
      </w:r>
      <w:r w:rsidRPr="00A94F13">
        <w:t>. Concomitantly, hemorrhage-induced acid-base disturbances play a pivotal role in shaping the physiological response to blood loss, influencing cellular metabolism, oxygen delivery, and overall systemic equilibrium</w:t>
      </w:r>
      <w:r w:rsidR="00617FA5">
        <w:fldChar w:fldCharType="begin"/>
      </w:r>
      <w:r w:rsidR="00617FA5">
        <w:instrText xml:space="preserve"> ADDIN ZOTERO_ITEM CSL_CITATION {"citationID":"OkvTuq9h","properties":{"formattedCitation":"\\super 6\\uc0\\u8211{}8\\nosupersub{}","plainCitation":"6–8","noteIndex":0},"citationItems":[{"id":4192,"uris":["http://zotero.org/groups/5222748/items/FC3TM65N"],"itemData":{"id":4192,"type":"article-journal","abstract":"Hyperlactatemia may occur for a variety of reasons and is a predictor of poor clinical outcome. However, only limited data are available on the underlying causes of hyperlactatemia and the mortality rates associated with severe hyperlactatemia in critically ill patients. We therefore aimed to evaluate the etiology of severe hyperlactatemia (defined as a lactate level &gt;10 mmol/L) in a large cohort of unselected ICU patients. We also aimed to evaluate the association between severe hyperlactatemia and lactate clearance with ICU mortality.","container-title":"Intensive Care Medicine","DOI":"10.1007/s00134-015-4127-0","ISSN":"1432-1238","issue":"2","journalAbbreviation":"Intensive Care Med","language":"en","page":"202-210","source":"Springer Link","title":"Severe hyperlactatemia, lactate clearance and mortality in unselected critically ill patients","volume":"42","author":[{"family":"Haas","given":"Sebastian A."},{"family":"Lange","given":"Theresa"},{"family":"Saugel","given":"Bernd"},{"family":"Petzoldt","given":"Martin"},{"family":"Fuhrmann","given":"Valentin"},{"family":"Metschke","given":"Maria"},{"family":"Kluge","given":"Stefan"}],"issued":{"date-parts":[["2016",2,1]]},"citation-key":"haasSevereHyperlactatemiaLactate2016"},"label":"page"},{"id":3727,"uris":["http://zotero.org/groups/5222748/items/7I2J79VS"],"itemData":{"id":3727,"type":"article-journal","abstract":"Objective\nResuscitation after cardiac surgery needs to address multiple pathophysiological processes that are associated with significant morbidity and mortality. Functional microcirculatory derangements despite normal systemic hemodynamics have been previously described but must be tied to clinical outcomes. The authors hypothesized that microcirculatory dysfunction after cardiac surgery would include impaired capillary blood flow and impaired diffusive capacity and that subjects with the lowest quartile of perfused vessel density would have an increased postoperative lactate level and acute organ injury scores.\nDesign\nProspective, observational study.\nSetting\nA single, tertiary university cardiovascular surgical intensive care unit.\nParticipants\n25 adults undergoing elective cardiac surgery requiring cardiopulmonary bypass.\nIntervention\nSublingual microcirculation was imaged using incident dark field microscopy before and 2 to 4 hours after surgery in the intensive care unit.\nMeasurements and Main Results\nCompared with baseline measurements, postoperative vessel-by-vessel microvascular flow index (2.9 [2.8-2.9] v 2.5 [2.4-2.7], p &lt; 0.0001) and perfused vessel density were significantly impaired (20.7 [19.3-22.9] v 16.3 [12.8-17.9], p &lt; 0.0001). The lowest quartile of perfused vessel density (&lt;12.8 mm/mm2) was associated with a significantly increased postoperative lactate level (6.0 ± 2.9 v 1.8 ± 1.2, p &lt; 0.05), peak lactate level (7.6 ± 2.8 v 2.8 ± 1.5, p = 0.03), and sequential organ failure assessment (SOFA) score at 24 and 48 hours.\nConclusion\nIn patients undergoing cardiac surgery, there was a significant decrease in postoperative microcirculatory convective blood flow and diffusive capacity during early postoperative resuscitation. Severely impaired perfused vessel density, represented by the lowest quartile of distribution, is significantly related to hyperlactatemia and early organ injury.","container-title":"Journal of Cardiothoracic and Vascular Anesthesia","DOI":"10.1053/j.jvca.2020.04.045","ISSN":"1053-0770","issue":"1","journalAbbreviation":"Journal of Cardiothoracic and Vascular Anesthesia","page":"106-115","source":"ScienceDirect","title":"Severe Impairment of Microcirculatory Perfused Vessel Density Is Associated With Postoperative Lactate and Acute Organ Injury After Cardiac Surgery","volume":"35","author":[{"family":"Greenwood","given":"John C."},{"family":"Jang","given":"David H."},{"family":"Hallisey","given":"Stephen D."},{"family":"Gutsche","given":"Jacob T."},{"family":"Horak","given":"Jiri"},{"family":"Acker","given":"Michael A."},{"family":"Bermudez","given":"Christian A."},{"family":"Zhou","given":"Victoria L."},{"family":"Chatterjee","given":"Shampa"},{"family":"Shofer","given":"Frances S."},{"family":"Kilbaugh","given":"Todd J."},{"family":"Augoustides","given":"John G. T."},{"family":"Meyer","given":"Nuala J."},{"family":"Bakker","given":"Jan"},{"family":"Abella","given":"Benjamin S."}],"issued":{"date-parts":[["2021",1,1]]},"citation-key":"greenwoodSevereImpairmentMicrocirculatory2021"},"label":"page"},{"id":3717,"uris":["http://zotero.org/groups/5222748/items/JUUI4PW2"],"itemData":{"id":3717,"type":"article-journal","abstract":"Microcirculatory preservation is essential for patient recovery from hemorrhagic shock. In hemorrhagic shock, microcirculatory flow and pressure are greatly reduced, creating an oxygen debt that may eventually become irreversible. During shock, tissues become hypoxic, cellular respiration turns to anaerobic metabolism, and the microcirculation rapidly begins to fail. This condition requires immediate fluid resuscitation to promote tissue reperfusion. The choice of fluid for resuscitation is whole blood; however, this may not be readily available and, on a larger scale, may be globally insufficient. Thus, extensive research on viable alternatives to blood has been undertaken in an effort to develop a clinically deployable blood substitute. This has not, as of yet, achieved fruition, in part due to an incomplete understanding of the complexities of the function of blood in the microcirculation. Hemodynamic resuscitation is acknowledged to be contingent on a number of factors other than volume expansion. The circulation of whole blood is carefully regulated to optimize oxygen delivery to the tissues via shear stress modulation through blood viscosity, inherent oxygen-carrying capacity, cell-free layer variation, and myogenic response, among other variables. Although plasma expanders can address a number of these issues, hemoglobin-based oxygen carriers (HBOCs) introduce a method of replenishing the intrinsic oxygen-carrying capacity of blood. There continue to be a number of issues related to HBOCs, but recent advances in the next-generation HBOCs show promise in the preservation of microcirculatory function and limiting toxicities. The development of HBOCs is now focused on viscosity and the degree of microvascular shear stress achieved in order to optimize vasoactive and oxygen delivery responses by leveraging the restoration and maintenance of physiological responses to blood flow in the microcirculation. Blood substitutes with higher viscous properties tend to improve oxygen delivery compared to those with lower viscosities. This review details current concepts in blood substitutes, particularly as they relate to trauma/hemorrhagic shock, with a specific focus on their complex interactions in the microcirculation.","container-title":"Frontiers in Medicine","ISSN":"2296-858X","source":"Frontiers","title":"Resuscitation After Hemorrhagic Shock in the Microcirculation: Targeting Optimal Oxygen Delivery in the Design of Artificial Blood Substitutes","title-short":"Resuscitation After Hemorrhagic Shock in the Microcirculation","URL":"https://www.frontiersin.org/articles/10.3389/fmed.2020.585638","volume":"7","author":[{"family":"Munoz","given":"Carlos"},{"family":"Aletti","given":"Federico"},{"family":"Govender","given":"Krianthan"},{"family":"Cabrales","given":"Pedro"},{"family":"Kistler","given":"Erik B."}],"accessed":{"date-parts":[["2023",10,17]]},"issued":{"date-parts":[["2020"]]},"citation-key":"munozResuscitationHemorrhagicShock2020"},"label":"page"}],"schema":"https://github.com/citation-style-language/schema/raw/master/csl-citation.json"} </w:instrText>
      </w:r>
      <w:r w:rsidR="00617FA5">
        <w:fldChar w:fldCharType="separate"/>
      </w:r>
      <w:r w:rsidR="00617FA5" w:rsidRPr="00617FA5">
        <w:rPr>
          <w:rFonts w:cs="Times New Roman"/>
          <w:szCs w:val="24"/>
          <w:vertAlign w:val="superscript"/>
        </w:rPr>
        <w:t>6–8</w:t>
      </w:r>
      <w:r w:rsidR="00617FA5">
        <w:fldChar w:fldCharType="end"/>
      </w:r>
      <w:r w:rsidRPr="00A94F13">
        <w:t>.</w:t>
      </w:r>
      <w:r>
        <w:t xml:space="preserve"> </w:t>
      </w:r>
      <w:r w:rsidRPr="00A94F13">
        <w:t>Understanding the intricate interplay between hemorrhage and acid-base disturbances is crucial for elucidating the mechanisms underlying physiological compensation and decompensation in response to blood loss. Moreover, accurate modeling of these phenomena holds significant clinical relevance, aiding in the prediction of patient outcomes, optimization of resuscitative strategies, and refinement of therapeutic interventions</w:t>
      </w:r>
      <w:r w:rsidR="00617FA5">
        <w:fldChar w:fldCharType="begin"/>
      </w:r>
      <w:r w:rsidR="00EE00F1">
        <w:instrText xml:space="preserve"> ADDIN ZOTERO_ITEM CSL_CITATION {"citationID":"aVRuP5it","properties":{"formattedCitation":"\\super 9\\uc0\\u8211{}12\\nosupersub{}","plainCitation":"9–12","noteIndex":0},"citationItems":[{"id":3591,"uris":["http://zotero.org/groups/5222748/items/IBUZACPA"],"itemData":{"id":3591,"type":"article-journal","abstract":"Trauma is the leading cause of death in the developed world. Accurate assessment of severity of injuries is critical in informing treatment choices. Current models of assessing severity of injury are not without limitations. The objective of this study therefore was to determine the diagnostic accuracy of serum lactate assays in assessing injury severity and prediction of early outcomes among trauma patients.","container-title":"International Journal of Emergency Medicine","DOI":"10.1186/s12245-014-0020-9","ISSN":"1865-1380","issue":"1","journalAbbreviation":"International Journal of Emergency Medicine","page":"20","source":"BioMed Central","title":"Serum lactate as a predictor of early outcomes among trauma patients in Uganda","volume":"7","author":[{"family":"Okello","given":"Michael"},{"family":"Makobore","given":"Patson"},{"family":"Wangoda","given":"Robert"},{"family":"Upoki","given":"Alex"},{"family":"Galukande","given":"Moses"}],"issued":{"date-parts":[["2014",7,8]]},"citation-key":"okelloSerumLactatePredictor2014"},"label":"page"},{"id":3843,"uris":["http://zotero.org/groups/5222748/items/PIK3V33R"],"itemData":{"id":3843,"type":"article-journal","abstract":"Background We hypothesized that slow crystalloid resuscitation would result in less blood loss and a smaller hemoglobin decrease compared to a rapid resuscitation during uncontrolled hemorrhage. Methods Anesthetized, splenectomized domestic swine underwent hepatic lobar hemitransection. Lactated Ringers was given at 150 or 20 mL/min IV (rapid vs. slow, respectively, N = 12 per group; limit of 100 mL/kg). Primary endpoints were blood loss and serum hemoglobin; secondary endpoints included survival, vital signs, coagulation parameters, and blood gases. Results The slow group had a less blood loss (1.6 vs. 2.7 L, respectively) and a higher final hemoglobin concentration (6.0 vs. 3.4 g/dL). Conclusions Using a fixed volume of crystalloid resuscitation in this porcine model of uncontrolled intraabdominal hemorrhage, a slow IV infusion rate produced less blood loss and a smaller hemoglobin decrease compared to rapid infusion.","container-title":"PLOS ONE","DOI":"10.1371/journal.pone.0207708","ISSN":"1932-6203","issue":"11","journalAbbreviation":"PLOS ONE","language":"en","note":"publisher: Public Library of Science","page":"e0207708","source":"PLoS Journals","title":"Fluid administration rate for uncontrolled intraabdominal hemorrhage in swine","volume":"13","author":[{"family":"Yanala","given":"Ujwal R."},{"family":"Johanning","given":"Jason M."},{"family":"Pipinos","given":"Iraklis I."},{"family":"High","given":"Robin R."},{"family":"Larsen","given":"Gustavo"},{"family":"Velander","given":"William H."},{"family":"Carlson","given":"Mark A."}],"issued":{"date-parts":[["2018",11,29]]},"citation-key":"yanalaFluidAdministrationRate2018"},"label":"page"},{"id":4200,"uris":["http://zotero.org/groups/5222748/items/59ZDHIN7"],"itemData":{"id":4200,"type":"article-journal","abstract":"A mathematical model is described giving the oxygen saturation fraction (s) as a function of the oxygen partial pressure (p): y - y0 = x - x0 + h X tanh [k X (x - x0)], where y = kn[s/(1-s)] and x = ln(p/kPa). The parameters are: y0 = 1.875; x0 = 1.946 + a + b; h = 3.5 + a; k = 0.5343; b = 0.055 X [T/(K - 310.15)]; a = 1.04 X (7.4 - pH) + 0.005 X Cbase/(mmol/L) + 0.07 X [[CDPG/(mmol/L)] - 5], where Cbase is the base excess of the blood and CDPG is the concentration of 2,3-diphosphoglycerate in the erythrocytes. The Hill slope, n = dy/dx, is given by n = 1 + h X k X [1 - tanh2[k X (x - x0)]]. n attains a maximum of 2.87 for x = x0, and n----1 for x----+/- infinity. The model gives a very good fit to the Severinghaus standard oxygen dissociation curve and the parameters may easily be fitted to other oxygen dissociation curves as well. Applications of the model are described including the solution of the inverse function (p as a function of s) by a Newton-Raphson iteration method. The po2-temperature coefficient is given by dlnp/dT = [A X alpha X p + CHb X n X S X (1 - s) X B]/[alpha X p + CHB X n X s X (1 - s)], where A = -dln alpha/dT approximately equal to 0.012 K-1; B = (lnp/T)s = 0.073 K-1 for y = y0; alpha = the solubility coefficient of O2 in blood = 0.0105 mmol X L-1 X kPa-1 at 37 degrees C; CHb = concentration of hemoglobin iron in the blood. Approximate equations currently in use do not take the variations of the po2-temperature coefficient with p50 and CHb into account.","container-title":"Clinical Chemistry","DOI":"10.1093/clinchem/30.10.1646","ISSN":"0009-9147","issue":"10","journalAbbreviation":"Clinical Chemistry","page":"1646-1651","source":"Silverchair","title":"A mathematical model of the hemoglobin-oxygen dissociation curve of human blood and of the oxygen partial pressure as a function of temperature.","volume":"30","author":[{"family":"Siggaard-Andersen","given":"O"},{"family":"Wimberley","given":"P D"},{"family":"Göthgen","given":"I"},{"family":"Siggaard-Andersen","given":"M"}],"issued":{"date-parts":[["1984",10,1]]},"citation-key":"siggaard-andersenMathematicalModelHemoglobinoxygen1984"},"label":"page"},{"id":4199,"uris":["http://zotero.org/groups/5222748/items/NSBZD6I4"],"itemData":{"id":4199,"type":"article-journal","abstract":"This article describes a mathematical model of the acid-base chemistry of blood. The model is formulated from first principles by considering the &amp;quot;componen...","container-title":"Critical Reviews&amp;trade; in Biomedical Engineering","DOI":"10.1615/CritRevBiomedEng.v33.i3.10","ISSN":"0278-940X, 1943-619X","issue":"3","journalAbbreviation":"CRB","language":"English","note":"publisher: Begel House Inc.","source":"www.dl.begellhouse.com","title":"Mathematical Models of Oxygen and Carbon Dioxide Storage and Transport: The Acid-Base Chemistry of Blood","title-short":"Mathematical Models of Oxygen and Carbon Dioxide Storage and Transport","URL":"https://www.dl.begellhouse.com/journals/4b27cbfc562e21b8,0dcf28e979eff689,2999a3d039563567.html","volume":"33","author":[{"family":"Rees","given":"S. E."},{"family":"Andreassen","given":"S."}],"accessed":{"date-parts":[["2024",4,15]]},"issued":{"date-parts":[["2005"]]},"citation-key":"reesMathematicalModelsOxygen2005"},"label":"page"}],"schema":"https://github.com/citation-style-language/schema/raw/master/csl-citation.json"} </w:instrText>
      </w:r>
      <w:r w:rsidR="00617FA5">
        <w:fldChar w:fldCharType="separate"/>
      </w:r>
      <w:r w:rsidR="00EE00F1" w:rsidRPr="00EE00F1">
        <w:rPr>
          <w:rFonts w:cs="Times New Roman"/>
          <w:szCs w:val="24"/>
          <w:vertAlign w:val="superscript"/>
        </w:rPr>
        <w:t>9–12</w:t>
      </w:r>
      <w:r w:rsidR="00617FA5">
        <w:fldChar w:fldCharType="end"/>
      </w:r>
      <w:r w:rsidRPr="00A94F13">
        <w:t>.</w:t>
      </w:r>
    </w:p>
    <w:p w14:paraId="5F6A4F8A" w14:textId="78C52B5E" w:rsidR="008A72CE" w:rsidRPr="008A72CE" w:rsidRDefault="008A72CE" w:rsidP="008A72CE">
      <w:r w:rsidRPr="008A72CE">
        <w:t>Despite advancements in our understanding of hemorrhagic shock and acid-base disturbances, significant gaps persist in both clinical practice and modeling approaches. Firstly, current clinical guidelines for managing hemorrhagic shock often lack specificity regarding the optimal resuscitative strategies to mitigate associated acid-base imbalances</w:t>
      </w:r>
      <w:r w:rsidR="00EE00F1">
        <w:fldChar w:fldCharType="begin"/>
      </w:r>
      <w:r w:rsidR="00EE00F1">
        <w:instrText xml:space="preserve"> ADDIN ZOTERO_ITEM CSL_CITATION {"citationID":"s8pGXhBk","properties":{"formattedCitation":"\\super 13\\uc0\\u8211{}15\\nosupersub{}","plainCitation":"13–15","noteIndex":0},"citationItems":[{"id":3680,"uris":["http://zotero.org/groups/5222748/items/63PVHLTA"],"itemData":{"id":3680,"type":"article-journal","abstract":"Acute care services are increasingly faced with the double burden of high patient acuity and limited resources. Early identification of patients who are sick or who have the potential to deteriorate rapidly is crucial so that these resources may be allocated to those in greatest need. Traditional measures of illness and end points of resuscitation, such as vital signs, often fail to identify occult hypoperfusion with certain disease processes associated with high morbidity and mortality. Thus, biochemical markers that may predict illness earlier are becoming more relevant. We present a review of the evidence behind use of the serum lactate level in this setting.","container-title":"Journal of Intensive Care Medicine","DOI":"10.1177/0885066610371191","ISSN":"0885-0666","issue":"5","journalAbbreviation":"J Intensive Care Med","language":"en","note":"publisher: SAGE Publications Inc STM","page":"286-300","source":"SAGE Journals","title":"The Role of Serum Lactate in the Acute Care Setting","volume":"25","author":[{"family":"Kjelland","given":"Colleen B."},{"family":"Djogovic","given":"Dennis"}],"issued":{"date-parts":[["2010",9,1]]},"citation-key":"kjellandRoleSerumLactate2010"},"label":"page"},{"id":3840,"uris":["http://zotero.org/groups/5222748/items/G32Q4D95"],"itemData":{"id":3840,"type":"article-journal","abstract":"IMPORTANCE\nSeverely injured patients experiencing hemorrhagic shock often require massive transfusion. Earlier transfusion with higher blood product ratios (plasma, platelets, and red blood cells), defined as damage control resuscitation, has been associated with improved outcomes; however, there have been no large multicenter clinical trials.\n\nOBJECTIVE\nTo determine the effectiveness and safety of transfusing patients with severe trauma and major bleeding using plasma, platelets, and red blood cells in a 1:1:1 ratio compared with a 1:1:2 ratio.\n\nDESIGN, SETTING, AND PARTICIPANTS\nPragmatic, phase 3, multisite, randomized clinical trial of 680 severely injured patients who arrived at 1 of 12 level I trauma centers in North America directly from the scene and were predicted to require massive transfusion between August 2012 and December 2013.\n\nINTERVENTIONS\nBlood product ratios of 1:1:1 (338 patients) vs 1:1:2 (342 patients) during active resuscitation in addition to all local standard-of-care interventions (uncontrolled).\n\nMAIN OUTCOMES AND MEASURES\nPrimary outcomes were 24-hour and 30-day all-cause mortality. Prespecified ancillary outcomes included time to hemostasis, blood product volumes transfused, complications, incidence of surgical procedures, and functional status.\n\nRESULTS\nNo significant differences were detected in mortality at 24 hours (12.7% in 1:1:1 group vs 17.0% in 1:1:2 group; difference, −4.2% [95% CI, −9.6% to 1.1%]; P = .12) or at 30 days (22.4% vs 26.1%, respectively; difference, −3.7% [95% CI, −10.2% to 2.7%]; P = .26). Exsanguination, which was the predominant cause of death within the first 24 hours, was significantly decreased in the 1:1:1 group (9.2% vs 14.6% in 1:1:2 group; difference, −5.4% [95% CI, −10.4% to −0.5%]; P = .03). More patients in the 1:1:1 group achieved hemostasis than in the 1:1:2 group (86% vs 78%, respectively; P = .006). Despite the 1:1:1 group receiving more plasma (median of 7 U vs 5 U, P &lt; .001) and platelets (12 U vs 6 U, P &lt; .001) and similar amounts of red blood cells (9 U) over the first 24 hours, no differences between the 2 groups were found for the 23 prespecified complications, including acute respiratory distress syndrome, multiple organ failure, venous thromboembolism, sepsis, and transfusion-related complications.\n\nCONCLUSIONS AND RELEVANCE\nAmong patients with severe trauma and major bleeding, early administration of plasma, platelets, and red blood cells in a 1:1:1 ratio compared with a 1:1:2 ratio did not result in significant differences in mortality at 24 hours or at 30 days. However, more patients in the 1:1:1 group achieved hemostasis and fewer experienced death due to exsanguination by 24 hours. Even though there was an increased use of plasma and platelets transfused in the 1:1:1 group, no other safety differences were identified between the 2 groups.\n\nTRIAL REGISTRATION\nclinicaltrials.gov Identifier: NCT01545232","container-title":"JAMA","DOI":"10.1001/jama.2015.12","ISSN":"0098-7484","issue":"5","journalAbbreviation":"JAMA","note":"PMID: 25647203\nPMCID: PMC4374744","page":"471-482","source":"PubMed Central","title":"Transfusion of Plasma, Platelets, and Red Blood Cells in a 1:1:1 vs a 1:1:2 Ratio and Mortality in Patients With Severe Trauma","title-short":"Transfusion of Plasma, Platelets, and Red Blood Cells in a 1","volume":"313","author":[{"family":"Holcomb","given":"John B."},{"family":"Tilley","given":"Barbara C."},{"family":"Baraniuk","given":"Sarah"},{"family":"Fox","given":"Erin E."},{"family":"Wade","given":"Charles E."},{"family":"Podbielski","given":"Jeanette M."},{"family":"Junco","given":"Deborah J.","non-dropping-particle":"del"},{"family":"Brasel","given":"Karen J."},{"family":"Bulger","given":"Eileen M."},{"family":"Callcut","given":"Rachael A."},{"family":"Cohen","given":"Mitchell Jay"},{"family":"Cotton","given":"Bryan A."},{"family":"Fabian","given":"Timothy C."},{"family":"Inaba","given":"Kenji"},{"family":"Kerby","given":"Jeffrey D."},{"family":"Muskat","given":"Peter"},{"family":"O’Keeffe","given":"Terence"},{"family":"Rizoli","given":"Sandro"},{"family":"Robinson","given":"Bryce R. H."},{"family":"Scalea","given":"Thomas M."},{"family":"Schreiber","given":"Martin A."},{"family":"Stein","given":"Deborah M."},{"family":"Weinberg","given":"Jordan A."},{"family":"Callum","given":"Jeannie L."},{"family":"Hess","given":"John R."},{"family":"Matijevic","given":"Nena"},{"family":"Miller","given":"Christopher N."},{"family":"Pittet","given":"Jean-Francois"},{"family":"Hoyt","given":"David B."},{"family":"Pearson","given":"Gail D."},{"family":"Leroux","given":"Brian"},{"family":"Belle","given":"Gerald","non-dropping-particle":"van"}],"issued":{"date-parts":[["2015",2,3]]},"citation-key":"holcombTransfusionPlasmaPlatelets2015"},"label":"page"},{"id":3708,"uris":["http://zotero.org/groups/5222748/items/XTV7QE3X"],"itemData":{"id":3708,"type":"article-journal","abstract":"BACKGROUND: Lactate has been shown to be a prognostic biomarker in trauma. Although lactate clearance has already been proposed as an intermediate endpoint in randomized trials, its precise role in trauma patients remains to be determined.\nMETHODS: Blood lactate levels and lactate clearance (LC) were calculated at admission and 2 and 4 h later in trauma patients. The association of initial blood lactate level and lactate clearance with mortality was tested using receiver-operating characteristics curve, logistic regression using triage scores, Trauma Related Injury Severity Score as a reference standard, and reclassification method.\nRESULTS: The authors evaluated 586 trauma patients (mean age 38±16 yr, 84% blunt and 16% penetrating, mortality 13%). Blood lactate levels at admission were elevated in 327 (56%) patients. The lactate clearance should be calculated within the first 2 h after admission as LC0-2 h was correlated with LC0-4 h (R=0.55, P&lt;0.001) but not with LC2-4 h (R=0.04, not significant). The lactate clearance provides additional predictive information to initial blood lactate levels and triage scores and the reference score. This additional information may be summarized using a categorical approach (i.e., less than or equal to -20 %/h) in contrast to initial blood lactate. The results were comparable in patients with high (5 mM/l or more) initial blood lactate.\nCONCLUSIONS: Early (0-2 h) lactate clearance is an important and independent prognostic variable that should probably be incorporated in future decision schemes for the resuscitation of trauma patients.","container-title":"Anesthesiology","DOI":"10.1097/ALN.0b013e318273349d","ISSN":"1528-1175","issue":"6","journalAbbreviation":"Anesthesiology","language":"eng","note":"PMID: 23168430","page":"1276-1288","source":"PubMed","title":"Prognostic significance of blood lactate and lactate clearance in trauma patients","volume":"117","author":[{"family":"Régnier","given":"Marie-Alix"},{"family":"Raux","given":"Mathieu"},{"family":"Le Manach","given":"Yannick"},{"family":"Asencio","given":"Yves"},{"family":"Gaillard","given":"Johann"},{"family":"Devilliers","given":"Catherine"},{"family":"Langeron","given":"Olivier"},{"family":"Riou","given":"Bruno"}],"issued":{"date-parts":[["2012",12]]},"citation-key":"regnierPrognosticSignificanceBlood2012"},"label":"page"}],"schema":"https://github.com/citation-style-language/schema/raw/master/csl-citation.json"} </w:instrText>
      </w:r>
      <w:r w:rsidR="00EE00F1">
        <w:fldChar w:fldCharType="separate"/>
      </w:r>
      <w:r w:rsidR="00EE00F1" w:rsidRPr="00EE00F1">
        <w:rPr>
          <w:rFonts w:cs="Times New Roman"/>
          <w:szCs w:val="24"/>
          <w:vertAlign w:val="superscript"/>
        </w:rPr>
        <w:t>13–15</w:t>
      </w:r>
      <w:r w:rsidR="00EE00F1">
        <w:fldChar w:fldCharType="end"/>
      </w:r>
      <w:r w:rsidRPr="008A72CE">
        <w:t xml:space="preserve">. While fluid resuscitation remains a cornerstone intervention, the choice of fluid type, volume, and timing remains contentious, particularly in the context of concurrent acid-base disturbances. </w:t>
      </w:r>
      <w:r w:rsidR="009C394E">
        <w:t>Various recommended treatments may cause additional harm when administered</w:t>
      </w:r>
      <w:r w:rsidR="009C394E">
        <w:fldChar w:fldCharType="begin"/>
      </w:r>
      <w:r w:rsidR="009C394E">
        <w:instrText xml:space="preserve"> ADDIN ZOTERO_ITEM CSL_CITATION {"citationID":"BlQjtT8D","properties":{"formattedCitation":"\\super 16,17\\nosupersub{}","plainCitation":"16,17","noteIndex":0},"citationItems":[{"id":4205,"uris":["http://zotero.org/groups/5222748/items/CB4N4VY2"],"itemData":{"id":4205,"type":"article-journal","abstract":"Fluid resuscitation after massive hemorrhage in major surgery and trauma may result in extensive hemodilution and coagulopathy, which is of a multifactorial nature. Although coagulopathy is often perceived as hemorrhagic, extensive hemodilution affects procoagulants as well as anticoagulant, profibrinolytic, and antifibrinolytic elements, leading to a complex coagulation disorder. Reduced thrombin activation is partially compensated by lower inhibitory activities of antithrombin and other protease inhibitors, whereas plasma fibrinogen is rapidly decreased proportional to the extent of hemodilution. Adequate fibrinogen levels are essential in managing dilutional coagulopathy. After extensive hemodilution, fibrin clots are more prone to fibrinolysis because major antifibrinolytic proteins are decreased.Fresh frozen plasma, platelet concentrate, and cryoprecipitate are considered the mainstay hemostatic therapies. Purified factor concentrates of plasma origin and from recombinant synthesis are increasingly used for a rapid restoration of targeted factors. Future clinical studies are necessary to establish the specific indication, dosing, and safety of novel hemostatic interventions.","container-title":"Anesthesiology","DOI":"10.1097/ALN.0b013e3181f22b5a","ISSN":"0003-3022","issue":"5","journalAbbreviation":"Anesthesiology","page":"1205-1219","source":"Silverchair","title":"Pathophysiology and Treatment of Coagulopathy in Massive Hemorrhage and Hemodilution","volume":"113","author":[{"family":"Bolliger","given":"Daniel"},{"family":"Görlinger","given":"Klaus"},{"family":"Tanaka","given":"Kenichi A."},{"family":"Warner","given":"David S."}],"issued":{"date-parts":[["2010",11,1]]},"citation-key":"bolligerPathophysiologyTreatmentCoagulopathy2010a"},"label":"page"},{"id":4204,"uris":["http://zotero.org/groups/5222748/items/EV8V3JH7"],"itemData":{"id":4204,"type":"article-journal","abstract":"Massive transfusion (MT) is a lifesaving treatment of hemorrhagic shock, but can be associated with significant complications. The lethal triad of acidosis, hypothermia, and coagulopathy associated with MT is associated with a high mortality rate. Other complications include hypothermia, acid/base derangements, electrolyte abnormalities (hypocalcemia, hypomagnesemia, hypokalemia, hyperkalemia), citrate toxicity, and transfusion-associated acute lung injury. Blood transfusion in trauma, surgery, and critical care has been identified as an independent predictor of multiple organ failure, systemic inflammatory response syndrome, increased infection, and increased mortality in multiple studies. Once definitive control of hemorrhage has been established, a restrictive approach to blood transfusion should be implemented to minimize further complications.","container-title":"Chest","DOI":"10.1378/chest.09-0252","ISSN":"0012-3692","issue":"1","journalAbbreviation":"Chest","page":"209-220","source":"ScienceDirect","title":"Complications of Massive Transfusion","volume":"137","author":[{"family":"Sihler","given":"Kristen C."},{"family":"Napolitano","given":"Lena M."}],"issued":{"date-parts":[["2010",1,1]]},"citation-key":"sihlerComplicationsMassiveTransfusion2010"},"label":"page"}],"schema":"https://github.com/citation-style-language/schema/raw/master/csl-citation.json"} </w:instrText>
      </w:r>
      <w:r w:rsidR="009C394E">
        <w:fldChar w:fldCharType="separate"/>
      </w:r>
      <w:r w:rsidR="009C394E" w:rsidRPr="009C394E">
        <w:rPr>
          <w:rFonts w:cs="Times New Roman"/>
          <w:szCs w:val="24"/>
          <w:vertAlign w:val="superscript"/>
        </w:rPr>
        <w:t>16,17</w:t>
      </w:r>
      <w:r w:rsidR="009C394E">
        <w:fldChar w:fldCharType="end"/>
      </w:r>
      <w:r w:rsidR="009C394E">
        <w:t>. For example, transfusion protocols have evolved over the past century to recommend permissive hypotension, and limited crystalloid administration</w:t>
      </w:r>
      <w:r w:rsidR="009C394E">
        <w:fldChar w:fldCharType="begin"/>
      </w:r>
      <w:r w:rsidR="009C394E">
        <w:instrText xml:space="preserve"> ADDIN ZOTERO_ITEM CSL_CITATION {"citationID":"iA0gepoy","properties":{"formattedCitation":"\\super 18\\nosupersub{}","plainCitation":"18","noteIndex":0},"citationItems":[{"id":4202,"uris":["http://zotero.org/groups/5222748/items/NWYVZKPZ"],"itemData":{"id":4202,"type":"article-journal","abstract":"The transfusion approach to massive hemorrhage has continually evolved since it began in the early 1900s. It started with fresh whole blood and currently consists of virtually exclusive use of component and crystalloid therapy. Recent US military experience has reinvigorated the debate on what the most optimal transfusion strategy is for patients with traumatic hemorrhagic shock. In this review we discuss recently described mechanisms that contribute to traumatic coagulopathy, which include increased anti-coagulation factors and hyperfibrinolysis. We also describe the concept of damage control resuscitation (DCR), an early and aggressive prevention and treatment of hemorrhagic shock for patients with severe life-threatening traumatic injuries. The central tenants of DCR include hypotensive resuscitation, rapid surgical control, prevention and treatment of acidosis, hypothermia, and hypocalcemia, avoidance of hemodilution, and hemostatic resuscitation with transfusion of red blood cells, plasma, and platelets in a 1:1:1 unit ratio and the appropriate use of coagulation factors such as rFVIIa and fibrinogen-containing products (fibrinogen concentrates, cryoprecipitate). Fresh whole blood is also part of DCR in locations where it is available. Additional concepts to DCR since its original description that can be considered are the preferential use of “fresh” RBCs, and when available thromboelastography to direct blood product and hemostatic adjunct (anti-fibrinolytics and coagulation factor) administration. Lastly we discuss the importance of an established massive transfusion protocol to rapidly employ DCR and hemostatic resuscitation principles. While the majority of recent trauma transfusion papers are supportive of these general concepts, there is no Level 1 or 2 data available. Taken together, the preponderance of data suggests that these concepts may significantly decrease mortality in massively transfused trauma patients.","container-title":"Blood Reviews","DOI":"10.1016/j.blre.2009.07.003","ISSN":"0268-960X","issue":"6","journalAbbreviation":"Blood Reviews","page":"231-240","source":"ScienceDirect","title":"Resuscitation and transfusion principles for traumatic hemorrhagic shock","volume":"23","author":[{"family":"Spinella","given":"Philip C."},{"family":"Holcomb","given":"John B."}],"issued":{"date-parts":[["2009",11,1]]},"citation-key":"spinellaResuscitationTransfusionPrinciples2009"}}],"schema":"https://github.com/citation-style-language/schema/raw/master/csl-citation.json"} </w:instrText>
      </w:r>
      <w:r w:rsidR="009C394E">
        <w:fldChar w:fldCharType="separate"/>
      </w:r>
      <w:r w:rsidR="009C394E" w:rsidRPr="009C394E">
        <w:rPr>
          <w:rFonts w:cs="Times New Roman"/>
          <w:szCs w:val="24"/>
          <w:vertAlign w:val="superscript"/>
        </w:rPr>
        <w:t>18</w:t>
      </w:r>
      <w:r w:rsidR="009C394E">
        <w:fldChar w:fldCharType="end"/>
      </w:r>
      <w:r w:rsidR="009C394E">
        <w:t xml:space="preserve">. </w:t>
      </w:r>
      <w:r w:rsidRPr="008A72CE">
        <w:t>Moreover, the individualized nature of patient responses to resuscitative efforts necessitates a more nuanced approach that integrates dynamic physiological parameters, such as tissue perfusion, oxygen delivery, and metabolic status.</w:t>
      </w:r>
    </w:p>
    <w:p w14:paraId="0C7A5BF2" w14:textId="4A1933B4" w:rsidR="008A72CE" w:rsidRPr="008A72CE" w:rsidRDefault="008A72CE" w:rsidP="008A72CE">
      <w:r w:rsidRPr="008A72CE">
        <w:lastRenderedPageBreak/>
        <w:t xml:space="preserve">Secondly, existing </w:t>
      </w:r>
      <w:r w:rsidR="009F2F90">
        <w:t xml:space="preserve">models </w:t>
      </w:r>
      <w:r w:rsidRPr="008A72CE">
        <w:t xml:space="preserve">often oversimplify the complex interplay between hemorrhage and acid-base disturbances, overlooking key determinants </w:t>
      </w:r>
      <w:r w:rsidR="009F2F90">
        <w:t>or</w:t>
      </w:r>
      <w:r w:rsidRPr="008A72CE">
        <w:t xml:space="preserve"> feedback mechanisms</w:t>
      </w:r>
      <w:r w:rsidR="009F2F90">
        <w:t>, often focusing on one singular mechanism as opposed to integration and connection of multiple processes</w:t>
      </w:r>
      <w:r w:rsidR="009F2F90">
        <w:fldChar w:fldCharType="begin"/>
      </w:r>
      <w:r w:rsidR="009F2F90">
        <w:instrText xml:space="preserve"> ADDIN ZOTERO_ITEM CSL_CITATION {"citationID":"Rf0bxCGl","properties":{"formattedCitation":"\\super 19\\nosupersub{}","plainCitation":"19","noteIndex":0},"citationItems":[{"id":4208,"uris":["http://zotero.org/groups/5222748/items/GPZDJVZ5"],"itemData":{"id":4208,"type":"article-journal","abstract":"The relationships among cerebral blood flow, cerebral blood volume, intracranial pressure (ICP), and the action of cerebrovascular regulatory mechanisms (autoregulation and CO2 reactivity) were investigated by means of a mathematical model. The model incorporates the cerebrospinal fluid (CSF) circulation, the intracranial pressure-volume relationship, and cerebral hemodynamics. The latter is based on the following main assumptions: the middle cerebral arteries behave passively following transmural pressure changes; the pial arterial circulation includes two segments (large and small pial arteries) subject to different autoregulation mechanisms; and the venous cerebrovascular bed behaves as a Starling resistor. A new aspect of the model exists in the description of CO2 reactivity in the pial arterial circulation and in the analysis of its nonlinear interaction with autoregulation. Simulation results, obtained at constant ICP using various combinations of mean arterial pressure and CO2 pressure, substantially support data on cerebral blood flow and velocity reported in the physiological literature concerning both the separate effects of CO2 and autoregulation and their nonlinear interaction. Simulations performed in dynamic conditions with varying ICP underline the existence of a significant correlation between ICP dynamics and cerebral hemodynamics in response to CO2 changes. This correlation may significantly increase in pathological subjects with poor intracranial compliance and reduced CSF outflow. In perspective, the model can be used to study ICP and blood velocity time patterns in neurosurgical patients in order to gain a deeper insight into the pathophysiological mechanisms leading to intracranial hypertension and secondary brain damage.","container-title":"American Journal of Physiology-Heart and Circulatory Physiology","DOI":"10.1152/ajpheart.1998.274.5.H1715","ISSN":"0363-6135","issue":"5","note":"publisher: American Physiological Society","page":"H1715-H1728","source":"journals.physiology.org (Atypon)","title":"Interaction among autoregulation, CO2 reactivity, and intracranial pressure: a mathematical model","title-short":"Interaction among autoregulation, CO2 reactivity, and intracranial pressure","volume":"274","author":[{"family":"Ursino","given":"Mauro"},{"family":"Lodi","given":"Carlo Alberto"}],"issued":{"date-parts":[["1998",5]]},"citation-key":"ursinoInteractionAutoregulationCO21998"}}],"schema":"https://github.com/citation-style-language/schema/raw/master/csl-citation.json"} </w:instrText>
      </w:r>
      <w:r w:rsidR="009F2F90">
        <w:fldChar w:fldCharType="separate"/>
      </w:r>
      <w:r w:rsidR="009F2F90" w:rsidRPr="009F2F90">
        <w:rPr>
          <w:rFonts w:cs="Times New Roman"/>
          <w:szCs w:val="24"/>
          <w:vertAlign w:val="superscript"/>
        </w:rPr>
        <w:t>19</w:t>
      </w:r>
      <w:r w:rsidR="009F2F90">
        <w:fldChar w:fldCharType="end"/>
      </w:r>
      <w:r w:rsidRPr="008A72CE">
        <w:t xml:space="preserve">. Many models predominantly focus on </w:t>
      </w:r>
      <w:r w:rsidR="009F2F90">
        <w:t>cardiovascular hemostasis, not stressing systems into circulatory shock</w:t>
      </w:r>
      <w:r w:rsidR="00E21F3B">
        <w:fldChar w:fldCharType="begin"/>
      </w:r>
      <w:r w:rsidR="00E21F3B">
        <w:instrText xml:space="preserve"> ADDIN ZOTERO_ITEM CSL_CITATION {"citationID":"uwYhfdgY","properties":{"formattedCitation":"\\super 20\\uc0\\u8211{}22\\nosupersub{}","plainCitation":"20–22","noteIndex":0},"citationItems":[{"id":4212,"uris":["http://zotero.org/groups/5222748/items/X598GF8L"],"itemData":{"id":4212,"type":"article-journal","abstract":"Several cardiovascular and pulmonary models have been proposed in the last few decades. However, very few have addressed the interactions between these two systems. Our group has developed an integrated cardiopulmonary model (CP Model) that mathematically describes the interactions between the cardiovascular and respiratory systems, along with their main short-term control mechanisms. The model has been compared with human and animal data taken from published literature. Due to the volume of the work, the paper is divided in two parts. The present paper is on model development and normophysiology, whereas the second is on the model's validation on hypoxic and hypercapnic conditions. The CP Model incorporates cardiovascular circulation, respiratory mechanics, tissue and alveolar gas exchange, as well as short-term neural control mechanisms acting on both the cardiovascular and the respiratory functions. The model is able to simulate physiological variables typically observed in adult humans under normal and pathological conditions and to explain the underlying mechanisms and dynamics.","container-title":"American Journal of Physiology-Heart and Circulatory Physiology","DOI":"10.1152/ajpheart.00230.2014","ISSN":"0363-6135","issue":"7","note":"publisher: American Physiological Society","page":"H899-H921","source":"journals.physiology.org (Atypon)","title":"An integrated mathematical model of the human cardiopulmonary system: model development","title-short":"An integrated mathematical model of the human cardiopulmonary system","volume":"310","author":[{"family":"Albanese","given":"Antonio"},{"family":"Cheng","given":"Limei"},{"family":"Ursino","given":"Mauro"},{"family":"Chbat","given":"Nicolas W."}],"issued":{"date-parts":[["2016",4]]},"citation-key":"albaneseIntegratedMathematicalModel2016"},"label":"page"},{"id":4214,"uris":["http://zotero.org/groups/5222748/items/ZCJYIRWG"],"itemData":{"id":4214,"type":"article-journal","abstract":"The use of physiological models in medicine allows the evaluation of new hypotheses, development of diagnosis and clinical treatment applications, and development of training and medical education tools, as well as medical device design. Although several mathematical models of physiological systems have been presented in the literature, few of them are able to predict the human cardiorespiratory response under physical exercise stimulus adequately. This paper aims to present the building and comparison of an integrated cardiorespiratory model focused on the prediction of the healthy human response under rest and aerobic exercise. The model comprises cardiovascular circulation, respiratory mechanics, and gas exchange system, as well as cardiovascular and respiratory controllers. Every system is based on previously reported physiological models and incorporates reported mechanisms related to the aerobic exercise dynamics. Experimental data of 30 healthy male volunteers undergoing a cardiopulmonary exercise test and simulated data from two of the most current and complete cardiorespiratory models were used to evaluate the performance of the presented model. Experimental design, processing, and exploratory analysis are described in detail. The simulation results were compared against the experimental data in steady state and in transient regime. The predictions of the proposed model closely mimic the experimental data, showing in overall the lowest prediction error (10.35%), the lowest settling times for cardiovascular and respiratory variables, and in general the fastest and similar responses in transient regime. These results suggest that the proposed model is suitable to predict the cardiorespiratory response of healthy adult humans under rest and aerobic exercise conditions.\n\nNEW &amp; NOTEWORTHY This paper presents a new cardiorespiratory model focused on the prediction of the healthy human response under rest and aerobic dynamic exercise conditions. Simulation results of cardiorespiratory variables are compared against experimental data and two of the most current and complete cardiorespiratory models.","container-title":"American Journal of Physiology-Heart and Circulatory Physiology","DOI":"10.1152/ajpheart.00074.2020","ISSN":"0363-6135","issue":"4","note":"publisher: American Physiological Society","page":"H1235-H1260","source":"journals.physiology.org (Atypon)","title":"An integrated mathematical model of the cardiovascular and respiratory response to exercise: model-building and comparison with reported models","title-short":"An integrated mathematical model of the cardiovascular and respiratory response to exercise","volume":"320","author":[{"family":"Sarmiento","given":"Carlos Andrés"},{"family":"Hernández","given":"Alher Mauricio"},{"family":"Serna","given":"Leidy Yanet"},{"family":"Mañanas","given":"Miguel Ángel"}],"issued":{"date-parts":[["2021",4]]},"citation-key":"sarmientoIntegratedMathematicalModel2021"},"label":"page"},{"id":4216,"uris":["http://zotero.org/groups/5222748/items/UKHEA4TZ"],"itemData":{"id":4216,"type":"article-journal","abstract":"Vascular tone regulation is a crucial aspect of cardiovascular physiology, with significant implications for overall cardiovascular health. However, the precise physiological mechanisms governing smooth muscle cell contraction and relaxation remain uncertain. The complexity of vascular tone regulation stems from its multiscale and multifactorial nature, involving global hemodynamics, local flow conditions, tissue mechanics, and biochemical pathways. Bridging this knowledge gap and translating it into clinical practice presents a challenge. In this paper, a computational model is presented to integrate chemo-mechano-biological pathways with cardiovascular biomechanics, aiming to unravel the intricacies of vascular tone regulation. The computational framework combines an algebraic description of global hemodynamics with detailed finite element analyses at the scale of vascular segments for describing their passive and active mechanical response, as well as the molecular transport problem linked with chemo-biological pathways triggered by wall shear stresses. Their coupling is accounted for by considering a two-way interaction. Specifically, the focus is on the role of nitric oxide-related molecular pathways, which play a critical role in modulating smooth muscle contraction and relaxation to maintain vascular tone. The computational framework is employed to examine the interplay between localized alterations in the biomechanical response of a specific vessel segment—such as those induced by calcifications or endothelial dysfunction–and the broader global hemodynamic conditions—both under basal and altered states. The proposed approach aims to advance our understanding of vascular tone regulation and its impact on cardiovascular health. By incorporating chemo-mechano-biological mechanisms into in silico models, this study allows us to investigate cardiovascular responses to multifactorial stimuli and incorporate the role of adaptive homeostasis in computational biomechanics frameworks.","container-title":"Biomechanics and Modeling in Mechanobiology","DOI":"10.1007/s10237-024-01826-6","ISSN":"1617-7940","journalAbbreviation":"Biomech Model Mechanobiol","language":"en","source":"Springer Link","title":"Unraveling the complexity of vascular tone regulation: a multiscale computational approach to integrating chemo-mechano-biological pathways with cardiovascular biomechanics","title-short":"Unraveling the complexity of vascular tone regulation","URL":"https://doi.org/10.1007/s10237-024-01826-6","author":[{"family":"Marino","given":"Michele"},{"family":"Sauty","given":"Bastien"},{"family":"Vairo","given":"Giuseppe"}],"accessed":{"date-parts":[["2024",4,15]]},"issued":{"date-parts":[["2024",3,20]]},"citation-key":"marinoUnravelingComplexityVascular2024"},"label":"page"}],"schema":"https://github.com/citation-style-language/schema/raw/master/csl-citation.json"} </w:instrText>
      </w:r>
      <w:r w:rsidR="00E21F3B">
        <w:fldChar w:fldCharType="separate"/>
      </w:r>
      <w:r w:rsidR="00E21F3B" w:rsidRPr="00E21F3B">
        <w:rPr>
          <w:rFonts w:cs="Times New Roman"/>
          <w:szCs w:val="24"/>
          <w:vertAlign w:val="superscript"/>
        </w:rPr>
        <w:t>20–22</w:t>
      </w:r>
      <w:r w:rsidR="00E21F3B">
        <w:fldChar w:fldCharType="end"/>
      </w:r>
      <w:r w:rsidR="009F2F90">
        <w:t xml:space="preserve">. </w:t>
      </w:r>
      <w:r w:rsidR="00E21F3B">
        <w:t>This fails</w:t>
      </w:r>
      <w:r w:rsidRPr="008A72CE">
        <w:t xml:space="preserve"> to capture the </w:t>
      </w:r>
      <w:r w:rsidR="00EE00F1">
        <w:t>complex physiological</w:t>
      </w:r>
      <w:r w:rsidRPr="008A72CE">
        <w:t xml:space="preserve"> nature of hemorrhagic shock and its impact on acid-base balance</w:t>
      </w:r>
      <w:r w:rsidR="00EE00F1">
        <w:t xml:space="preserve"> and peripheral systems</w:t>
      </w:r>
      <w:r w:rsidRPr="008A72CE">
        <w:t>. Consequently, there is a pressing need for integrative modeling approaches that account for the dynamic interactions between cardiovascular, respiratory,</w:t>
      </w:r>
      <w:r w:rsidR="00EE00F1">
        <w:t xml:space="preserve"> nervous,</w:t>
      </w:r>
      <w:r w:rsidRPr="008A72CE">
        <w:t xml:space="preserve"> and metabolic systems during hemorrhage-induced acid-base perturbations</w:t>
      </w:r>
      <w:r w:rsidR="00EE00F1">
        <w:t>.</w:t>
      </w:r>
      <w:r w:rsidRPr="008A72CE">
        <w:t xml:space="preserve"> </w:t>
      </w:r>
      <w:r w:rsidR="00EE00F1">
        <w:t>The aim of model</w:t>
      </w:r>
      <w:r w:rsidR="00E21F3B">
        <w:t>s</w:t>
      </w:r>
      <w:r w:rsidR="00EE00F1">
        <w:t xml:space="preserve"> of this type is facilitation of</w:t>
      </w:r>
      <w:r w:rsidRPr="008A72CE">
        <w:t xml:space="preserve"> the development of more effective resuscitative strategies</w:t>
      </w:r>
      <w:r w:rsidR="00E21F3B">
        <w:t xml:space="preserve"> and analysis of synthetically generated data that may be</w:t>
      </w:r>
      <w:r w:rsidRPr="008A72CE">
        <w:t xml:space="preserve"> tailored to individual patient profiles.</w:t>
      </w:r>
    </w:p>
    <w:p w14:paraId="713733D2" w14:textId="6FF4ADF6" w:rsidR="00A94F13" w:rsidRPr="00A94F13" w:rsidRDefault="00A94F13" w:rsidP="00A94F13">
      <w:r w:rsidRPr="00A94F13">
        <w:t>In this paper, we present an integrative modeling framework aimed at elucidating the complex interactions between hemorrhage and acid-base disturbances in physiology. Leveraging computational techniques and mathematical simulations, our approach offers a comprehensive examination of the dynamic physiological processes that unfold during hemorrhagic events, encompassing alterations in cardiovascular dynamics, fluid shifts, tissue oxygenation, and acid-base balance.</w:t>
      </w:r>
      <w:r>
        <w:t xml:space="preserve"> </w:t>
      </w:r>
      <w:r w:rsidRPr="00A94F13">
        <w:t>Central to our modeling paradigm is the incorporation of established physiological principles, and principles of oxygen transport and consumption. By integrating these concepts within a cohesive computational framework, we aim to provide a nuanced understanding of the multifaceted responses elicited by hemorrhage and their impact on systemic acid-base equilibrium.</w:t>
      </w:r>
    </w:p>
    <w:p w14:paraId="05B3E3B7" w14:textId="1A3171EA" w:rsidR="00A94F13" w:rsidRPr="00851B9E" w:rsidRDefault="006A5831" w:rsidP="00851B9E">
      <w:r>
        <w:t xml:space="preserve">We use this model to generate synthetic data and analyze this data in the form of patient trajectories. These trajectories may inform recovery characteristics and are not able to be properly studied in experimental patient data due to the lag time involved in laboratory measurements of patient blood. We show that for worsening hemorrhage there is a distinct shape to the maximum curvature point in the patient trajectory. This curvature is studied over a diverse patient </w:t>
      </w:r>
      <w:r w:rsidR="00DE09D3">
        <w:t>population,</w:t>
      </w:r>
      <w:r>
        <w:t xml:space="preserve"> and we report statistics on its variance for this given population. </w:t>
      </w:r>
      <w:r w:rsidR="00DE09D3">
        <w:t xml:space="preserve">We show that for these </w:t>
      </w:r>
      <w:r w:rsidR="004E0191">
        <w:t>statistics,</w:t>
      </w:r>
      <w:r w:rsidR="00DE09D3">
        <w:t xml:space="preserve"> patient recovery can be </w:t>
      </w:r>
      <w:r w:rsidR="004E0191">
        <w:t>defined</w:t>
      </w:r>
      <w:r w:rsidR="00DE09D3">
        <w:t xml:space="preserve"> by </w:t>
      </w:r>
      <w:r w:rsidR="004E0191">
        <w:t xml:space="preserve">a curve fit to </w:t>
      </w:r>
      <w:r w:rsidR="00DE09D3">
        <w:t>the maximum curvature</w:t>
      </w:r>
      <w:r w:rsidR="004E0191">
        <w:t xml:space="preserve"> for a given patient hemorrhage</w:t>
      </w:r>
      <w:r w:rsidR="00DE09D3">
        <w:t>, creating a potentially useful clinical measurement tool, as lactate measurements, coupled to a more available measurement such as blood pressure, can be analyzed against this curve to determine patient state.</w:t>
      </w:r>
    </w:p>
    <w:p w14:paraId="29166B91" w14:textId="1ECEEFDE" w:rsidR="00226D0F" w:rsidRDefault="00CB7A05" w:rsidP="00B742DD">
      <w:pPr>
        <w:pStyle w:val="Heading1"/>
      </w:pPr>
      <w:r>
        <w:t>Materials and Methods</w:t>
      </w:r>
    </w:p>
    <w:p w14:paraId="28CDF89D" w14:textId="60DD5C8A" w:rsidR="004E0191" w:rsidRPr="00A94F13" w:rsidRDefault="004E0191" w:rsidP="00A94F13">
      <w:r>
        <w:t xml:space="preserve">We construct a model of the cardiopulmonary system coupled to oxygen diffusion, blood-gas binding and transport, anaerobic tissue perfusion, and nervous system autoregulation in the </w:t>
      </w:r>
      <w:proofErr w:type="spellStart"/>
      <w:r>
        <w:t>BioGears</w:t>
      </w:r>
      <w:proofErr w:type="spellEnd"/>
      <w:r>
        <w:t xml:space="preserve"> physiology engine</w:t>
      </w:r>
      <w:r>
        <w:fldChar w:fldCharType="begin"/>
      </w:r>
      <w:r>
        <w:instrText xml:space="preserve"> ADDIN ZOTERO_ITEM CSL_CITATION {"citationID":"fx4jaaKO","properties":{"formattedCitation":"\\super 23\\nosupersub{}","plainCitation":"23","noteIndex":0},"citationItems":[{"id":4222,"uris":["http://zotero.org/groups/5222748/items/TMHTW8HT"],"itemData":{"id":4222,"type":"article-journal","abstract":"Baird et al., (2020). BioGears: A C++ library for whole body physiology simulations. Journal of Open Source Software, 5(56), 2645, https://doi.org/10.21105/joss.02645","container-title":"Journal of Open Source Software","DOI":"10.21105/joss.02645","ISSN":"2475-9066","issue":"56","language":"en","page":"2645","source":"joss.theoj.org","title":"BioGears: A C++ library for whole body physiology simulations","title-short":"BioGears","volume":"5","author":[{"family":"Baird","given":"Austin"},{"family":"McDaniel","given":"Matthew"},{"family":"White","given":"Steven A."},{"family":"Tatum","given":"Nathan"},{"family":"Marin","given":"Lucas"}],"issued":{"date-parts":[["2020",12,14]]},"citation-key":"bairdBioGearsLibraryWhole2020"}}],"schema":"https://github.com/citation-style-language/schema/raw/master/csl-citation.json"} </w:instrText>
      </w:r>
      <w:r>
        <w:fldChar w:fldCharType="separate"/>
      </w:r>
      <w:r w:rsidRPr="004E0191">
        <w:rPr>
          <w:rFonts w:cs="Times New Roman"/>
          <w:szCs w:val="24"/>
          <w:vertAlign w:val="superscript"/>
        </w:rPr>
        <w:t>23</w:t>
      </w:r>
      <w:r>
        <w:fldChar w:fldCharType="end"/>
      </w:r>
      <w:r>
        <w:t xml:space="preserve"> as this platform provides coupling to various other systems in the body</w:t>
      </w:r>
      <w:r w:rsidR="00240D78">
        <w:t xml:space="preserve"> to determine global physiological patient response</w:t>
      </w:r>
      <w:r>
        <w:t xml:space="preserve">. In addition, </w:t>
      </w:r>
      <w:proofErr w:type="spellStart"/>
      <w:r>
        <w:t>BioGears</w:t>
      </w:r>
      <w:proofErr w:type="spellEnd"/>
      <w:r>
        <w:t xml:space="preserve"> has a robust application programming interface (API) that allows for programming diverse patient trauma scenarios and extraction of data broadly (heart rate) or at a more refined level (lactate concentration in the renal tubules). The </w:t>
      </w:r>
      <w:proofErr w:type="spellStart"/>
      <w:r>
        <w:t>BioGears</w:t>
      </w:r>
      <w:proofErr w:type="spellEnd"/>
      <w:r>
        <w:t xml:space="preserve"> physiology engine has been successfully used in modeling of sepsis</w:t>
      </w:r>
      <w:r>
        <w:fldChar w:fldCharType="begin"/>
      </w:r>
      <w:r>
        <w:instrText xml:space="preserve"> ADDIN ZOTERO_ITEM CSL_CITATION {"citationID":"lqtKU7FG","properties":{"formattedCitation":"\\super 24\\nosupersub{}","plainCitation":"24","noteIndex":0},"citationItems":[{"id":4218,"uris":["http://zotero.org/groups/5222748/items/4XVIVANU"],"itemData":{"id":4218,"type":"article-journal","abstract":"&lt;p&gt;Sepsis is a debilitating condition associated with a high mortality rate that greatly strains hospital resources. Though advances have been made in improving sepsis diagnosis and treatment, our understanding of the disease is far from complete. Mathematical modeling of sepsis has the potential to explore underlying biological mechanisms and patient phenotypes that contribute to variability in septic patient outcomes. We developed a comprehensive, whole-body mathematical model of sepsis pathophysiology using the BioGears Engine, a robust open-source virtual human modeling project. We describe the development of a sepsis model and the physiologic response within the BioGears framework. We then define and simulate scenarios that compare sepsis treatment regimens. As such, we demonstrate the utility of this model as a tool to augment sepsis research and as a training platform to educate medical staff.&lt;/p&gt;","container-title":"Frontiers in Physiology","DOI":"10.3389/fphys.2019.01321","ISSN":"1664-042X","journalAbbreviation":"Front. Physiol.","language":"English","note":"publisher: Frontiers","source":"Frontiers","title":"A Whole-Body Mathematical Model of Sepsis Progression and Treatment Designed in the BioGears Physiology Engine","URL":"https://www.frontiersin.org/journals/physiology/articles/10.3389/fphys.2019.01321/full","volume":"10","author":[{"family":"McDaniel","given":"Matthew"},{"family":"Keller","given":"Jonathan M."},{"family":"White","given":"Steven"},{"family":"Baird","given":"Austin"}],"accessed":{"date-parts":[["2024",4,15]]},"issued":{"date-parts":[["2019",10,18]]},"citation-key":"mcdanielWholeBodyMathematicalModel2019"}}],"schema":"https://github.com/citation-style-language/schema/raw/master/csl-citation.json"} </w:instrText>
      </w:r>
      <w:r>
        <w:fldChar w:fldCharType="separate"/>
      </w:r>
      <w:r w:rsidRPr="004E0191">
        <w:rPr>
          <w:rFonts w:cs="Times New Roman"/>
          <w:szCs w:val="24"/>
          <w:vertAlign w:val="superscript"/>
        </w:rPr>
        <w:t>24</w:t>
      </w:r>
      <w:r>
        <w:fldChar w:fldCharType="end"/>
      </w:r>
      <w:r>
        <w:t>, burn</w:t>
      </w:r>
      <w:r>
        <w:fldChar w:fldCharType="begin"/>
      </w:r>
      <w:r>
        <w:instrText xml:space="preserve"> ADDIN ZOTERO_ITEM CSL_CITATION {"citationID":"aO2OFQAa","properties":{"formattedCitation":"\\super 25\\nosupersub{}","plainCitation":"25","noteIndex":0},"citationItems":[{"id":4220,"uris":["http://zotero.org/groups/5222748/items/S7UUP9M7"],"itemData":{"id":4220,"type":"paper-conference","abstract":"We have created a model of systemic burn pathophysiology by incorporating a mathematical model of acute inflammation within the BioGears Engine. This model produces outputs consistent with burns of varying severities and leverages existing BioGears functionality to simulate the effect of treatment on virtual patient outcome. The model performs well for standard resuscitation scenarios and we thus expect it to be useful for educational and training purposes.","container-title":"2019 41st Annual International Conference of the IEEE Engineering in Medicine and Biology Society (EMBC)","DOI":"10.1109/EMBC.2019.8857686","event-title":"2019 41st Annual International Conference of the IEEE Engineering in Medicine and Biology Society (EMBC)","note":"ISSN: 1558-4615","page":"261-264","source":"IEEE Xplore","title":"A Full-Body Model of Burn Pathophysiology and Treatment Using the BioGears Engine","URL":"https://ieeexplore.ieee.org/abstract/document/8857686","author":[{"family":"McDaniel","given":"Matthew"},{"family":"Baird","given":"Austin"}],"accessed":{"date-parts":[["2024",4,15]]},"issued":{"date-parts":[["2019",7]]},"citation-key":"mcdanielFullBodyModelBurn2019"}}],"schema":"https://github.com/citation-style-language/schema/raw/master/csl-citation.json"} </w:instrText>
      </w:r>
      <w:r>
        <w:fldChar w:fldCharType="separate"/>
      </w:r>
      <w:r w:rsidRPr="004E0191">
        <w:rPr>
          <w:rFonts w:cs="Times New Roman"/>
          <w:szCs w:val="24"/>
          <w:vertAlign w:val="superscript"/>
        </w:rPr>
        <w:t>25</w:t>
      </w:r>
      <w:r>
        <w:fldChar w:fldCharType="end"/>
      </w:r>
      <w:r>
        <w:t>, hemorrhage</w:t>
      </w:r>
      <w:r>
        <w:fldChar w:fldCharType="begin"/>
      </w:r>
      <w:r>
        <w:instrText xml:space="preserve"> ADDIN ZOTERO_ITEM CSL_CITATION {"citationID":"lQ8rYqP7","properties":{"formattedCitation":"\\super 26\\nosupersub{}","plainCitation":"26","noteIndex":0},"citationItems":[{"id":4224,"uris":["http://zotero.org/groups/5222748/items/JS4KTE6K"],"itemData":{"id":4224,"type":"article-journal","abstract":"Introduction \n          Several different whole-body physiology simulation tools (PST) using modeling techniques are now available with potential use for healthcare simulation, but these novel technologies lack objective analysis from an independent organization.\n          Methods \n          We identified BioGears, HumMod, and Muse as 3 PSTs that met our requirements for testing. We ran mild, moderate, and severe hemorrhage scenarios on each PST and collected outputs for comparison with each other and published human physiology data.\n          Results \n          All PSTs tested followed the expected tachycardic and hypotensive response to hemorrhage for all levels of severity with variable qualitative patterns. Complete data for analysis were not available in all PSTs for urine output, stroke volume, blood volume, hemoglobin, and serum epinephrine concentration, but the partial findings are discussed in detail. We determined the predicted time to reach hemorrhage shock based on the hemorrhage guidelines and compared this with time to cardiovascular collapse from each PST. Overall, the differences from known human physiology were much larger than expected before testing and trends show HumMod with the smallest difference for severe (−6.25%) and moderate (−1.42%) and Muse with the smallest difference for mild hemorrhage (27.9%). BioGears demonstrated the largest differences in all classifications of severity.\n          Conclusions \n          Our analysis of currently available whole-body PSTs provides insight into the novel, evolving field. We hope our efforts shed light to a wider audience to the exciting developments and uses of mathematical modeling for whole-body simulation and the potential for integration into healthcare simulation for medical education.","container-title":"Simulation in Healthcare","DOI":"10.1097/SIH.0000000000000427","ISSN":"1559-2332","issue":"5","language":"en-US","page":"310","source":"journals.lww.com","title":"Comparing Hemorrhage in Human Physiology Simulation Tools: How They Compare With Expected Human Physiology and Each Other","title-short":"Comparing Hemorrhage in Human Physiology Simulation Tools","volume":"15","author":[{"family":"Barnes","given":"John Jacob III"},{"family":"Kiberenge","given":"Kenneth"},{"family":"Sweet","given":"Robert"},{"family":"Keller","given":"Jon"},{"family":"Konia","given":"Mojca R."}],"issued":{"date-parts":[["2020",10]]},"citation-key":"barnesComparingHemorrhageHuman2020"}}],"schema":"https://github.com/citation-style-language/schema/raw/master/csl-citation.json"} </w:instrText>
      </w:r>
      <w:r>
        <w:fldChar w:fldCharType="separate"/>
      </w:r>
      <w:r w:rsidRPr="004E0191">
        <w:rPr>
          <w:rFonts w:cs="Times New Roman"/>
          <w:szCs w:val="24"/>
          <w:vertAlign w:val="superscript"/>
        </w:rPr>
        <w:t>26</w:t>
      </w:r>
      <w:r>
        <w:fldChar w:fldCharType="end"/>
      </w:r>
      <w:r>
        <w:t>, and used as the patient physiology in many healthcare simulation studies</w:t>
      </w:r>
      <w:r w:rsidR="00240D78">
        <w:fldChar w:fldCharType="begin"/>
      </w:r>
      <w:r w:rsidR="00240D78">
        <w:instrText xml:space="preserve"> ADDIN ZOTERO_ITEM CSL_CITATION {"citationID":"rH7SnHZ8","properties":{"formattedCitation":"\\super 27,28\\nosupersub{}","plainCitation":"27,28","noteIndex":0},"citationItems":[{"id":4227,"uris":["http://zotero.org/groups/5222748/items/WZ6L2KZF"],"itemData":{"id":4227,"type":"article-journal","abstract":"Applied Research Associates (ARA) and the United States Army Institute of Surgical Research (USAISR) have been developing a tablet-based simulation environment for burn wound assessment and burn shock resuscitation. This application aims to supplement the current gold standard in burn care education, the Advanced Burn Life Support (ABLS) curriculum.","container-title":"BMC Emergency Medicine","DOI":"10.1186/s12873-020-00378-z","ISSN":"1471-227X","issue":"1","journalAbbreviation":"BMC Emerg Med","language":"en","page":"84","source":"Springer Link","title":"BurnCare tablet trainer to enhance burn injury care and treatment","volume":"20","author":[{"family":"Baird","given":"Austin"},{"family":"Serio-Melvin","given":"Maria"},{"family":"Hackett","given":"Matthew"},{"family":"Clover","given":"Marcia"},{"family":"McDaniel","given":"Matthew"},{"family":"Rowland","given":"Michael"},{"family":"Williams","given":"Alicia"},{"family":"Wilson","given":"Bradly"}],"issued":{"date-parts":[["2020",10,30]]},"citation-key":"bairdBurnCareTabletTrainer2020"},"label":"page"},{"id":4226,"uris":["http://zotero.org/groups/5222748/items/VX4ZHL4Y"],"itemData":{"id":4226,"type":"article-journal","abstract":"Background\nOur aim was assess whether an integrated Advanced Modular Manikin (AMM) provides improved participant experience compared with use of peripheral simulators alone during a standardized trauma team scenario. Simulation-based team training has been shown to improve team performance. To address limitations of existing manikin simulators, the AMM platform was created that enables interconnectedness, interoperability, and integration of multiple simulators (“peripherals”) into an adaptable, comprehensive training system.\nMethods\nA randomized single-blinded, crossover study with 2 conditions was used to assess learner experience differences when using the integrated AMM platform vs peripheral simulators. First responders, anesthesiologists, and surgeons rated their experience and workload with the conditions in a 3-scene standardized trauma scenario. Participant ratings were compared and focus groups conducted to obtain insight into participant experience.\nResults\nFourteen teams (n = 42) participated. Team experience ratings were higher for the integrated AMM condition compared with peripherals (Cohen’s d = .25, p = 0.016). Participant experience varied by background with surgeons and first responders rating their experience significantly higher compared with anesthesiologists (p &lt; 0.001). Higher workload ratings were observed with the integrated AMM condition (Cohen’s d = .35, p = 0.014) driven primarily by anesthesiologist ratings. Focus groups revealed that participants preferred the integrated AMM condition based on its increased realism, physiologic responsiveness, and feedback provided on their interventions.\nConclusions\nThis first comprehensive evaluation suggests that integration with the AMM platform provides benefits over individual peripheral simulators and has the potential to expand simulation-based learning opportunities and enhance learner experience, especially for surgeons.","container-title":"Journal of the American College of Surgeons","DOI":"10.1016/j.jamcollsurg.2021.04.029","ISSN":"1072-7515","issue":"2","journalAbbreviation":"Journal of the American College of Surgeons","page":"249-260.e2","source":"ScienceDirect","title":"Advanced Modular Manikin and Surgical Team Experience During a Trauma Simulation: Results of a Single-Blinded Randomized Trial","title-short":"Advanced Modular Manikin and Surgical Team Experience During a Trauma Simulation","volume":"233","author":[{"family":"Stefanidis","given":"Dimitrios"},{"family":"Aggarwal","given":"Rajesh"},{"family":"Rush","given":"Robert M."},{"family":"Lee","given":"Gyusung"},{"family":"Blair","given":"Patrice G."},{"family":"Hananel","given":"David"},{"family":"Park","given":"Yoon Soo"},{"family":"Sweet","given":"Robert M."},{"family":"Wisbach","given":"Gordon G."},{"family":"Sachdeva","given":"Ajit K."}],"issued":{"date-parts":[["2021",8,1]]},"citation-key":"stefanidisAdvancedModularManikin2021"},"label":"page"}],"schema":"https://github.com/citation-style-language/schema/raw/master/csl-citation.json"} </w:instrText>
      </w:r>
      <w:r w:rsidR="00240D78">
        <w:fldChar w:fldCharType="separate"/>
      </w:r>
      <w:r w:rsidR="00240D78" w:rsidRPr="00240D78">
        <w:rPr>
          <w:rFonts w:cs="Times New Roman"/>
          <w:szCs w:val="24"/>
          <w:vertAlign w:val="superscript"/>
        </w:rPr>
        <w:t>27,28</w:t>
      </w:r>
      <w:r w:rsidR="00240D78">
        <w:fldChar w:fldCharType="end"/>
      </w:r>
      <w:r>
        <w:t>.</w:t>
      </w:r>
    </w:p>
    <w:p w14:paraId="1D27D28D" w14:textId="099F3B1E" w:rsidR="004A21C7" w:rsidRDefault="00EE00F1" w:rsidP="004A21C7">
      <w:pPr>
        <w:pStyle w:val="Heading2"/>
      </w:pPr>
      <w:r>
        <w:t>Cardiopulmonary System – Circulation and Respiration</w:t>
      </w:r>
    </w:p>
    <w:tbl>
      <w:tblPr>
        <w:tblStyle w:val="TableGrid"/>
        <w:tblW w:w="0" w:type="auto"/>
        <w:tblLook w:val="04A0" w:firstRow="1" w:lastRow="0" w:firstColumn="1" w:lastColumn="0" w:noHBand="0" w:noVBand="1"/>
      </w:tblPr>
      <w:tblGrid>
        <w:gridCol w:w="9767"/>
      </w:tblGrid>
      <w:tr w:rsidR="0033689F" w14:paraId="3EA2548B" w14:textId="77777777" w:rsidTr="00361CD4">
        <w:tc>
          <w:tcPr>
            <w:tcW w:w="9767" w:type="dxa"/>
          </w:tcPr>
          <w:p w14:paraId="536BD45E" w14:textId="77777777" w:rsidR="0033689F" w:rsidRDefault="0033689F" w:rsidP="00361CD4">
            <w:pPr>
              <w:keepNext/>
            </w:pPr>
            <w:r>
              <w:rPr>
                <w:rFonts w:eastAsiaTheme="minorEastAsia"/>
                <w:noProof/>
              </w:rPr>
              <w:lastRenderedPageBreak/>
              <w:drawing>
                <wp:inline distT="0" distB="0" distL="0" distR="0" wp14:anchorId="082FCA9D" wp14:editId="0C60DE6B">
                  <wp:extent cx="6106651" cy="196794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1836" cy="1982510"/>
                          </a:xfrm>
                          <a:prstGeom prst="rect">
                            <a:avLst/>
                          </a:prstGeom>
                          <a:noFill/>
                          <a:ln>
                            <a:noFill/>
                          </a:ln>
                        </pic:spPr>
                      </pic:pic>
                    </a:graphicData>
                  </a:graphic>
                </wp:inline>
              </w:drawing>
            </w:r>
          </w:p>
          <w:p w14:paraId="6ABF0EA9" w14:textId="77777777" w:rsidR="0033689F" w:rsidRDefault="0033689F" w:rsidP="00361CD4">
            <w:pPr>
              <w:pStyle w:val="Caption"/>
              <w:rPr>
                <w:rFonts w:eastAsiaTheme="minorEastAsia"/>
              </w:rPr>
            </w:pPr>
          </w:p>
        </w:tc>
      </w:tr>
      <w:tr w:rsidR="0033689F" w14:paraId="262C2FBA" w14:textId="77777777" w:rsidTr="00361CD4">
        <w:tc>
          <w:tcPr>
            <w:tcW w:w="9767" w:type="dxa"/>
          </w:tcPr>
          <w:p w14:paraId="74922897" w14:textId="1174AF0A" w:rsidR="0033689F" w:rsidRPr="00887D66" w:rsidRDefault="0033689F" w:rsidP="00361CD4">
            <w:pPr>
              <w:pStyle w:val="Caption"/>
            </w:pPr>
            <w:r w:rsidRPr="0033689F">
              <w:rPr>
                <w:sz w:val="18"/>
                <w:szCs w:val="22"/>
              </w:rPr>
              <w:t xml:space="preserve">Figure </w:t>
            </w:r>
            <w:r w:rsidRPr="0033689F">
              <w:rPr>
                <w:sz w:val="18"/>
                <w:szCs w:val="22"/>
              </w:rPr>
              <w:fldChar w:fldCharType="begin"/>
            </w:r>
            <w:r w:rsidRPr="0033689F">
              <w:rPr>
                <w:sz w:val="18"/>
                <w:szCs w:val="22"/>
              </w:rPr>
              <w:instrText xml:space="preserve"> SEQ Figure \* ARABIC </w:instrText>
            </w:r>
            <w:r w:rsidRPr="0033689F">
              <w:rPr>
                <w:sz w:val="18"/>
                <w:szCs w:val="22"/>
              </w:rPr>
              <w:fldChar w:fldCharType="separate"/>
            </w:r>
            <w:r w:rsidR="00191A00">
              <w:rPr>
                <w:noProof/>
                <w:sz w:val="18"/>
                <w:szCs w:val="22"/>
              </w:rPr>
              <w:t>1</w:t>
            </w:r>
            <w:r w:rsidRPr="0033689F">
              <w:rPr>
                <w:sz w:val="18"/>
                <w:szCs w:val="22"/>
              </w:rPr>
              <w:fldChar w:fldCharType="end"/>
            </w:r>
            <w:r w:rsidRPr="0033689F">
              <w:rPr>
                <w:sz w:val="18"/>
                <w:szCs w:val="22"/>
              </w:rPr>
              <w:t xml:space="preserve"> – Cardiovascular circuit structure for the </w:t>
            </w:r>
            <w:proofErr w:type="spellStart"/>
            <w:r w:rsidRPr="0033689F">
              <w:rPr>
                <w:sz w:val="18"/>
                <w:szCs w:val="22"/>
              </w:rPr>
              <w:t>BioGears</w:t>
            </w:r>
            <w:proofErr w:type="spellEnd"/>
            <w:r w:rsidRPr="0033689F">
              <w:rPr>
                <w:sz w:val="18"/>
                <w:szCs w:val="22"/>
              </w:rPr>
              <w:t xml:space="preserve"> circulatory system. Respiratory, cerebral, tissue, and renal circuits are omitted for brevity. Left and right ventricle drive the system through elastance changes. Pulmonary arteries oversee oxygen diffusion between the respiratory (gas) circuit into the cardiovascular (liquid) circuit.</w:t>
            </w:r>
          </w:p>
        </w:tc>
      </w:tr>
    </w:tbl>
    <w:p w14:paraId="3E662B4A" w14:textId="77777777" w:rsidR="0033689F" w:rsidRPr="0033689F" w:rsidRDefault="0033689F" w:rsidP="0033689F"/>
    <w:p w14:paraId="2EDB93FB" w14:textId="2812315F" w:rsidR="00242C94" w:rsidRDefault="002D4797" w:rsidP="007E1706">
      <w:r>
        <w:t>Following the work done in whole-body physiological models that include circulation</w:t>
      </w:r>
      <w:r w:rsidR="00781F48">
        <w:fldChar w:fldCharType="begin"/>
      </w:r>
      <w:r w:rsidR="00781F48">
        <w:instrText xml:space="preserve"> ADDIN ZOTERO_ITEM CSL_CITATION {"citationID":"p4h4xIrW","properties":{"formattedCitation":"\\super 29\\uc0\\u8211{}32\\nosupersub{}","plainCitation":"29–32","noteIndex":0},"citationItems":[{"id":4412,"uris":["http://zotero.org/groups/5222748/items/NEBBI5F7"],"itemData":{"id":4412,"type":"article-journal","abstract":"Blood flow in the large systemic arteries is modeled using one-dimensional equations derived from the axisymmetric Navier–Stokes equations for flow in compliant and tapering vessels. The arterial tree is truncated after the first few generations of large arteries with the remaining small arteries and arterioles providing outflow boundary conditions for the large arteries. By modeling the small arteries and arterioles as a structured tree, a semi-analytical approach based on a linearized version of the governing equations can be used to derive an expression for the root impedance of the structured tree in the frequency domain. In the time domain, this provides the proper outflow boundary condition. The structured tree is a binary asymmetric tree in which the radii of the daughter vessels are scaled linearly with the radius of the parent vessel. Blood flow and pressure in the large vessels are computed as functions of time and axial distance within each of the arteries. Comparison between the simulations and magnetic resonance measurements in the ascending aorta and nine peripheral locations in one individual shows excellent agreement between the two. © 2000 Biomedical Engineering Society.","container-title":"Annals of Biomedical Engineering","DOI":"10.1114/1.1326031","ISSN":"1573-9686","issue":"11","journalAbbreviation":"Annals of Biomedical Engineering","language":"en","page":"1281-1299","source":"Springer Link","title":"Numerical Simulation and Experimental Validation of Blood Flow in Arteries with Structured-Tree Outflow Conditions","volume":"28","author":[{"family":"Olufsen","given":"Mette S."},{"family":"Peskin","given":"Charles S."},{"family":"Kim","given":"Won Yong"},{"family":"Pedersen","given":"Erik M."},{"family":"Nadim","given":"Ali"},{"family":"Larsen","given":"Jesper"}],"issued":{"date-parts":[["2000",11,1]]},"citation-key":"olufsenNumericalSimulationExperimental2000"},"label":"page"},{"id":4414,"uris":["http://zotero.org/groups/5222748/items/X8MQXZM3"],"itemData":{"id":4414,"type":"article-journal","abstract":"The cardiovascular system is considered. A direct modelling of the non-linear baroreflex-feedback mechanism, including time-delay, is developed based on physiological theory and empirical facts. The feedback model is then evaluated on an expanded, but simple, non-pulsatile Windkessel model of the cardiovascular system. The stability of the entire model is analyzed and the effect of the value of the time-delay is investigated and discussed. The time-delay may cause oscillations. A finite number of stability switches may occur dependent on the value of the time-delay. The location of these stability switches turns out to be sensitive to the value of the parameters in the model. We suggest a simple experiment to determine whether or not the time-delay is responsible for the 10 second Mayer waves. Data from an ergometer bicycle test is used for evaluation of the model.","container-title":"Journal of Mathematical Biology","DOI":"10.1007/s002850050089","ISSN":"1432-1416","issue":"1","journalAbbreviation":"J Math Biol","language":"en","page":"41-63","source":"Springer Link","title":"Modelling of the baroreflex-feedback mechanism with time-delay","volume":"36","author":[{"family":"Ottesen","given":"Johnny T."}],"issued":{"date-parts":[["1997",11,1]]},"citation-key":"ottesenModellingBaroreflexfeedbackMechanism1997"},"label":"page"},{"id":4408,"uris":["http://zotero.org/groups/5222748/items/WM6TJDS5"],"itemData":{"id":4408,"type":"article-journal","abstract":"In earlier studies we found that the three-element windkessel, although an almost perfect load for isolated heart studies, does not lead to accurate estimates of total arterial compliance. To overcome this problem, we introduce an inertial term in parallel with the characteristic impedance. In seven dogs we found that ascending aortic pressure could be predicted better from aortic flow by using the four-element windkessel than by using the three-element windkessel: the root-mean-square errors and the Akaike information criterion and Schwarz criterion were smaller for the four-element windkessel. The three-element windkessel overestimated total arterial compliance compared with the values derived from the area and the pulse pressure method (P = 0.0047, pairedt-test), whereas the four-element windkessel compliance estimates were not different (P = 0.81). The characteristic impedance was underestimated using the three-element windkessel, whereas the four-element windkessel estimation differed marginally from the averaged impedance modulus at high frequencies (P = 0.0017 and 0.031, respectively). When applied to the human, the four-element windkessel also was more accurate in these same aspects. Using a distributed model of the systemic arterial tree, we found that the inertial term results from the proper summation of all local inertial terms, and we call it total arterial inertance. We conclude that the fourelement windkessel, with all its elements having a hemodynamic meaning, is superior to the three-element windkessel as a lumped-parameter model of the entire systemic tree or as a model for parameter estimation of vascular properties.","container-title":"American Journal of Physiology-Heart and Circulatory Physiology","DOI":"10.1152/ajpheart.1999.276.1.H81","ISSN":"0363-6135","issue":"1","note":"publisher: American Physiological Society","page":"H81-H88","source":"journals.physiology.org (Atypon)","title":"Total arterial inertance as the fourth element  of the windkessel model","volume":"276","author":[{"family":"Stergiopulos","given":"Nikos"},{"family":"Westerhof","given":"Berend E."},{"family":"Westerhof","given":"Nico"}],"issued":{"date-parts":[["1999",1]]},"citation-key":"stergiopulosTotalArterialInertance1999"},"label":"page"},{"id":4406,"uris":["http://zotero.org/groups/5222748/items/YFK5H2LU"],"itemData":{"id":4406,"type":"article-journal","abstract":"Frank’s Windkessel model described the hemodynamics of the arterial system in terms of resistance and compliance. It explained aortic pressure decay in diastole, but fell short in systole. Therefore characteristic impedance was introduced as a third element of the Windkessel model. Characteristic impedance links the lumped Windkessel to transmission phenomena (e.g., wave travel). Windkessels are used as hydraulic load for isolated hearts and in studies of the entire circulation. Furthermore, they are used to estimate total arterial compliance from pressure and flow; several of these methods are reviewed. Windkessels describe the general features of the input impedance, with physiologically interpretable parameters. Since it is a lumped model it is not suitable for the assessment of spatially distributed phenomena and aspects of wave travel, but it is a simple and fairly accurate approximation of ventricular afterload.","container-title":"Medical &amp; Biological Engineering &amp; Computing","DOI":"10.1007/s11517-008-0359-2","ISSN":"1741-0444","issue":"2","journalAbbreviation":"Med Biol Eng Comput","language":"en","page":"131-141","source":"Springer Link","title":"The arterial Windkessel","volume":"47","author":[{"family":"Westerhof","given":"Nico"},{"family":"Lankhaar","given":"Jan-Willem"},{"family":"Westerhof","given":"Berend E."}],"issued":{"date-parts":[["2009",2,1]]},"citation-key":"westerhofArterialWindkessel2009a"},"label":"page"}],"schema":"https://github.com/citation-style-language/schema/raw/master/csl-citation.json"} </w:instrText>
      </w:r>
      <w:r w:rsidR="00781F48">
        <w:fldChar w:fldCharType="separate"/>
      </w:r>
      <w:r w:rsidR="00781F48" w:rsidRPr="00781F48">
        <w:rPr>
          <w:rFonts w:cs="Times New Roman"/>
          <w:szCs w:val="24"/>
          <w:vertAlign w:val="superscript"/>
        </w:rPr>
        <w:t>29–32</w:t>
      </w:r>
      <w:r w:rsidR="00781F48">
        <w:fldChar w:fldCharType="end"/>
      </w:r>
      <w:r>
        <w:t>, w</w:t>
      </w:r>
      <w:r w:rsidR="003F558B">
        <w:t xml:space="preserve">e model the circulation by constructing an electrical circuit analog that characterizes the fluid dynamics. Flow rates and pressures are approximated by </w:t>
      </w:r>
      <w:r>
        <w:t>current and voltage and computed each time step. Using this approximation, we compute the state of the circulation leveraging Kirchhoff’s voltage and current laws at each node on the graph</w:t>
      </w:r>
      <w:r w:rsidR="00781F48">
        <w:t xml:space="preserve">. We begin by denoting ground as our reference node </w:t>
      </w:r>
      <w:r w:rsidR="004B7D56">
        <w:t>the label nodes in the system and initialize certain node pressures as a function of experimental data</w:t>
      </w:r>
      <w:r w:rsidR="004B7D56">
        <w:fldChar w:fldCharType="begin"/>
      </w:r>
      <w:r w:rsidR="004B7D56">
        <w:instrText xml:space="preserve"> ADDIN ZOTERO_ITEM CSL_CITATION {"citationID":"L75qEEK4","properties":{"formattedCitation":"\\super 33,34\\nosupersub{}","plainCitation":"33,34","noteIndex":0},"citationItems":[{"id":4416,"uris":["http://zotero.org/groups/5222748/items/NNVXTJTV"],"itemData":{"id":4416,"type":"article-journal","abstract":"This report presents detailed information on age- and gender-related differences in the anatomical and physiological characteristics of reference individuals. These reference values provide needed input to prospective dosimetry calculations for radiation protection purposes for both workers and members of the general public. The purpose of this report is to consolidate and unify in one publication, important new information on reference anatomical and physiological values that has become available since Publication 23 was published by the ICRP in 1975. There are two aspects of this work. The first is to revise and extend the information in Publication 23 as appropriate. The second is to provide additional information on individual variation among grossly normal individuals resulting from differences in age, gender, race, or other factors. This publication collects, unifies, and expands the updated ICRP reference values for the purpose of providing a comprehensive and consistent set of age- and gender-specific reference values for anatomical and physiological features of the human body pertinent to radiation dosimetry. The reference values given in this report are based on: (a) anatomical and physiological information not published before by the ICRP; (b) recent ICRP publications containing reference value information; and (c) information in Publication 23 that is still considered valid and appropriate for radiation protection purposes. Moving from the past emphasis on ‘Reference Man’, the new report presents a series of reference values for both male and female subjects of six different ages: newborn, 1 year, 5 years, 10 years, 15 years, and adult. In selecting reference values, the Commission has used data on Western Europeans and North Americans because these populations have been well studied with respect to antomy, body composition, and physiology. When appropriate, comparisons are made between the chosen reference values and data from several Asian populations. The first section of the report provides summary tables of all the anatomical and physiological parameters given as reference values in this publication. These results give a comprehensive view of reference values for an individual as influenced by age and gender. The second section describes characteristics of dosimetric importance for the embryo and fetus. Information is provided on the development of the total body and the timing of appearance and development of the various organ systems. Reference values are provided on the mass of the total body and selected organs and tissues, as well as a number of physiological parameters. The third section deals with reference values of important anatomical and physiological characteristics of reference individuals from birth to adulthood. This section begins with details on the growth and composition of the total body in males and females. It then describes and quantifies anatomical and physiological characteristics of various organ systems and changes in these characteristics during growth, maturity, and pregnancy. Reference values are specified for characteristics of dosimetric importance. The final section gives a brief summary of the elemental composition of individuals. Focusing on the elements of dosimetric importance, information is presented on the body content of 13 elements: calcium, carbon, chloride, hydrogen, iodine, iron, magnesium, nitrogen, oxygen, potassium, sodium, sulphur, and phosphorus.","container-title":"Annals of the ICRP","DOI":"10.1016/S0146-6453(03)00002-2","ISSN":"0146-6453","issue":"3","journalAbbreviation":"Annals of the ICRP","page":"1-277","source":"ScienceDirect","title":"Basic anatomical and physiological data for use in radiological protection: reference values: ICRP Publication 89","title-short":"Basic anatomical and physiological data for use in radiological protection","volume":"32","author":[{"family":"Valentin","given":"J."}],"issued":{"date-parts":[["2002",9,1]]},"citation-key":"valentinBasicAnatomicalPhysiological2002"},"label":"page"},{"id":4419,"uris":["http://zotero.org/groups/5222748/items/JWY7NSKM"],"itemData":{"id":4419,"type":"chapter","abstract":"Windkessel and similar lumped models are often used to represent blood flow and pressure in the systemic arteries. This chapter provides the one-dimensional axisymmetric Navier–Stokes equation for time-dependent blood flow in a rigid vessel to derive lumped models relating flow and pressure. This is done through Laplace transform and its inversion via residue theory. Upon keeping contributions from one, two, or more residues, researchers derive lumped models of successively higher order. It focuses on zeroth and first-order models and relates them to electrical circuit models and to models representing elastic arteries. Lumped models are used to describe the cardiovascular system as a whole, including all vessels from the aorta to the arterioles.","container-title":"Computational Fluid and Solid Mechanics 2003","event-place":"Oxford","ISBN":"978-0-08-044046-0","note":"DOI: 10.1016/B978-008044046-0.50436-X","page":"1786-1789","publisher":"Elsevier Science Ltd","publisher-place":"Oxford","source":"ScienceDirect","title":"- On deriving lumped models for blood flow and pressure in the systemic arteries","URL":"https://www.sciencedirect.com/science/article/pii/B978008044046050436X","author":[{"family":"Olufsen","given":"Mette S."},{"family":"Nadim","given":"Ali"}],"editor":[{"family":"Bathe","given":"K. J."}],"accessed":{"date-parts":[["2024",5,31]]},"issued":{"date-parts":[["2003",1,1]]},"citation-key":"olufsenDerivingLumpedModels2003"},"label":"page"}],"schema":"https://github.com/citation-style-language/schema/raw/master/csl-citation.json"} </w:instrText>
      </w:r>
      <w:r w:rsidR="004B7D56">
        <w:fldChar w:fldCharType="separate"/>
      </w:r>
      <w:r w:rsidR="004B7D56" w:rsidRPr="004B7D56">
        <w:rPr>
          <w:rFonts w:cs="Times New Roman"/>
          <w:szCs w:val="24"/>
          <w:vertAlign w:val="superscript"/>
        </w:rPr>
        <w:t>33,34</w:t>
      </w:r>
      <w:r w:rsidR="004B7D56">
        <w:fldChar w:fldCharType="end"/>
      </w:r>
      <w:r w:rsidR="004B7D56">
        <w:t xml:space="preserve"> or are optimized for desired patient dynamics. </w:t>
      </w:r>
      <w:r w:rsidR="00242C94">
        <w:t>Once nodes are labeled and initialized we perform modified nodal analysis</w:t>
      </w:r>
      <w:r w:rsidR="00242C94">
        <w:fldChar w:fldCharType="begin"/>
      </w:r>
      <w:r w:rsidR="00242C94">
        <w:instrText xml:space="preserve"> ADDIN ZOTERO_ITEM CSL_CITATION {"citationID":"I69MfZcU","properties":{"formattedCitation":"\\super 35\\nosupersub{}","plainCitation":"35","noteIndex":0},"citationItems":[{"id":4421,"uris":["http://zotero.org/groups/5222748/items/WK3YLVEQ"],"itemData":{"id":4421,"type":"article-journal","abstract":"The nodal method has been widely used for formulating circuit equations in computer-aided network analysis and design programs. However, several limitations exist in this method including the inability to process voltage sources and current-dependent circuit elements in a simple and efficient manner. A modified nodal analysis (MNA) method is proposed here which retains the simplicity and other advantages of nodal analysis while removing its limitations. A simple and effective pivoting scheme is also given. Numerical examples are used to compare the MNA method with the tableau method. Favorable results are observed for the MNA method in terms of the dimension, number of nonzeros, and fill-ins for comparable circuit matrices.","container-title":"IEEE Transactions on Circuits and Systems","DOI":"10.1109/TCS.1975.1084079","ISSN":"1558-1276","issue":"6","note":"event-title: IEEE Transactions on Circuits and Systems","page":"504-509","source":"IEEE Xplore","title":"The modified nodal approach to network analysis","volume":"22","author":[{"family":"Ho","given":"Chung-Wen"},{"family":"Ruehli","given":"A."},{"family":"Brennan","given":"P."}],"issued":{"date-parts":[["1975",6]]},"citation-key":"hoModifiedNodalApproach1975"}}],"schema":"https://github.com/citation-style-language/schema/raw/master/csl-citation.json"} </w:instrText>
      </w:r>
      <w:r w:rsidR="00242C94">
        <w:fldChar w:fldCharType="separate"/>
      </w:r>
      <w:r w:rsidR="00242C94" w:rsidRPr="00242C94">
        <w:rPr>
          <w:rFonts w:cs="Times New Roman"/>
          <w:szCs w:val="24"/>
          <w:vertAlign w:val="superscript"/>
        </w:rPr>
        <w:t>35</w:t>
      </w:r>
      <w:r w:rsidR="00242C94">
        <w:fldChar w:fldCharType="end"/>
      </w:r>
      <w:r w:rsidR="00242C94">
        <w:t xml:space="preserve"> to populate a matrix that contains the system dynamics. For each node we use Kirchhoff’s current and voltage laws to solve for unknown quantities. If Voltage is defined across a resistor, we use Ohm’s law to define a relationship between current and voltage. Using this denotation, we construct the following matrix equation: </w:t>
      </w:r>
    </w:p>
    <w:p w14:paraId="7A71EFE6" w14:textId="20F71F6F" w:rsidR="00242C94" w:rsidRPr="00632179" w:rsidRDefault="00000000" w:rsidP="007E1706">
      <w:pPr>
        <w:rPr>
          <w:rFonts w:eastAsiaTheme="minorEastAsia"/>
          <w:sz w:val="20"/>
          <w:szCs w:val="20"/>
        </w:rPr>
      </w:pPr>
      <m:oMathPara>
        <m:oMath>
          <m:d>
            <m:dPr>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G</m:t>
                    </m:r>
                  </m:e>
                  <m:e>
                    <m:r>
                      <w:rPr>
                        <w:rFonts w:ascii="Cambria Math" w:hAnsi="Cambria Math"/>
                        <w:sz w:val="20"/>
                        <w:szCs w:val="20"/>
                      </w:rPr>
                      <m:t>B</m:t>
                    </m:r>
                  </m:e>
                </m:mr>
                <m:mr>
                  <m:e>
                    <m:r>
                      <w:rPr>
                        <w:rFonts w:ascii="Cambria Math" w:hAnsi="Cambria Math"/>
                        <w:sz w:val="20"/>
                        <w:szCs w:val="20"/>
                      </w:rPr>
                      <m:t>C</m:t>
                    </m:r>
                  </m:e>
                  <m:e>
                    <m:r>
                      <w:rPr>
                        <w:rFonts w:ascii="Cambria Math" w:hAnsi="Cambria Math"/>
                        <w:sz w:val="20"/>
                        <w:szCs w:val="20"/>
                      </w:rPr>
                      <m:t>D</m:t>
                    </m:r>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n</m:t>
                        </m:r>
                      </m:sub>
                    </m:sSub>
                  </m:e>
                </m:m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e>
                </m:mr>
              </m:m>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e>
                </m:mr>
                <m:m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e>
                </m:mr>
              </m:m>
            </m:e>
          </m:d>
        </m:oMath>
      </m:oMathPara>
    </w:p>
    <w:p w14:paraId="134D175E" w14:textId="2211AF56" w:rsidR="00AD1B90" w:rsidRDefault="00AD1B90" w:rsidP="007E1706">
      <w:pPr>
        <w:rPr>
          <w:rFonts w:eastAsiaTheme="minorEastAsia"/>
        </w:rPr>
      </w:pPr>
      <w:r>
        <w:rPr>
          <w:rFonts w:eastAsiaTheme="minorEastAsia"/>
        </w:rPr>
        <w:t xml:space="preserve">Here, the G matrix </w:t>
      </w:r>
      <w:r w:rsidRPr="00AD1B90">
        <w:rPr>
          <w:rFonts w:eastAsiaTheme="minorEastAsia"/>
        </w:rPr>
        <w:t>is the nodal admittance matrix (conductance matrix for resistors).</w:t>
      </w:r>
      <w:r>
        <w:rPr>
          <w:rFonts w:eastAsiaTheme="minorEastAsia"/>
        </w:rPr>
        <w:t xml:space="preserve"> </w:t>
      </w:r>
      <w:r w:rsidRPr="00AD1B90">
        <w:rPr>
          <w:rFonts w:eastAsiaTheme="minorEastAsia"/>
        </w:rPr>
        <w:t>B is a matrix representing the connection of voltage sources to nodes.</w:t>
      </w:r>
      <w:r>
        <w:rPr>
          <w:rFonts w:eastAsiaTheme="minorEastAsia"/>
        </w:rPr>
        <w:t xml:space="preserve"> </w:t>
      </w:r>
      <w:r w:rsidRPr="00AD1B90">
        <w:rPr>
          <w:rFonts w:eastAsiaTheme="minorEastAsia"/>
        </w:rPr>
        <w:t>C is the transpose of B.</w:t>
      </w:r>
      <w:r>
        <w:rPr>
          <w:rFonts w:eastAsiaTheme="minorEastAsia"/>
        </w:rPr>
        <w:t xml:space="preserve"> </w:t>
      </w:r>
      <w:r w:rsidRPr="00AD1B90">
        <w:rPr>
          <w:rFonts w:eastAsiaTheme="minorEastAsia"/>
        </w:rPr>
        <w:t>D is a diagonal matrix representing the internal resistances of voltage sources.</w:t>
      </w:r>
      <w:r>
        <w:rPr>
          <w:rFonts w:eastAsiaTheme="minorEastAsia"/>
        </w:rPr>
        <w:t xml:space="preserve"> </w:t>
      </w:r>
      <w:proofErr w:type="spellStart"/>
      <w:r>
        <w:rPr>
          <w:rFonts w:eastAsiaTheme="minorEastAsia"/>
        </w:rPr>
        <w:t>V</w:t>
      </w:r>
      <w:r>
        <w:rPr>
          <w:rFonts w:eastAsiaTheme="minorEastAsia"/>
          <w:vertAlign w:val="subscript"/>
        </w:rPr>
        <w:t>n</w:t>
      </w:r>
      <w:proofErr w:type="spellEnd"/>
      <w:r>
        <w:rPr>
          <w:rFonts w:eastAsiaTheme="minorEastAsia"/>
        </w:rPr>
        <w:t xml:space="preserve"> is the unknown voltages and </w:t>
      </w:r>
      <w:proofErr w:type="spellStart"/>
      <w:r>
        <w:rPr>
          <w:rFonts w:eastAsiaTheme="minorEastAsia"/>
        </w:rPr>
        <w:t>I</w:t>
      </w:r>
      <w:r>
        <w:rPr>
          <w:rFonts w:eastAsiaTheme="minorEastAsia"/>
          <w:vertAlign w:val="subscript"/>
        </w:rPr>
        <w:t>m</w:t>
      </w:r>
      <w:proofErr w:type="spellEnd"/>
      <w:r>
        <w:rPr>
          <w:rFonts w:eastAsiaTheme="minorEastAsia"/>
        </w:rPr>
        <w:t xml:space="preserve"> denotes the unknown currents. I</w:t>
      </w:r>
      <w:r>
        <w:rPr>
          <w:rFonts w:eastAsiaTheme="minorEastAsia"/>
          <w:vertAlign w:val="subscript"/>
        </w:rPr>
        <w:t>s</w:t>
      </w:r>
      <w:r>
        <w:rPr>
          <w:rFonts w:eastAsiaTheme="minorEastAsia"/>
        </w:rPr>
        <w:t xml:space="preserve"> and V</w:t>
      </w:r>
      <w:r>
        <w:rPr>
          <w:rFonts w:eastAsiaTheme="minorEastAsia"/>
          <w:vertAlign w:val="subscript"/>
        </w:rPr>
        <w:t>s</w:t>
      </w:r>
      <w:r>
        <w:rPr>
          <w:rFonts w:eastAsiaTheme="minorEastAsia"/>
        </w:rPr>
        <w:t xml:space="preserve"> denote the current and voltage sources in the system. For our implementation, we note that I</w:t>
      </w:r>
      <w:r>
        <w:rPr>
          <w:rFonts w:eastAsiaTheme="minorEastAsia"/>
          <w:vertAlign w:val="subscript"/>
        </w:rPr>
        <w:t>s</w:t>
      </w:r>
      <w:r>
        <w:rPr>
          <w:rFonts w:eastAsiaTheme="minorEastAsia"/>
        </w:rPr>
        <w:t xml:space="preserve"> </w:t>
      </w:r>
      <w:proofErr w:type="spellStart"/>
      <w:r>
        <w:rPr>
          <w:rFonts w:eastAsiaTheme="minorEastAsia"/>
        </w:rPr>
        <w:t>is</w:t>
      </w:r>
      <w:proofErr w:type="spellEnd"/>
      <w:r>
        <w:rPr>
          <w:rFonts w:eastAsiaTheme="minorEastAsia"/>
        </w:rPr>
        <w:t xml:space="preserve"> zero. To handle the compliances in the system we approximate using backward </w:t>
      </w:r>
      <w:proofErr w:type="spellStart"/>
      <w:r>
        <w:rPr>
          <w:rFonts w:eastAsiaTheme="minorEastAsia"/>
        </w:rPr>
        <w:t>euler</w:t>
      </w:r>
      <w:proofErr w:type="spellEnd"/>
      <w:r>
        <w:rPr>
          <w:rFonts w:eastAsiaTheme="minorEastAsia"/>
        </w:rPr>
        <w:t xml:space="preserve"> step</w:t>
      </w:r>
      <w:r w:rsidR="001D7962">
        <w:rPr>
          <w:rFonts w:eastAsiaTheme="minorEastAsia"/>
        </w:rPr>
        <w:t xml:space="preserve"> to compute the current for a given capacitor C</w:t>
      </w:r>
      <w:r>
        <w:rPr>
          <w:rFonts w:eastAsiaTheme="minorEastAsia"/>
        </w:rPr>
        <w:t xml:space="preserve">: </w:t>
      </w:r>
    </w:p>
    <w:p w14:paraId="0F0D81E3" w14:textId="1C2D6292" w:rsidR="00AD1B90" w:rsidRPr="00632179" w:rsidRDefault="00000000" w:rsidP="007E1706">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C</m:t>
              </m:r>
            </m:sub>
          </m:sSub>
          <m:d>
            <m:dPr>
              <m:ctrlPr>
                <w:rPr>
                  <w:rFonts w:ascii="Cambria Math" w:eastAsiaTheme="minorEastAsia" w:hAnsi="Cambria Math"/>
                  <w:i/>
                  <w:sz w:val="20"/>
                  <w:szCs w:val="20"/>
                </w:rPr>
              </m:ctrlPr>
            </m:dPr>
            <m:e>
              <m:r>
                <w:rPr>
                  <w:rFonts w:ascii="Cambria Math" w:eastAsiaTheme="minorEastAsia" w:hAnsi="Cambria Math"/>
                  <w:sz w:val="20"/>
                  <w:szCs w:val="20"/>
                </w:rPr>
                <m:t>t+∆t</m:t>
              </m:r>
            </m:e>
          </m:d>
          <m:r>
            <w:rPr>
              <w:rFonts w:ascii="Cambria Math" w:eastAsiaTheme="minorEastAsia" w:hAnsi="Cambria Math"/>
              <w:sz w:val="20"/>
              <w:szCs w:val="20"/>
            </w:rPr>
            <m:t>=C</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m:t>
                  </m:r>
                </m:sub>
              </m:sSub>
              <m:d>
                <m:dPr>
                  <m:ctrlPr>
                    <w:rPr>
                      <w:rFonts w:ascii="Cambria Math" w:eastAsiaTheme="minorEastAsia" w:hAnsi="Cambria Math"/>
                      <w:i/>
                      <w:sz w:val="20"/>
                      <w:szCs w:val="20"/>
                    </w:rPr>
                  </m:ctrlPr>
                </m:dPr>
                <m:e>
                  <m:r>
                    <w:rPr>
                      <w:rFonts w:ascii="Cambria Math" w:eastAsiaTheme="minorEastAsia" w:hAnsi="Cambria Math"/>
                      <w:sz w:val="20"/>
                      <w:szCs w:val="20"/>
                    </w:rPr>
                    <m:t>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num>
            <m:den>
              <m:r>
                <w:rPr>
                  <w:rFonts w:ascii="Cambria Math" w:eastAsiaTheme="minorEastAsia" w:hAnsi="Cambria Math"/>
                  <w:sz w:val="20"/>
                  <w:szCs w:val="20"/>
                </w:rPr>
                <m:t>∆t</m:t>
              </m:r>
            </m:den>
          </m:f>
        </m:oMath>
      </m:oMathPara>
    </w:p>
    <w:p w14:paraId="2D126F9C" w14:textId="235AA999" w:rsidR="001D7962" w:rsidRDefault="001D7962" w:rsidP="007E1706">
      <w:pPr>
        <w:rPr>
          <w:rFonts w:eastAsiaTheme="minorEastAsia"/>
        </w:rPr>
      </w:pPr>
      <w:r>
        <w:rPr>
          <w:rFonts w:eastAsiaTheme="minorEastAsia"/>
        </w:rPr>
        <w:t xml:space="preserve">Thus, for each capacitor connecting nodes i and j, we have: </w:t>
      </w:r>
    </w:p>
    <w:p w14:paraId="558E50BD" w14:textId="6FAE1264" w:rsidR="001D7962" w:rsidRPr="00632179" w:rsidRDefault="00000000" w:rsidP="001D796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t+∆t</m:t>
              </m:r>
            </m:e>
          </m:d>
          <m:r>
            <w:rPr>
              <w:rFonts w:ascii="Cambria Math" w:eastAsiaTheme="minorEastAsia" w:hAnsi="Cambria Math"/>
              <w:sz w:val="20"/>
              <w:szCs w:val="20"/>
            </w:rPr>
            <m:t>=C</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j</m:t>
                  </m:r>
                </m:sub>
              </m:sSub>
              <m:d>
                <m:dPr>
                  <m:ctrlPr>
                    <w:rPr>
                      <w:rFonts w:ascii="Cambria Math" w:eastAsiaTheme="minorEastAsia" w:hAnsi="Cambria Math"/>
                      <w:i/>
                      <w:sz w:val="20"/>
                      <w:szCs w:val="20"/>
                    </w:rPr>
                  </m:ctrlPr>
                </m:dPr>
                <m:e>
                  <m:r>
                    <w:rPr>
                      <w:rFonts w:ascii="Cambria Math" w:eastAsiaTheme="minorEastAsia" w:hAnsi="Cambria Math"/>
                      <w:sz w:val="20"/>
                      <w:szCs w:val="20"/>
                    </w:rPr>
                    <m:t>t+∆t</m:t>
                  </m:r>
                </m:e>
              </m:d>
            </m:num>
            <m:den>
              <m:r>
                <w:rPr>
                  <w:rFonts w:ascii="Cambria Math" w:eastAsiaTheme="minorEastAsia" w:hAnsi="Cambria Math"/>
                  <w:sz w:val="20"/>
                  <w:szCs w:val="20"/>
                </w:rPr>
                <m:t>∆t</m:t>
              </m:r>
            </m:den>
          </m:f>
        </m:oMath>
      </m:oMathPara>
    </w:p>
    <w:p w14:paraId="6028A528" w14:textId="7F278363" w:rsidR="001D7962" w:rsidRDefault="001D7962" w:rsidP="007E1706">
      <w:pPr>
        <w:rPr>
          <w:rFonts w:eastAsiaTheme="minorEastAsia"/>
        </w:rPr>
      </w:pPr>
      <w:r>
        <w:rPr>
          <w:rFonts w:eastAsiaTheme="minorEastAsia"/>
        </w:rPr>
        <w:lastRenderedPageBreak/>
        <w:t xml:space="preserve">Now defining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∆t</m:t>
            </m:r>
          </m:den>
        </m:f>
      </m:oMath>
      <w:r>
        <w:rPr>
          <w:rFonts w:eastAsiaTheme="minorEastAsia"/>
        </w:rPr>
        <w:t xml:space="preserve">, we can derive an update scheme for the G and Z matrices to be: </w:t>
      </w:r>
    </w:p>
    <w:p w14:paraId="563244FA" w14:textId="4D8F89E7" w:rsidR="001D7962" w:rsidRPr="001D7962" w:rsidRDefault="00000000" w:rsidP="007E1706">
      <w:pPr>
        <w:rPr>
          <w:rFonts w:eastAsiaTheme="minorEastAsia"/>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r>
            <m:rPr>
              <m:sty m:val="p"/>
            </m:rPr>
            <w:rPr>
              <w:rFonts w:ascii="Cambria Math" w:eastAsiaTheme="minorEastAsia" w:hAnsi="Cambria Math"/>
              <w:sz w:val="20"/>
              <w:szCs w:val="20"/>
            </w:rPr>
            <w:br/>
          </m:r>
        </m:oMath>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j</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m:rPr>
              <m:sty m:val="p"/>
            </m:rPr>
            <w:rPr>
              <w:rFonts w:ascii="Cambria Math" w:eastAsiaTheme="minorEastAsia" w:hAnsi="Cambria Math"/>
              <w:sz w:val="20"/>
              <w:szCs w:val="20"/>
            </w:rPr>
            <w:br/>
          </m:r>
        </m:oMath>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m:oMathPara>
    </w:p>
    <w:p w14:paraId="680BB2B6" w14:textId="217BD6C6" w:rsidR="001D7962" w:rsidRDefault="00887D66" w:rsidP="007E1706">
      <w:pPr>
        <w:rPr>
          <w:rFonts w:eastAsiaTheme="minorEastAsia"/>
        </w:rPr>
      </w:pPr>
      <w:r>
        <w:rPr>
          <w:rFonts w:eastAsiaTheme="minorEastAsia"/>
        </w:rPr>
        <w:t xml:space="preserve">We note that along the diagonal, we sum the capacitance contribution in the G matrix. Once the matrix is </w:t>
      </w:r>
      <w:r w:rsidR="00C32F86">
        <w:rPr>
          <w:rFonts w:eastAsiaTheme="minorEastAsia"/>
        </w:rPr>
        <w:t>constructed,</w:t>
      </w:r>
      <w:r>
        <w:rPr>
          <w:rFonts w:eastAsiaTheme="minorEastAsia"/>
        </w:rPr>
        <w:t xml:space="preserve"> we use LU factorization to solve the sparse system.</w:t>
      </w:r>
    </w:p>
    <w:p w14:paraId="46CDAA9B" w14:textId="3ADF53B0" w:rsidR="00C32F86" w:rsidRDefault="00C32F86" w:rsidP="007E1706">
      <w:pPr>
        <w:rPr>
          <w:rFonts w:eastAsiaTheme="minorEastAsia"/>
        </w:rPr>
      </w:pPr>
      <w:r>
        <w:rPr>
          <w:rFonts w:eastAsiaTheme="minorEastAsia"/>
        </w:rPr>
        <w:t>To drive the circulation, building on prior work</w:t>
      </w:r>
      <w:r>
        <w:rPr>
          <w:rFonts w:eastAsiaTheme="minorEastAsia"/>
        </w:rPr>
        <w:fldChar w:fldCharType="begin"/>
      </w:r>
      <w:r>
        <w:rPr>
          <w:rFonts w:eastAsiaTheme="minorEastAsia"/>
        </w:rPr>
        <w:instrText xml:space="preserve"> ADDIN ZOTERO_ITEM CSL_CITATION {"citationID":"r0SbiN0J","properties":{"formattedCitation":"\\super 36\\nosupersub{}","plainCitation":"36","noteIndex":0},"citationItems":[{"id":4423,"uris":["http://zotero.org/groups/5222748/items/IQJDK3JG"],"itemData":{"id":4423,"type":"article-journal","abstract":"We investigated how parameters describing the heart and the arterial system contribute to the systolic and diastolic pressures (Ps and Pd, respectively) and stroke volume (SV). We have described the heart by the varying-elastance model with six parameters and the systemic arterial tree by the three-element windkessel model, leading to a total of nine parameters. Application of dimensional analysis led to a total of six dimensionless parameters describing dimensionless Ps and Pd, i.e., pressures with respect to venous pressure (Ps/Pv and Pd/Pv). SV was normalized with respect to unloaded ventricular volume (Vd). Sensitivity analysis showed that Ps/Pv, Pd/Pv, and SV/Vd could be accurately described by four, three, and three dimensionless parameters, respectively. With this limited number of parameters, it was then possible to obtain empirical analytical expressions for Ps/Pv, Pd/Pv, and SV/Vd. The analytic predictions were tested against the model values and found to be as follows: Ps predicted = (1.0007 +/- 0.0062) Ps, r = 0.987; Pd predicted = (1.016 +/- 0.0085) Pd, r = 0.992; and SV predicted = (0.9987 +/- 0.0028) SV, r = 0.996. We conclude that aortic Ps, Pd, and SV can be accurately described by a limited number of parameters and that, for any condition of the heart and the arterial system, Ps, Pd, and SV can be presented in analytical form.","container-title":"American Journal of Physiology-Heart and Circulatory Physiology","DOI":"10.1152/ajpheart.1996.270.6.H2050","ISSN":"0363-6135","issue":"6","note":"publisher: American Physiological Society","page":"H2050-H2059","source":"journals.physiology.org (Atypon)","title":"Determinants of stroke volume and systolic and diastolic aortic pressure","volume":"270","author":[{"family":"Stergiopulos","given":"N."},{"family":"Meister","given":"J. J."},{"family":"Westerhof","given":"N."}],"issued":{"date-parts":[["1996",6]]},"citation-key":"stergiopulosDeterminantsStrokeVolume1996"}}],"schema":"https://github.com/citation-style-language/schema/raw/master/csl-citation.json"} </w:instrText>
      </w:r>
      <w:r>
        <w:rPr>
          <w:rFonts w:eastAsiaTheme="minorEastAsia"/>
        </w:rPr>
        <w:fldChar w:fldCharType="separate"/>
      </w:r>
      <w:r w:rsidRPr="00C32F86">
        <w:rPr>
          <w:rFonts w:cs="Times New Roman"/>
          <w:szCs w:val="24"/>
          <w:vertAlign w:val="superscript"/>
        </w:rPr>
        <w:t>36</w:t>
      </w:r>
      <w:r>
        <w:rPr>
          <w:rFonts w:eastAsiaTheme="minorEastAsia"/>
        </w:rPr>
        <w:fldChar w:fldCharType="end"/>
      </w:r>
      <w:r>
        <w:rPr>
          <w:rFonts w:eastAsiaTheme="minorEastAsia"/>
        </w:rPr>
        <w:t xml:space="preserve">, we construct a driver function that relates elastance to cardiac cycle time: </w:t>
      </w:r>
    </w:p>
    <w:p w14:paraId="1485DC60" w14:textId="3B66B850" w:rsidR="00C32F86" w:rsidRPr="00632179" w:rsidRDefault="00000000" w:rsidP="007E1706">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max,v</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min,v</m:t>
                  </m:r>
                </m:sub>
              </m:sSub>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t</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max</m:t>
                      </m:r>
                    </m:sub>
                  </m:sSub>
                </m:den>
              </m:f>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min,v</m:t>
              </m:r>
            </m:sub>
          </m:sSub>
        </m:oMath>
      </m:oMathPara>
    </w:p>
    <w:p w14:paraId="4FD7AA13" w14:textId="6F569218" w:rsidR="00441491" w:rsidRDefault="00441491" w:rsidP="007E1706">
      <w:pPr>
        <w:rPr>
          <w:rFonts w:eastAsiaTheme="minorEastAsia"/>
        </w:rPr>
      </w:pPr>
      <w:r>
        <w:rPr>
          <w:rFonts w:eastAsiaTheme="minorEastAsia"/>
        </w:rPr>
        <w:t xml:space="preserve">Here </w:t>
      </w:r>
      <w:proofErr w:type="spellStart"/>
      <w:r>
        <w:rPr>
          <w:rFonts w:eastAsiaTheme="minorEastAsia"/>
        </w:rPr>
        <w:t>E</w:t>
      </w:r>
      <w:r>
        <w:rPr>
          <w:rFonts w:eastAsiaTheme="minorEastAsia"/>
          <w:vertAlign w:val="subscript"/>
        </w:rPr>
        <w:t>v</w:t>
      </w:r>
      <w:proofErr w:type="spellEnd"/>
      <w:r>
        <w:rPr>
          <w:rFonts w:eastAsiaTheme="minorEastAsia"/>
          <w:vertAlign w:val="subscript"/>
        </w:rPr>
        <w:t xml:space="preserve"> </w:t>
      </w:r>
      <w:r>
        <w:rPr>
          <w:rFonts w:eastAsiaTheme="minorEastAsia"/>
        </w:rPr>
        <w:t xml:space="preserve">denotes the </w:t>
      </w:r>
      <w:proofErr w:type="spellStart"/>
      <w:r>
        <w:rPr>
          <w:rFonts w:eastAsiaTheme="minorEastAsia"/>
        </w:rPr>
        <w:t>elacitance</w:t>
      </w:r>
      <w:proofErr w:type="spellEnd"/>
      <w:r>
        <w:rPr>
          <w:rFonts w:eastAsiaTheme="minorEastAsia"/>
        </w:rPr>
        <w:t xml:space="preserve"> for a given </w:t>
      </w:r>
      <w:proofErr w:type="spellStart"/>
      <w:r>
        <w:rPr>
          <w:rFonts w:eastAsiaTheme="minorEastAsia"/>
        </w:rPr>
        <w:t>ventrical</w:t>
      </w:r>
      <w:proofErr w:type="spellEnd"/>
      <w:r>
        <w:rPr>
          <w:rFonts w:eastAsiaTheme="minorEastAsia"/>
        </w:rPr>
        <w:t xml:space="preserve"> with associated max and min values and f is a nonlinear relationship between current simulation time and period of contraction for a given cardiac cycle: </w:t>
      </w:r>
    </w:p>
    <w:p w14:paraId="46C9B288" w14:textId="3D906D48" w:rsidR="00441491" w:rsidRPr="00632179" w:rsidRDefault="00441491" w:rsidP="007E1706">
      <w:pPr>
        <w:rPr>
          <w:rFonts w:eastAsiaTheme="minorEastAsia"/>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1</m:t>
                                  </m:r>
                                </m:sub>
                              </m:sSub>
                              <m:r>
                                <w:rPr>
                                  <w:rFonts w:ascii="Cambria Math" w:eastAsiaTheme="minorEastAsia" w:hAnsi="Cambria Math"/>
                                  <w:sz w:val="20"/>
                                  <w:szCs w:val="20"/>
                                </w:rPr>
                                <m:t>T</m:t>
                              </m:r>
                            </m:den>
                          </m:f>
                        </m:e>
                      </m:d>
                    </m:e>
                    <m:sup>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1</m:t>
                          </m:r>
                        </m:sub>
                      </m:sSub>
                    </m:sup>
                  </m:sSup>
                </m:num>
                <m:den>
                  <m:r>
                    <w:rPr>
                      <w:rFonts w:ascii="Cambria Math" w:eastAsiaTheme="minorEastAsia" w:hAnsi="Cambria Math"/>
                      <w:sz w:val="20"/>
                      <w:szCs w:val="20"/>
                    </w:rPr>
                    <m:t>1+</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1</m:t>
                                  </m:r>
                                </m:sub>
                              </m:sSub>
                              <m:r>
                                <w:rPr>
                                  <w:rFonts w:ascii="Cambria Math" w:eastAsiaTheme="minorEastAsia" w:hAnsi="Cambria Math"/>
                                  <w:sz w:val="20"/>
                                  <w:szCs w:val="20"/>
                                </w:rPr>
                                <m:t>T</m:t>
                              </m:r>
                            </m:den>
                          </m:f>
                        </m:e>
                      </m:d>
                    </m:e>
                    <m:sup>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1</m:t>
                          </m:r>
                        </m:sub>
                      </m:sSub>
                    </m:sup>
                  </m:sSup>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2</m:t>
                                  </m:r>
                                </m:sub>
                              </m:sSub>
                              <m:r>
                                <w:rPr>
                                  <w:rFonts w:ascii="Cambria Math" w:eastAsiaTheme="minorEastAsia" w:hAnsi="Cambria Math"/>
                                  <w:sz w:val="20"/>
                                  <w:szCs w:val="20"/>
                                </w:rPr>
                                <m:t>T</m:t>
                              </m:r>
                            </m:den>
                          </m:f>
                        </m:e>
                      </m:d>
                    </m:e>
                    <m:sup>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2</m:t>
                          </m:r>
                        </m:sub>
                      </m:sSub>
                    </m:sup>
                  </m:sSup>
                </m:den>
              </m:f>
            </m:e>
          </m:d>
        </m:oMath>
      </m:oMathPara>
    </w:p>
    <w:p w14:paraId="666CF510" w14:textId="150446E0" w:rsidR="00441491" w:rsidRDefault="00441491" w:rsidP="007E1706">
      <w:pPr>
        <w:rPr>
          <w:rFonts w:eastAsiaTheme="minorEastAsia"/>
        </w:rPr>
      </w:pPr>
      <w:r>
        <w:rPr>
          <w:rFonts w:eastAsiaTheme="minorEastAsia"/>
        </w:rPr>
        <w:t>Here T is our cardiac cycle length and alpha and n denotes shape parameters that are fit to a pressure volume curve.</w:t>
      </w:r>
    </w:p>
    <w:p w14:paraId="24AC2771" w14:textId="13F5C549" w:rsidR="00D3585A" w:rsidRDefault="00D3585A" w:rsidP="007E1706">
      <w:pPr>
        <w:rPr>
          <w:rFonts w:eastAsiaTheme="minorEastAsia"/>
        </w:rPr>
      </w:pPr>
      <w:r>
        <w:rPr>
          <w:rFonts w:eastAsiaTheme="minorEastAsia"/>
        </w:rPr>
        <w:t xml:space="preserve">The gas transport equations for the respiratory circuit are identical to the cardiovascular system, with one exception, the driver. We derive our driver function to relate the respiratory muscle pressure (negative pressure) to the respiratory cycle time: </w:t>
      </w:r>
    </w:p>
    <w:p w14:paraId="38BCE481" w14:textId="604A6A17" w:rsidR="00D3585A" w:rsidRPr="00632179" w:rsidRDefault="00000000" w:rsidP="007E1706">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musc</m:t>
              </m:r>
            </m:sub>
          </m:sSub>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max</m:t>
                          </m:r>
                        </m:sub>
                      </m:sSub>
                    </m:num>
                    <m:den>
                      <m:r>
                        <w:rPr>
                          <w:rFonts w:ascii="Cambria Math" w:eastAsiaTheme="minorEastAsia" w:hAnsi="Cambria Math"/>
                          <w:sz w:val="20"/>
                          <w:szCs w:val="20"/>
                        </w:rPr>
                        <m:t>IE</m:t>
                      </m:r>
                    </m:den>
                  </m:f>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max</m:t>
                          </m:r>
                        </m:sub>
                      </m:sSub>
                      <m:r>
                        <w:rPr>
                          <w:rFonts w:ascii="Cambria Math" w:eastAsiaTheme="minorEastAsia" w:hAnsi="Cambria Math"/>
                          <w:sz w:val="20"/>
                          <w:szCs w:val="20"/>
                        </w:rPr>
                        <m:t>T</m:t>
                      </m:r>
                    </m:num>
                    <m:den>
                      <m:r>
                        <w:rPr>
                          <w:rFonts w:ascii="Cambria Math" w:eastAsiaTheme="minorEastAsia" w:hAnsi="Cambria Math"/>
                          <w:sz w:val="20"/>
                          <w:szCs w:val="20"/>
                        </w:rPr>
                        <m:t>IE</m:t>
                      </m:r>
                    </m:den>
                  </m:f>
                  <m:r>
                    <w:rPr>
                      <w:rFonts w:ascii="Cambria Math" w:eastAsiaTheme="minorEastAsia" w:hAnsi="Cambria Math"/>
                      <w:sz w:val="20"/>
                      <w:szCs w:val="20"/>
                    </w:rPr>
                    <m:t>t,</m:t>
                  </m:r>
                  <m:r>
                    <m:rPr>
                      <m:sty m:val="p"/>
                    </m:rPr>
                    <w:rPr>
                      <w:rFonts w:ascii="Cambria Math" w:eastAsiaTheme="minorEastAsia" w:hAnsi="Cambria Math"/>
                      <w:sz w:val="20"/>
                      <w:szCs w:val="20"/>
                    </w:rPr>
                    <m:t xml:space="preserve">  </m:t>
                  </m:r>
                  <m:r>
                    <w:rPr>
                      <w:rFonts w:ascii="Cambria Math" w:eastAsiaTheme="minorEastAsia" w:hAnsi="Cambria Math"/>
                      <w:sz w:val="20"/>
                      <w:szCs w:val="20"/>
                    </w:rPr>
                    <m:t>0&lt;t&lt;I</m:t>
                  </m:r>
                </m:e>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max</m:t>
                          </m:r>
                        </m:sub>
                      </m:sSub>
                    </m:num>
                    <m:den>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-E</m:t>
                                  </m:r>
                                </m:num>
                                <m:den>
                                  <m:r>
                                    <w:rPr>
                                      <w:rFonts w:ascii="Cambria Math" w:eastAsiaTheme="minorEastAsia" w:hAnsi="Cambria Math"/>
                                      <w:sz w:val="20"/>
                                      <w:szCs w:val="20"/>
                                    </w:rPr>
                                    <m:t>τ</m:t>
                                  </m:r>
                                </m:den>
                              </m:f>
                            </m:e>
                          </m:d>
                        </m:sup>
                      </m:sSup>
                    </m:den>
                  </m:f>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t-I</m:t>
                                  </m:r>
                                </m:num>
                                <m:den>
                                  <m:r>
                                    <w:rPr>
                                      <w:rFonts w:ascii="Cambria Math" w:eastAsiaTheme="minorEastAsia" w:hAnsi="Cambria Math"/>
                                      <w:sz w:val="20"/>
                                      <w:szCs w:val="20"/>
                                    </w:rPr>
                                    <m:t>τ</m:t>
                                  </m:r>
                                </m:den>
                              </m:f>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-E</m:t>
                                  </m:r>
                                </m:num>
                                <m:den>
                                  <m:r>
                                    <w:rPr>
                                      <w:rFonts w:ascii="Cambria Math" w:eastAsiaTheme="minorEastAsia" w:hAnsi="Cambria Math"/>
                                      <w:sz w:val="20"/>
                                      <w:szCs w:val="20"/>
                                    </w:rPr>
                                    <m:t>τ</m:t>
                                  </m:r>
                                </m:den>
                              </m:f>
                            </m:e>
                          </m:d>
                        </m:sup>
                      </m:sSup>
                    </m:e>
                  </m:d>
                  <m:r>
                    <w:rPr>
                      <w:rFonts w:ascii="Cambria Math" w:eastAsiaTheme="minorEastAsia" w:hAnsi="Cambria Math"/>
                      <w:sz w:val="20"/>
                      <w:szCs w:val="20"/>
                    </w:rPr>
                    <m:t>,</m:t>
                  </m:r>
                  <m:r>
                    <m:rPr>
                      <m:sty m:val="p"/>
                    </m:rPr>
                    <w:rPr>
                      <w:rFonts w:ascii="Cambria Math" w:eastAsiaTheme="minorEastAsia" w:hAnsi="Cambria Math"/>
                      <w:sz w:val="20"/>
                      <w:szCs w:val="20"/>
                    </w:rPr>
                    <m:t xml:space="preserve">  </m:t>
                  </m:r>
                  <m:r>
                    <w:rPr>
                      <w:rFonts w:ascii="Cambria Math" w:eastAsiaTheme="minorEastAsia" w:hAnsi="Cambria Math"/>
                      <w:sz w:val="20"/>
                      <w:szCs w:val="20"/>
                    </w:rPr>
                    <m:t>I&lt;t&lt;T</m:t>
                  </m:r>
                </m:e>
              </m:eqArr>
            </m:e>
          </m:d>
        </m:oMath>
      </m:oMathPara>
    </w:p>
    <w:p w14:paraId="1471E1B1" w14:textId="01DD9E09" w:rsidR="0033689F" w:rsidRDefault="0033689F" w:rsidP="007E1706">
      <w:pPr>
        <w:rPr>
          <w:rFonts w:eastAsiaTheme="minorEastAsia"/>
        </w:rPr>
      </w:pPr>
      <w:r>
        <w:rPr>
          <w:rFonts w:eastAsiaTheme="minorEastAsia"/>
        </w:rPr>
        <w:t>Here</w:t>
      </w:r>
      <w:r w:rsidRPr="0033689F">
        <w:rPr>
          <w:rFonts w:eastAsiaTheme="minorEastAsia"/>
        </w:rPr>
        <w:t xml:space="preserve"> I, E, and T are the inspiratory, expiratory, and total respiration times, respectively. The value τ is a time constant for the expiration period and is estimated as E / 5. The total breathing cycle time T is obtained from the inverse of the respiration rate determined by the chemoreceptor model</w:t>
      </w:r>
      <w:r>
        <w:rPr>
          <w:rFonts w:eastAsiaTheme="minorEastAsia"/>
        </w:rPr>
        <w:t xml:space="preserve"> (omitted from this paper for brevity)</w:t>
      </w:r>
      <w:r w:rsidRPr="0033689F">
        <w:rPr>
          <w:rFonts w:eastAsiaTheme="minorEastAsia"/>
        </w:rPr>
        <w:t xml:space="preserve">. I and E are calculated using the </w:t>
      </w:r>
      <w:r w:rsidR="001746A2" w:rsidRPr="0033689F">
        <w:rPr>
          <w:rFonts w:eastAsiaTheme="minorEastAsia"/>
        </w:rPr>
        <w:t>inspiratory: expiratory</w:t>
      </w:r>
      <w:r w:rsidRPr="0033689F">
        <w:rPr>
          <w:rFonts w:eastAsiaTheme="minorEastAsia"/>
        </w:rPr>
        <w:t xml:space="preserve"> ratio from the previous time step, which is modified by irregular physiology like asthma and COPD. The chemoreceptor model also updates the driver amplitude, P</w:t>
      </w:r>
      <w:r w:rsidRPr="0033689F">
        <w:rPr>
          <w:rFonts w:eastAsiaTheme="minorEastAsia"/>
          <w:vertAlign w:val="subscript"/>
        </w:rPr>
        <w:t>max</w:t>
      </w:r>
      <w:r w:rsidRPr="0033689F">
        <w:rPr>
          <w:rFonts w:eastAsiaTheme="minorEastAsia"/>
        </w:rPr>
        <w:t>. The baseline value of P</w:t>
      </w:r>
      <w:r w:rsidRPr="0033689F">
        <w:rPr>
          <w:rFonts w:eastAsiaTheme="minorEastAsia"/>
          <w:vertAlign w:val="subscript"/>
        </w:rPr>
        <w:t>max</w:t>
      </w:r>
      <w:r w:rsidRPr="0033689F">
        <w:rPr>
          <w:rFonts w:eastAsiaTheme="minorEastAsia"/>
        </w:rPr>
        <w:t xml:space="preserve"> for each virtual patient is determined during engine initialization by modifying the amplitude at the requested patient respiration rate until a stable tidal volume is obtained.</w:t>
      </w:r>
      <w:r>
        <w:rPr>
          <w:rFonts w:eastAsiaTheme="minorEastAsia"/>
        </w:rPr>
        <w:t xml:space="preserve"> These drivers are both manipulated by the nervous system depending on the state of the patient. For our massive hemorrhage model, we develop the baroreceptors to buffer the pressure drops occurring due to blood loss.</w:t>
      </w:r>
    </w:p>
    <w:p w14:paraId="0E2DD13B" w14:textId="04BC9743" w:rsidR="0033689F" w:rsidRPr="00441491" w:rsidRDefault="0033689F" w:rsidP="007E1706">
      <w:pPr>
        <w:rPr>
          <w:rFonts w:eastAsiaTheme="minorEastAsia"/>
        </w:rPr>
      </w:pPr>
    </w:p>
    <w:p w14:paraId="6B2A6888" w14:textId="77777777" w:rsidR="00887D66" w:rsidRPr="001D7962" w:rsidRDefault="00887D66" w:rsidP="007E1706">
      <w:pPr>
        <w:rPr>
          <w:rFonts w:eastAsiaTheme="minorEastAsia"/>
        </w:rPr>
      </w:pPr>
    </w:p>
    <w:p w14:paraId="528D1D3E" w14:textId="267C53E3" w:rsidR="007E1706" w:rsidRPr="007E1706" w:rsidRDefault="0033689F" w:rsidP="007E1706">
      <w:pPr>
        <w:pStyle w:val="Heading2"/>
      </w:pPr>
      <w:r>
        <w:lastRenderedPageBreak/>
        <w:t>Baroreceptor</w:t>
      </w:r>
      <w:r w:rsidR="007E1706">
        <w:t xml:space="preserve"> Response</w:t>
      </w:r>
    </w:p>
    <w:p w14:paraId="3AF3A60A" w14:textId="51450393" w:rsidR="005A0D02" w:rsidRDefault="009A44C0" w:rsidP="005A0D02">
      <w:r w:rsidRPr="009A44C0">
        <w:t xml:space="preserve">The baroreceptor mechanism provides rapid negative feedback control of arterial pressure. A drop in arterial pressure is sensed by the baroreceptors and leads to an increase in sympathetic activity and vagal (parasympathetic) withdrawal. These changes operate with the goal of maintaining arterial pressure at its healthy resting level. </w:t>
      </w:r>
      <w:r w:rsidR="00A12FAF">
        <w:t>We</w:t>
      </w:r>
      <w:r w:rsidRPr="009A44C0">
        <w:t xml:space="preserve"> distinguish between aortic, carotid, and low-pressure (cardiopulmonary) receptors. Aortic and carotid receptors are both sensitive to changes in systolic arterial pressure, but their relative locations in the body affect this response. Aortic baroreceptors respond to the transmural pressure between the aorta and the intrapleural space. The carotid baroreceptors, located a distance above the heart, are affected by pressure head (except when an individual is lying down). Low-pressure receptors are located near the venous return to the heart and are therefore sensitive to the central venous pressure and pleural pressure. </w:t>
      </w:r>
      <w:r w:rsidR="00A12FAF">
        <w:t>We</w:t>
      </w:r>
      <w:r w:rsidRPr="009A44C0">
        <w:t xml:space="preserve"> us a stress-strain relationship to calculate the signal generated at the aortic and carotid baroreceptors</w:t>
      </w:r>
      <w:r>
        <w:fldChar w:fldCharType="begin"/>
      </w:r>
      <w:r>
        <w:instrText xml:space="preserve"> ADDIN ZOTERO_ITEM CSL_CITATION {"citationID":"LE6VGF9o","properties":{"formattedCitation":"\\super 37\\nosupersub{}","plainCitation":"37","noteIndex":0},"citationItems":[{"id":4426,"uris":["http://zotero.org/groups/5222748/items/ULXCBYM2"],"itemData":{"id":4426,"type":"webpage","title":"A model-based analysis of autonomic nervous function in response to the Valsalva maneuver | Journal of Applied Physiology","URL":"https://journals.physiology.org/doi/full/10.1152/japplphysiol.00015.2019","accessed":{"date-parts":[["2024",6,3]]},"citation-key":"ModelbasedAnalysisAutonomic"}}],"schema":"https://github.com/citation-style-language/schema/raw/master/csl-citation.json"} </w:instrText>
      </w:r>
      <w:r>
        <w:fldChar w:fldCharType="separate"/>
      </w:r>
      <w:r w:rsidRPr="009A44C0">
        <w:rPr>
          <w:rFonts w:cs="Times New Roman"/>
          <w:szCs w:val="24"/>
          <w:vertAlign w:val="superscript"/>
        </w:rPr>
        <w:t>37</w:t>
      </w:r>
      <w:r>
        <w:fldChar w:fldCharType="end"/>
      </w:r>
      <w:r w:rsidRPr="009A44C0">
        <w:t xml:space="preserve"> and a first-order, low-pass filter to generate the low-pressure receptors signal</w:t>
      </w:r>
      <w:r>
        <w:fldChar w:fldCharType="begin"/>
      </w:r>
      <w:r>
        <w:instrText xml:space="preserve"> ADDIN ZOTERO_ITEM CSL_CITATION {"citationID":"RcjZRQgf","properties":{"formattedCitation":"\\super 38\\nosupersub{}","plainCitation":"38","noteIndex":0},"citationItems":[{"id":4428,"uris":["http://zotero.org/groups/5222748/items/NICWASB6"],"itemData":{"id":4428,"type":"article-journal","abstract":"A lumped parameter model of the cardiovascular system has been developed and optimized using experimental data obtained from 13 healthy subjects during graded head-up tilt (HUT) from the supine position to . The model includes descriptions of the left and right heart, direct ventricular interaction through the septum and pericardium, the systemic and pulmonary circulations, nonlinear pressure volume relationship of the lower body compartment, arterial and cardiopulmonary baroreceptors, as well as autoregulatory mechanisms. A number of important features, including the separate effects of arterial and cardiopulmonary baroreflexes, and autoregulation in the lower body, as well as diastolic ventricular interaction through the pericardium have been included and tested for their significance. Furthermore, the individual effect of parameter associated with heart failure, including LV and RV contractility, baseline systemic vascular resistance, pulmonary vascular resistance, total blood volume, LV diastolic stiffness and reflex gain on HUT response have also been investigated. Our fitted model compares favorably with our experimental measurements and published literature at a range of tilt angles, in terms of both global and regional hemodynamic variables. Compared to the normal condition, a simulated congestive heart failure condition produced a blunted response to HUT with regards to the percentage changes in cardiac output, stroke volume, end diastolic volume and effector response (i.e., heart contractility, venous unstressed volume, systemic vascular resistance and heart rate) with progressive tilting.","container-title":"PLOS ONE","DOI":"10.1371/journal.pone.0077357","ISSN":"1932-6203","issue":"10","journalAbbreviation":"PLOS ONE","language":"en","note":"publisher: Public Library of Science","page":"e77357","source":"PLoS Journals","title":"A Cardiovascular Mathematical Model of Graded Head-Up Tilt","volume":"8","author":[{"family":"Lim","given":"Einly"},{"family":"Chan","given":"Gregory S. H."},{"family":"Dokos","given":"Socrates"},{"family":"Ng","given":"Siew C."},{"family":"Latif","given":"Lydia A."},{"family":"Vandenberghe","given":"Stijn"},{"family":"Karunanithi","given":"Mohan"},{"family":"Lovell","given":"Nigel H."}],"issued":{"date-parts":[["2013",10,29]]},"citation-key":"limCardiovascularMathematicalModel2013"}}],"schema":"https://github.com/citation-style-language/schema/raw/master/csl-citation.json"} </w:instrText>
      </w:r>
      <w:r>
        <w:fldChar w:fldCharType="separate"/>
      </w:r>
      <w:r w:rsidRPr="009A44C0">
        <w:rPr>
          <w:rFonts w:cs="Times New Roman"/>
          <w:szCs w:val="24"/>
          <w:vertAlign w:val="superscript"/>
        </w:rPr>
        <w:t>38</w:t>
      </w:r>
      <w:r>
        <w:fldChar w:fldCharType="end"/>
      </w:r>
      <w:r w:rsidRPr="009A44C0">
        <w:t>.</w:t>
      </w:r>
      <w:r w:rsidR="00A12FAF">
        <w:t xml:space="preserve"> Thus, we describe the strain exerted on aortic and carotid baroreceptors as: </w:t>
      </w:r>
    </w:p>
    <w:p w14:paraId="5E0918EC" w14:textId="6E544BC7" w:rsidR="00A12FAF" w:rsidRPr="00632179" w:rsidRDefault="00000000" w:rsidP="005A0D02">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w</m:t>
              </m:r>
            </m:sub>
          </m:sSub>
          <m:r>
            <w:rPr>
              <w:rFonts w:ascii="Cambria Math" w:hAnsi="Cambria Math"/>
              <w:sz w:val="20"/>
              <w:szCs w:val="20"/>
            </w:rPr>
            <m:t>=1-</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1+exp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w</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input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w</m:t>
                              </m:r>
                            </m:sub>
                          </m:sSub>
                        </m:e>
                      </m:d>
                    </m:e>
                  </m:d>
                </m:num>
                <m:den>
                  <m:r>
                    <w:rPr>
                      <w:rFonts w:ascii="Cambria Math" w:hAnsi="Cambria Math"/>
                      <w:sz w:val="20"/>
                      <w:szCs w:val="20"/>
                    </w:rPr>
                    <m:t>A+exp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w</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input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w</m:t>
                              </m:r>
                            </m:sub>
                          </m:sSub>
                        </m:e>
                      </m:d>
                    </m:e>
                  </m:d>
                </m:den>
              </m:f>
            </m:e>
          </m:rad>
        </m:oMath>
      </m:oMathPara>
    </w:p>
    <w:p w14:paraId="0D1C008A" w14:textId="4013EC78" w:rsidR="00572ECB" w:rsidRDefault="00572ECB" w:rsidP="005A0D02">
      <w:pPr>
        <w:rPr>
          <w:rFonts w:eastAsiaTheme="minorEastAsia"/>
        </w:rPr>
      </w:pPr>
      <w:r>
        <w:rPr>
          <w:rFonts w:eastAsiaTheme="minorEastAsia"/>
        </w:rPr>
        <w:t>Here</w:t>
      </w:r>
      <w:r w:rsidRPr="00572ECB">
        <w:rPr>
          <w:rFonts w:eastAsiaTheme="minorEastAsia"/>
        </w:rPr>
        <w:t xml:space="preserve"> </w:t>
      </w:r>
      <w:proofErr w:type="spellStart"/>
      <w:r w:rsidRPr="00572ECB">
        <w:rPr>
          <w:rFonts w:eastAsiaTheme="minorEastAsia"/>
        </w:rPr>
        <w:t>ε</w:t>
      </w:r>
      <w:r w:rsidRPr="00572ECB">
        <w:rPr>
          <w:rFonts w:eastAsiaTheme="minorEastAsia"/>
          <w:vertAlign w:val="subscript"/>
        </w:rPr>
        <w:t>w</w:t>
      </w:r>
      <w:proofErr w:type="spellEnd"/>
      <w:r w:rsidRPr="00572ECB">
        <w:rPr>
          <w:rFonts w:eastAsiaTheme="minorEastAsia"/>
        </w:rPr>
        <w:t xml:space="preserve"> </w:t>
      </w:r>
      <w:r>
        <w:rPr>
          <w:rFonts w:eastAsiaTheme="minorEastAsia"/>
        </w:rPr>
        <w:t xml:space="preserve">is the </w:t>
      </w:r>
      <w:r w:rsidRPr="00572ECB">
        <w:rPr>
          <w:rFonts w:eastAsiaTheme="minorEastAsia"/>
        </w:rPr>
        <w:t>wall strain</w:t>
      </w:r>
      <w:r>
        <w:rPr>
          <w:rFonts w:eastAsiaTheme="minorEastAsia"/>
        </w:rPr>
        <w:t xml:space="preserve">, </w:t>
      </w:r>
      <w:proofErr w:type="spellStart"/>
      <w:r>
        <w:rPr>
          <w:rFonts w:eastAsiaTheme="minorEastAsia"/>
        </w:rPr>
        <w:t>P</w:t>
      </w:r>
      <w:r>
        <w:rPr>
          <w:rFonts w:eastAsiaTheme="minorEastAsia"/>
          <w:vertAlign w:val="subscript"/>
        </w:rPr>
        <w:t>input</w:t>
      </w:r>
      <w:proofErr w:type="spellEnd"/>
      <w:r>
        <w:rPr>
          <w:rFonts w:eastAsiaTheme="minorEastAsia"/>
        </w:rPr>
        <w:t xml:space="preserve"> is the systolic pressure for the carotid baroreceptor and the difference between systolic and plural pressure for the aortic baroceptors, A is the </w:t>
      </w:r>
      <w:r w:rsidRPr="00572ECB">
        <w:rPr>
          <w:rFonts w:eastAsiaTheme="minorEastAsia"/>
        </w:rPr>
        <w:t>maximum stressed to unstressed vessel cross-sectional area</w:t>
      </w:r>
      <w:r>
        <w:rPr>
          <w:rFonts w:eastAsiaTheme="minorEastAsia"/>
        </w:rPr>
        <w:t xml:space="preserve">, </w:t>
      </w:r>
      <w:proofErr w:type="spellStart"/>
      <w:r>
        <w:rPr>
          <w:rFonts w:eastAsiaTheme="minorEastAsia"/>
        </w:rPr>
        <w:t>q</w:t>
      </w:r>
      <w:r w:rsidRPr="00572ECB">
        <w:rPr>
          <w:rFonts w:eastAsiaTheme="minorEastAsia"/>
          <w:vertAlign w:val="subscript"/>
        </w:rPr>
        <w:t>w</w:t>
      </w:r>
      <w:proofErr w:type="spellEnd"/>
      <w:r>
        <w:rPr>
          <w:rFonts w:eastAsiaTheme="minorEastAsia"/>
        </w:rPr>
        <w:t xml:space="preserve"> is the</w:t>
      </w:r>
      <w:r w:rsidRPr="00572ECB">
        <w:rPr>
          <w:rFonts w:eastAsiaTheme="minorEastAsia"/>
        </w:rPr>
        <w:t xml:space="preserve"> steepness </w:t>
      </w:r>
      <w:r>
        <w:rPr>
          <w:rFonts w:eastAsiaTheme="minorEastAsia"/>
        </w:rPr>
        <w:t>of response</w:t>
      </w:r>
      <w:r w:rsidRPr="00572ECB">
        <w:rPr>
          <w:rFonts w:eastAsiaTheme="minorEastAsia"/>
        </w:rPr>
        <w:t>, and</w:t>
      </w:r>
      <w:r>
        <w:rPr>
          <w:rFonts w:eastAsiaTheme="minorEastAsia"/>
        </w:rPr>
        <w:t xml:space="preserve"> </w:t>
      </w:r>
      <w:proofErr w:type="spellStart"/>
      <w:r>
        <w:rPr>
          <w:rFonts w:eastAsiaTheme="minorEastAsia"/>
        </w:rPr>
        <w:t>s</w:t>
      </w:r>
      <w:r w:rsidRPr="00572ECB">
        <w:rPr>
          <w:rFonts w:eastAsiaTheme="minorEastAsia"/>
          <w:vertAlign w:val="subscript"/>
        </w:rPr>
        <w:t>w</w:t>
      </w:r>
      <w:proofErr w:type="spellEnd"/>
      <w:r>
        <w:rPr>
          <w:rFonts w:eastAsiaTheme="minorEastAsia"/>
        </w:rPr>
        <w:t xml:space="preserve"> is the</w:t>
      </w:r>
      <w:r w:rsidRPr="00572ECB">
        <w:rPr>
          <w:rFonts w:eastAsiaTheme="minorEastAsia"/>
        </w:rPr>
        <w:t xml:space="preserve"> operating point</w:t>
      </w:r>
      <w:r>
        <w:rPr>
          <w:rFonts w:eastAsiaTheme="minorEastAsia"/>
        </w:rPr>
        <w:t xml:space="preserve"> of the baroreceptor response</w:t>
      </w:r>
      <w:r w:rsidRPr="00572ECB">
        <w:rPr>
          <w:rFonts w:eastAsiaTheme="minorEastAsia"/>
        </w:rPr>
        <w:t>.</w:t>
      </w:r>
      <w:r w:rsidR="00FC2CA6">
        <w:rPr>
          <w:rFonts w:eastAsiaTheme="minorEastAsia"/>
        </w:rPr>
        <w:t xml:space="preserve"> The operating pressure is the systolic pressure after initialization of the patient. We note that the operating point may also be influenced by drugs, pain, or exercise although these adjustments were not considered for this manuscript. </w:t>
      </w:r>
      <w:r w:rsidR="00DE61F2">
        <w:rPr>
          <w:rFonts w:eastAsiaTheme="minorEastAsia"/>
        </w:rPr>
        <w:t xml:space="preserve"> </w:t>
      </w:r>
    </w:p>
    <w:p w14:paraId="2059784E" w14:textId="644ECF1A" w:rsidR="00B97F79" w:rsidRDefault="00B97F79" w:rsidP="005A0D02">
      <w:r w:rsidRPr="00B97F79">
        <w:t>We model adaptation</w:t>
      </w:r>
      <w:r>
        <w:fldChar w:fldCharType="begin"/>
      </w:r>
      <w:r>
        <w:instrText xml:space="preserve"> ADDIN ZOTERO_ITEM CSL_CITATION {"citationID":"a6rSu2KQ","properties":{"formattedCitation":"\\super 39,39,40\\nosupersub{}","plainCitation":"39,39,40","noteIndex":0},"citationItems":[{"id":4432,"uris":["http://zotero.org/groups/5222748/items/CMHHUN66"],"itemData":{"id":4432,"type":"article-journal","abstract":"1. Four intensities of neck suction were applied for 5 sec in healthy young men to determine the time course of decay of carotid baroreflex sinus node inhibition. 2. Peak responses occurred at about 1-25 sec after the onset of baroreceptor stimulation and were proportional to the intensity of stimulation. 3. Responses declined steadily during the remaining period of stimulation; the rate of decay of sinus node inhibition was decribed well by a power function and was proportional to the intensity of baroreceptor stimulation. 4. beta-adrenergic blockade did not alter the rate of decay of abroreflex sinus node inhibition. 5. These results suggests that adaptation of the integrated baroreceptor-cardiac reflex occurs in man and follows the same time course as adaptation of individual baroreceptor units an experimental animals.","container-title":"The Journal of Physiology","DOI":"10.1113/jphysiol.1977.sp011916","ISSN":"1469-7793","issue":"3","language":"en","license":"© 1977 The Physiological Society","note":"_eprint: https://onlinelibrary.wiley.com/doi/pdf/10.1113/jphysiol.1977.sp011916","page":"579-589","source":"Wiley Online Library","title":"Adaptation of the human carotid baroreceptor-cardiac reflex.","volume":"269","author":[{"family":"Eckberg","given":"D L"}],"issued":{"date-parts":[["1977"]]},"citation-key":"eckbergAdaptationHumanCarotid1977"},"label":"page"},{"id":4432,"uris":["http://zotero.org/groups/5222748/items/CMHHUN66"],"itemData":{"id":4432,"type":"article-journal","abstract":"1. Four intensities of neck suction were applied for 5 sec in healthy young men to determine the time course of decay of carotid baroreflex sinus node inhibition. 2. Peak responses occurred at about 1-25 sec after the onset of baroreceptor stimulation and were proportional to the intensity of stimulation. 3. Responses declined steadily during the remaining period of stimulation; the rate of decay of sinus node inhibition was decribed well by a power function and was proportional to the intensity of baroreceptor stimulation. 4. beta-adrenergic blockade did not alter the rate of decay of abroreflex sinus node inhibition. 5. These results suggests that adaptation of the integrated baroreceptor-cardiac reflex occurs in man and follows the same time course as adaptation of individual baroreceptor units an experimental animals.","container-title":"The Journal of Physiology","DOI":"10.1113/jphysiol.1977.sp011916","ISSN":"1469-7793","issue":"3","language":"en","license":"© 1977 The Physiological Society","note":"_eprint: https://onlinelibrary.wiley.com/doi/pdf/10.1113/jphysiol.1977.sp011916","page":"579-589","source":"Wiley Online Library","title":"Adaptation of the human carotid baroreceptor-cardiac reflex.","volume":"269","author":[{"family":"Eckberg","given":"D L"}],"issued":{"date-parts":[["1977"]]},"citation-key":"eckbergAdaptationHumanCarotid1977"},"label":"page"},{"id":4430,"uris":["http://zotero.org/groups/5222748/items/E93DY5TX"],"itemData":{"id":4430,"type":"article-journal","abstract":"We present a small integrative model of human cardiovascular physiology. The model is population-based; rather than using best fit parameter values, we used a variant of the Metropolis algorithm to produce distributions for the parameters most associated with model sensitivity. The population is built by sampling from these distributions to create the model coefficients. The resulting models were then subjected to a hemorrhage. The population was separated into those that lost less than 15 mmHg arterial pressure (compensators), and those that lost more (decompensators). The populations were parametrically analyzed to determine baseline conditions correlating with compensation and decompensation. Analysis included single variable correlation, graphical time series analysis, and support vector machine (SVM) classification. Most variables were seen to correlate with propensity for circulatory collapse, but not sufficiently to effect reasonable classification by any single variable. Time series analysis indicated a single significant measure, the stressed blood volume, as predicting collapse in situ, but measurement of this quantity is clinically impossible. SVM uncovered a collection of variables and parameters that, when taken together, provided useful rubrics for classification. Due to the probabilistic origins of the method, multiple classifications were attempted, resulting in an average of 3.5 variables necessary to construct classification. The most common variables used were systemic compliance, baseline baroreceptor signal strength and total peripheral resistance, providing predictive ability exceeding 90%. The methods presented are suitable for use in any deterministic mathematical model.","container-title":"PLOS ONE","DOI":"10.1371/journal.pone.0074329","ISSN":"1932-6203","issue":"9","journalAbbreviation":"PLOS ONE","language":"en","note":"publisher: Public Library of Science","page":"e74329","source":"PLoS Journals","title":"A Population Model of Integrative Cardiovascular Physiology","volume":"8","author":[{"family":"Pruett","given":"William A."},{"family":"Husband","given":"Leland D."},{"family":"Husband","given":"Graham"},{"family":"Dakhlalla","given":"Muhammad"},{"family":"Bellamy","given":"Kyle"},{"family":"Coleman","given":"Thomas G."},{"family":"Hester","given":"Robert L."}],"issued":{"date-parts":[["2013",9,13]]},"citation-key":"pruettPopulationModelIntegrative2013"},"label":"page"}],"schema":"https://github.com/citation-style-language/schema/raw/master/csl-citation.json"} </w:instrText>
      </w:r>
      <w:r>
        <w:fldChar w:fldCharType="separate"/>
      </w:r>
      <w:r w:rsidRPr="00B97F79">
        <w:rPr>
          <w:rFonts w:cs="Times New Roman"/>
          <w:szCs w:val="24"/>
          <w:vertAlign w:val="superscript"/>
        </w:rPr>
        <w:t>39,39,40</w:t>
      </w:r>
      <w:r>
        <w:fldChar w:fldCharType="end"/>
      </w:r>
      <w:r w:rsidRPr="00B97F79">
        <w:t xml:space="preserve"> by adjusting the operating point as a function of systolic arterial pressur</w:t>
      </w:r>
      <w:r>
        <w:t xml:space="preserve">e: </w:t>
      </w:r>
    </w:p>
    <w:p w14:paraId="60FC5F47" w14:textId="4F7C7D2B" w:rsidR="00B97F79" w:rsidRPr="00134100" w:rsidRDefault="00B97F79" w:rsidP="005A0D02">
      <w:pPr>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ds</m:t>
                  </m:r>
                </m:e>
                <m:sub>
                  <m:r>
                    <w:rPr>
                      <w:rFonts w:ascii="Cambria Math" w:hAnsi="Cambria Math"/>
                      <w:sz w:val="20"/>
                      <w:szCs w:val="20"/>
                    </w:rPr>
                    <m:t>w</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adapt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sys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w</m:t>
                  </m:r>
                </m:sub>
              </m:sSub>
            </m:e>
          </m:d>
        </m:oMath>
      </m:oMathPara>
    </w:p>
    <w:p w14:paraId="4ECF7402" w14:textId="64968402" w:rsidR="00B97F79" w:rsidRDefault="00B97F79" w:rsidP="005A0D02">
      <w:r>
        <w:t xml:space="preserve">Here the value of </w:t>
      </w:r>
      <w:proofErr w:type="spellStart"/>
      <w:r>
        <w:t>k</w:t>
      </w:r>
      <w:r>
        <w:rPr>
          <w:vertAlign w:val="subscript"/>
        </w:rPr>
        <w:t>adapt</w:t>
      </w:r>
      <w:proofErr w:type="spellEnd"/>
      <w:r>
        <w:t xml:space="preserve"> is chosen to generate an approximately </w:t>
      </w:r>
      <w:r w:rsidR="000A3B0E">
        <w:t>16-hour</w:t>
      </w:r>
      <w:r>
        <w:t xml:space="preserve"> </w:t>
      </w:r>
      <w:r w:rsidR="000A3B0E">
        <w:t>half-life</w:t>
      </w:r>
      <w:r>
        <w:t xml:space="preserve"> for the baroreceptors to adapt to a step change in systolic pressure. We further model the baroreceptor response as a spring dashpot system where we represent the strain induced by a stress in the system to be: </w:t>
      </w:r>
    </w:p>
    <w:p w14:paraId="11C4332B" w14:textId="2F9AF53D" w:rsidR="00B97F79" w:rsidRPr="00134100" w:rsidRDefault="00201660" w:rsidP="005A0D02">
      <w:pPr>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dε</m:t>
                  </m:r>
                </m:e>
                <m:sub>
                  <m:r>
                    <w:rPr>
                      <w:rFonts w:ascii="Cambria Math" w:hAnsi="Cambria Math"/>
                      <w:sz w:val="20"/>
                      <w:szCs w:val="20"/>
                    </w:rPr>
                    <m:t>b</m:t>
                  </m:r>
                </m:sub>
              </m:sSub>
            </m:num>
            <m:den>
              <m:r>
                <w:rPr>
                  <w:rFonts w:ascii="Cambria Math" w:hAnsi="Cambria Math"/>
                  <w:sz w:val="20"/>
                  <w:szCs w:val="20"/>
                </w:rPr>
                <m:t>dt</m:t>
              </m:r>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w</m:t>
                  </m:r>
                </m:sub>
              </m:sSub>
            </m:num>
            <m:den>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b</m:t>
                  </m:r>
                </m:sub>
              </m:sSub>
            </m:den>
          </m:f>
        </m:oMath>
      </m:oMathPara>
    </w:p>
    <w:p w14:paraId="776AA5FD" w14:textId="116E7ABD" w:rsidR="00201660" w:rsidRDefault="00201660" w:rsidP="005A0D02">
      <w:pPr>
        <w:rPr>
          <w:rFonts w:eastAsiaTheme="minorEastAsia"/>
        </w:rPr>
      </w:pPr>
      <w:r>
        <w:rPr>
          <w:rFonts w:eastAsiaTheme="minorEastAsia"/>
        </w:rPr>
        <w:t xml:space="preserve">Here the strain,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b</m:t>
            </m:r>
          </m:sub>
        </m:sSub>
      </m:oMath>
      <w:r>
        <w:rPr>
          <w:rFonts w:eastAsiaTheme="minorEastAsia"/>
        </w:rPr>
        <w:t xml:space="preserve"> is processed in the central nervous system. To model t</w:t>
      </w:r>
      <w:r w:rsidRPr="00201660">
        <w:rPr>
          <w:rFonts w:eastAsiaTheme="minorEastAsia"/>
        </w:rPr>
        <w:t xml:space="preserve">he low-pressure baroreceptor signal </w:t>
      </w:r>
      <w:r>
        <w:rPr>
          <w:rFonts w:eastAsiaTheme="minorEastAsia"/>
        </w:rPr>
        <w:t>generation, we introduce a low-pass filter that</w:t>
      </w:r>
      <w:r w:rsidRPr="00201660">
        <w:rPr>
          <w:rFonts w:eastAsiaTheme="minorEastAsia"/>
        </w:rPr>
        <w:t xml:space="preserve"> sampl</w:t>
      </w:r>
      <w:r>
        <w:rPr>
          <w:rFonts w:eastAsiaTheme="minorEastAsia"/>
        </w:rPr>
        <w:t>es</w:t>
      </w:r>
      <w:r w:rsidRPr="00201660">
        <w:rPr>
          <w:rFonts w:eastAsiaTheme="minorEastAsia"/>
        </w:rPr>
        <w:t xml:space="preserve"> the transmural pressure between the venous return (CVP) and the pleural space</w:t>
      </w:r>
      <w:r>
        <w:rPr>
          <w:rFonts w:eastAsiaTheme="minorEastAsia"/>
        </w:rPr>
        <w:t>:</w:t>
      </w:r>
    </w:p>
    <w:p w14:paraId="25BA33A2" w14:textId="7F45FA02" w:rsidR="00201660" w:rsidRPr="00134100" w:rsidRDefault="00201660" w:rsidP="005A0D02">
      <w:pPr>
        <w:rPr>
          <w:rFonts w:eastAsiaTheme="minorEastAsia"/>
          <w:sz w:val="20"/>
          <w:szCs w:val="20"/>
        </w:rPr>
      </w:pPr>
      <m:oMathPara>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dP</m:t>
                  </m:r>
                </m:e>
                <m:sub>
                  <m:r>
                    <w:rPr>
                      <w:rFonts w:ascii="Cambria Math" w:eastAsiaTheme="minorEastAsia" w:hAnsi="Cambria Math"/>
                      <w:sz w:val="20"/>
                      <w:szCs w:val="20"/>
                    </w:rPr>
                    <m:t>cp</m:t>
                  </m:r>
                </m:sub>
              </m:sSub>
            </m:num>
            <m:den>
              <m:r>
                <w:rPr>
                  <w:rFonts w:ascii="Cambria Math" w:eastAsiaTheme="minorEastAsia" w:hAnsi="Cambria Math"/>
                  <w:sz w:val="20"/>
                  <w:szCs w:val="20"/>
                </w:rPr>
                <m:t>dt</m:t>
              </m:r>
            </m:den>
          </m:f>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cp</m:t>
                      </m:r>
                    </m:sub>
                  </m:sSub>
                </m:den>
              </m:f>
            </m:e>
          </m:d>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cp</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CVP-</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plueral</m:t>
                      </m:r>
                    </m:sub>
                  </m:sSub>
                </m:e>
              </m:d>
            </m:e>
          </m:d>
        </m:oMath>
      </m:oMathPara>
    </w:p>
    <w:p w14:paraId="4E519A73" w14:textId="07345547" w:rsidR="007E06D8" w:rsidRDefault="007E06D8" w:rsidP="005A0D02">
      <w:pPr>
        <w:rPr>
          <w:rFonts w:eastAsiaTheme="minorEastAsia"/>
        </w:rPr>
      </w:pPr>
      <w:r>
        <w:rPr>
          <w:rFonts w:eastAsiaTheme="minorEastAsia"/>
        </w:rPr>
        <w:t xml:space="preserve">And connect this model to the firing rate: </w:t>
      </w:r>
    </w:p>
    <w:p w14:paraId="6598444E" w14:textId="3893A2F0" w:rsidR="007E06D8" w:rsidRPr="00134100" w:rsidRDefault="007E06D8" w:rsidP="005A0D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cp</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cp,max</m:t>
                  </m:r>
                </m:sub>
              </m:sSub>
            </m:num>
            <m:den>
              <m:r>
                <w:rPr>
                  <w:rFonts w:ascii="Cambria Math" w:eastAsiaTheme="minorEastAsia" w:hAnsi="Cambria Math"/>
                  <w:sz w:val="20"/>
                  <w:szCs w:val="20"/>
                </w:rPr>
                <m:t>1+exp</m:t>
              </m:r>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CVP</m:t>
                          </m:r>
                        </m:e>
                        <m:sub>
                          <m:r>
                            <w:rPr>
                              <w:rFonts w:ascii="Cambria Math" w:eastAsiaTheme="minorEastAsia" w:hAnsi="Cambria Math"/>
                              <w:sz w:val="20"/>
                              <w:szCs w:val="20"/>
                            </w:rPr>
                            <m:t>base</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plueral,base</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cp</m:t>
                      </m:r>
                    </m:sub>
                  </m:sSub>
                </m:e>
              </m:d>
            </m:den>
          </m:f>
        </m:oMath>
      </m:oMathPara>
    </w:p>
    <w:p w14:paraId="12686996" w14:textId="183B3436" w:rsidR="007E06D8" w:rsidRDefault="007E06D8" w:rsidP="005A0D02">
      <w:pPr>
        <w:rPr>
          <w:rFonts w:eastAsiaTheme="minorEastAsia"/>
        </w:rPr>
      </w:pPr>
      <w:r>
        <w:rPr>
          <w:rFonts w:eastAsiaTheme="minorEastAsia"/>
        </w:rPr>
        <w:lastRenderedPageBreak/>
        <w:t>Here</w:t>
      </w:r>
      <w:r w:rsidRPr="007E06D8">
        <w:rPr>
          <w:rFonts w:eastAsiaTheme="minorEastAsia"/>
        </w:rPr>
        <w:t xml:space="preserve"> </w:t>
      </w:r>
      <w:proofErr w:type="spellStart"/>
      <w:r w:rsidRPr="007E06D8">
        <w:rPr>
          <w:rFonts w:eastAsiaTheme="minorEastAsia"/>
        </w:rPr>
        <w:t>f</w:t>
      </w:r>
      <w:r w:rsidRPr="007E06D8">
        <w:rPr>
          <w:rFonts w:eastAsiaTheme="minorEastAsia"/>
          <w:vertAlign w:val="subscript"/>
        </w:rPr>
        <w:t>cp</w:t>
      </w:r>
      <w:proofErr w:type="spellEnd"/>
      <w:r w:rsidRPr="007E06D8">
        <w:rPr>
          <w:rFonts w:eastAsiaTheme="minorEastAsia"/>
        </w:rPr>
        <w:t xml:space="preserve"> is</w:t>
      </w:r>
      <w:r>
        <w:rPr>
          <w:rFonts w:eastAsiaTheme="minorEastAsia"/>
        </w:rPr>
        <w:t xml:space="preserve"> the firing rate</w:t>
      </w:r>
      <w:r w:rsidRPr="007E06D8">
        <w:rPr>
          <w:rFonts w:eastAsiaTheme="minorEastAsia"/>
        </w:rPr>
        <w:t xml:space="preserve"> processed by the CNS. </w:t>
      </w:r>
      <w:proofErr w:type="spellStart"/>
      <w:r w:rsidRPr="007E06D8">
        <w:rPr>
          <w:rFonts w:eastAsiaTheme="minorEastAsia"/>
        </w:rPr>
        <w:t>τ</w:t>
      </w:r>
      <w:r w:rsidRPr="007E06D8">
        <w:rPr>
          <w:rFonts w:eastAsiaTheme="minorEastAsia"/>
          <w:vertAlign w:val="subscript"/>
        </w:rPr>
        <w:t>cp</w:t>
      </w:r>
      <w:proofErr w:type="spellEnd"/>
      <w:r w:rsidRPr="007E06D8">
        <w:rPr>
          <w:rFonts w:eastAsiaTheme="minorEastAsia"/>
        </w:rPr>
        <w:t xml:space="preserve"> and </w:t>
      </w:r>
      <w:proofErr w:type="spellStart"/>
      <w:proofErr w:type="gramStart"/>
      <w:r w:rsidRPr="007E06D8">
        <w:rPr>
          <w:rFonts w:eastAsiaTheme="minorEastAsia"/>
        </w:rPr>
        <w:t>f</w:t>
      </w:r>
      <w:r w:rsidRPr="007E06D8">
        <w:rPr>
          <w:rFonts w:eastAsiaTheme="minorEastAsia"/>
          <w:vertAlign w:val="subscript"/>
        </w:rPr>
        <w:t>cp,max</w:t>
      </w:r>
      <w:proofErr w:type="spellEnd"/>
      <w:proofErr w:type="gramEnd"/>
      <w:r w:rsidRPr="007E06D8">
        <w:rPr>
          <w:rFonts w:eastAsiaTheme="minorEastAsia"/>
        </w:rPr>
        <w:t xml:space="preserve"> are the time constant for the response and the maximum firing rate, while </w:t>
      </w:r>
      <w:proofErr w:type="spellStart"/>
      <w:r w:rsidRPr="007E06D8">
        <w:rPr>
          <w:rFonts w:eastAsiaTheme="minorEastAsia"/>
        </w:rPr>
        <w:t>CVP</w:t>
      </w:r>
      <w:r w:rsidRPr="007E06D8">
        <w:rPr>
          <w:rFonts w:eastAsiaTheme="minorEastAsia"/>
          <w:vertAlign w:val="subscript"/>
        </w:rPr>
        <w:t>base</w:t>
      </w:r>
      <w:proofErr w:type="spellEnd"/>
      <w:r w:rsidRPr="007E06D8">
        <w:rPr>
          <w:rFonts w:eastAsiaTheme="minorEastAsia"/>
        </w:rPr>
        <w:t xml:space="preserve"> and </w:t>
      </w:r>
      <w:proofErr w:type="spellStart"/>
      <w:r w:rsidRPr="007E06D8">
        <w:rPr>
          <w:rFonts w:eastAsiaTheme="minorEastAsia"/>
        </w:rPr>
        <w:t>P</w:t>
      </w:r>
      <w:r w:rsidRPr="007E06D8">
        <w:rPr>
          <w:rFonts w:eastAsiaTheme="minorEastAsia"/>
          <w:vertAlign w:val="subscript"/>
        </w:rPr>
        <w:t>pleural,base</w:t>
      </w:r>
      <w:proofErr w:type="spellEnd"/>
      <w:r w:rsidRPr="007E06D8">
        <w:rPr>
          <w:rFonts w:eastAsiaTheme="minorEastAsia"/>
        </w:rPr>
        <w:t xml:space="preserve"> represent the normal central venous and pleural pressures</w:t>
      </w:r>
      <w:r>
        <w:rPr>
          <w:rFonts w:eastAsiaTheme="minorEastAsia"/>
        </w:rPr>
        <w:t>.</w:t>
      </w:r>
      <w:r w:rsidR="00134100">
        <w:rPr>
          <w:rFonts w:eastAsiaTheme="minorEastAsia"/>
        </w:rPr>
        <w:t xml:space="preserve"> Following similar work</w:t>
      </w:r>
      <w:r w:rsidR="00134100">
        <w:rPr>
          <w:rFonts w:eastAsiaTheme="minorEastAsia"/>
        </w:rPr>
        <w:fldChar w:fldCharType="begin"/>
      </w:r>
      <w:r w:rsidR="00134100">
        <w:rPr>
          <w:rFonts w:eastAsiaTheme="minorEastAsia"/>
        </w:rPr>
        <w:instrText xml:space="preserve"> ADDIN ZOTERO_ITEM CSL_CITATION {"citationID":"g5JF9kWz","properties":{"formattedCitation":"\\super 19,20,41,42\\nosupersub{}","plainCitation":"19,20,41,42","noteIndex":0},"citationItems":[{"id":4208,"uris":["http://zotero.org/groups/5222748/items/GPZDJVZ5"],"itemData":{"id":4208,"type":"article-journal","abstract":"The relationships among cerebral blood flow, cerebral blood volume, intracranial pressure (ICP), and the action of cerebrovascular regulatory mechanisms (autoregulation and CO2 reactivity) were investigated by means of a mathematical model. The model incorporates the cerebrospinal fluid (CSF) circulation, the intracranial pressure-volume relationship, and cerebral hemodynamics. The latter is based on the following main assumptions: the middle cerebral arteries behave passively following transmural pressure changes; the pial arterial circulation includes two segments (large and small pial arteries) subject to different autoregulation mechanisms; and the venous cerebrovascular bed behaves as a Starling resistor. A new aspect of the model exists in the description of CO2 reactivity in the pial arterial circulation and in the analysis of its nonlinear interaction with autoregulation. Simulation results, obtained at constant ICP using various combinations of mean arterial pressure and CO2 pressure, substantially support data on cerebral blood flow and velocity reported in the physiological literature concerning both the separate effects of CO2 and autoregulation and their nonlinear interaction. Simulations performed in dynamic conditions with varying ICP underline the existence of a significant correlation between ICP dynamics and cerebral hemodynamics in response to CO2 changes. This correlation may significantly increase in pathological subjects with poor intracranial compliance and reduced CSF outflow. In perspective, the model can be used to study ICP and blood velocity time patterns in neurosurgical patients in order to gain a deeper insight into the pathophysiological mechanisms leading to intracranial hypertension and secondary brain damage.","container-title":"American Journal of Physiology-Heart and Circulatory Physiology","DOI":"10.1152/ajpheart.1998.274.5.H1715","ISSN":"0363-6135","issue":"5","note":"publisher: American Physiological Society","page":"H1715-H1728","source":"journals.physiology.org (Atypon)","title":"Interaction among autoregulation, CO2 reactivity, and intracranial pressure: a mathematical model","title-short":"Interaction among autoregulation, CO2 reactivity, and intracranial pressure","volume":"274","author":[{"family":"Ursino","given":"Mauro"},{"family":"Lodi","given":"Carlo Alberto"}],"issued":{"date-parts":[["1998",5]]},"citation-key":"ursinoInteractionAutoregulationCO21998"},"label":"page"},{"id":4212,"uris":["http://zotero.org/groups/5222748/items/X598GF8L"],"itemData":{"id":4212,"type":"article-journal","abstract":"Several cardiovascular and pulmonary models have been proposed in the last few decades. However, very few have addressed the interactions between these two systems. Our group has developed an integrated cardiopulmonary model (CP Model) that mathematically describes the interactions between the cardiovascular and respiratory systems, along with their main short-term control mechanisms. The model has been compared with human and animal data taken from published literature. Due to the volume of the work, the paper is divided in two parts. The present paper is on model development and normophysiology, whereas the second is on the model's validation on hypoxic and hypercapnic conditions. The CP Model incorporates cardiovascular circulation, respiratory mechanics, tissue and alveolar gas exchange, as well as short-term neural control mechanisms acting on both the cardiovascular and the respiratory functions. The model is able to simulate physiological variables typically observed in adult humans under normal and pathological conditions and to explain the underlying mechanisms and dynamics.","container-title":"American Journal of Physiology-Heart and Circulatory Physiology","DOI":"10.1152/ajpheart.00230.2014","ISSN":"0363-6135","issue":"7","note":"publisher: American Physiological Society","page":"H899-H921","source":"journals.physiology.org (Atypon)","title":"An integrated mathematical model of the human cardiopulmonary system: model development","title-short":"An integrated mathematical model of the human cardiopulmonary system","volume":"310","author":[{"family":"Albanese","given":"Antonio"},{"family":"Cheng","given":"Limei"},{"family":"Ursino","given":"Mauro"},{"family":"Chbat","given":"Nicolas W."}],"issued":{"date-parts":[["2016",4]]},"citation-key":"albaneseIntegratedMathematicalModel2016"},"label":"page"},{"id":4440,"uris":["http://zotero.org/groups/5222748/items/4THRG2TH"],"itemData":{"id":4440,"type":"article-journal","abstract":"The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reserve.","container-title":"American Journal of Physiology-Heart and Circulatory Physiology","DOI":"10.1152/ajpheart.00231.2001","ISSN":"0363-6135","issue":"3","note":"publisher: American Physiological Society","page":"H1018-H1034","source":"journals.physiology.org (Atypon)","title":"Theoretical analysis of rest and exercise hemodynamics  in patients with total cavopulmonary connection","volume":"282","author":[{"family":"Magosso","given":"Elisa"},{"family":"Cavalcanti","given":"Silvio"},{"family":"Ursino","given":"Mauro"}],"issued":{"date-parts":[["2002",3]]},"citation-key":"magossoTheoreticalAnalysisRest2002"},"label":"page"},{"id":4437,"uris":["http://zotero.org/groups/5222748/items/FFM3MNK7"],"itemData":{"id":4437,"type":"article-journal","abstract":"The Valsalva maneuver is a frequently used physiological test in evaluating the cardiovascular autonomic functions in human. Although a large pool of experimental data has provided substantial insights into different aspects of the mechanisms underlying the cardiovascular regulations during the Valsalva maneuver, so far a complete comprehension of these mechanisms and the interactions among them is unavailable. In the present study, a computational model of the cardiovascular system (CVS) and its interaction with the autonomic nervous system (ANS) was developed for the purpose of quantifying the individual roles of the CVS and the ANS in the hemodynamic regulations during the Valsalva maneuver. A detailed computational compartmental parameter model of the global CVS, a system of mathematical equations representing the autonomic nervous reflex regulatory functions, and an empirical cerebral autoregulation (CA) model formed the main body of the present model. Based on simulations of the Valsalva maneuvers at several typical postures, it was demonstrated that hemodynamic responses to the maneuver were not only determined by the ANS-mediated cardiovascular regulations, but also significantly affected by the postural-change-induced hemodynamic alterations preceding the maneuver. Moreover, the large-magnitude overshoot in cerebral perfusion immediately after the Valsalva maneuver was found to result from a combined effect of the circulatory autonomic functions, the CA, and the cerebral venous blood pressure.","container-title":"The Journal of Physiological Sciences","DOI":"10.2170/physiolsci.RP001305","issue":"1","page":"45-65","source":"J-Stage","title":"Simulation of Hemodynamic Responses to the Valsalva Maneuver: An Integrative Computational Model of the Cardiovascular System and the Autonomic Nervous System","title-short":"Simulation of Hemodynamic Responses to the Valsalva Maneuver","volume":"56","author":[{"family":"Liang","given":"Fuyou"},{"family":"Liu","given":"Hao"}],"issued":{"date-parts":[["2006"]]},"citation-key":"liangSimulationHemodynamicResponses2006"},"label":"page"}],"schema":"https://github.com/citation-style-language/schema/raw/master/csl-citation.json"} </w:instrText>
      </w:r>
      <w:r w:rsidR="00134100">
        <w:rPr>
          <w:rFonts w:eastAsiaTheme="minorEastAsia"/>
        </w:rPr>
        <w:fldChar w:fldCharType="separate"/>
      </w:r>
      <w:r w:rsidR="00134100" w:rsidRPr="00134100">
        <w:rPr>
          <w:rFonts w:cs="Times New Roman"/>
          <w:szCs w:val="24"/>
          <w:vertAlign w:val="superscript"/>
        </w:rPr>
        <w:t>19,20,41,42</w:t>
      </w:r>
      <w:r w:rsidR="00134100">
        <w:rPr>
          <w:rFonts w:eastAsiaTheme="minorEastAsia"/>
        </w:rPr>
        <w:fldChar w:fldCharType="end"/>
      </w:r>
      <w:r w:rsidR="00134100">
        <w:rPr>
          <w:rFonts w:eastAsiaTheme="minorEastAsia"/>
        </w:rPr>
        <w:t xml:space="preserve">, we then weight the signal produced in the afferent arm of the central nervous system to produce the final afferent signal. We omit model details of the </w:t>
      </w:r>
      <w:r w:rsidR="00134100" w:rsidRPr="00134100">
        <w:rPr>
          <w:rFonts w:eastAsiaTheme="minorEastAsia"/>
        </w:rPr>
        <w:t xml:space="preserve">peripheral chemoreceptors, and pulmonary stretch receptors </w:t>
      </w:r>
      <w:r w:rsidR="00134100">
        <w:rPr>
          <w:rFonts w:eastAsiaTheme="minorEastAsia"/>
        </w:rPr>
        <w:t>as they are not relevant for the current study.</w:t>
      </w:r>
    </w:p>
    <w:p w14:paraId="37822F8F" w14:textId="659F201A" w:rsidR="00513F7C" w:rsidRDefault="00513F7C" w:rsidP="00513F7C">
      <w:pPr>
        <w:pStyle w:val="Heading2"/>
      </w:pPr>
      <w:r>
        <w:t>Hypoperfusion Model</w:t>
      </w:r>
    </w:p>
    <w:p w14:paraId="42EF02A3" w14:textId="73A48C7A" w:rsidR="00513F7C" w:rsidRDefault="00513F7C" w:rsidP="00513F7C">
      <w:r>
        <w:t xml:space="preserve">For a given tissue compartment, during circulation, the cells request a baseline level of oxygen to support ATP creation. During periods of hypoperfusion, the tissue reverts to anerobic activity, generating lactate. This generation perturbs the </w:t>
      </w:r>
      <w:proofErr w:type="spellStart"/>
      <w:r>
        <w:t>ph</w:t>
      </w:r>
      <w:proofErr w:type="spellEnd"/>
      <w:r>
        <w:t xml:space="preserve"> value of the blood, resulting in changes in the biding activity of red blood cells</w:t>
      </w:r>
      <w:r>
        <w:fldChar w:fldCharType="begin"/>
      </w:r>
      <w:r>
        <w:instrText xml:space="preserve"> ADDIN ZOTERO_ITEM CSL_CITATION {"citationID":"8rCgCbZ5","properties":{"formattedCitation":"\\super 7,8,43\\nosupersub{}","plainCitation":"7,8,43","noteIndex":0},"citationItems":[{"id":3727,"uris":["http://zotero.org/groups/5222748/items/7I2J79VS"],"itemData":{"id":3727,"type":"article-journal","abstract":"Objective\nResuscitation after cardiac surgery needs to address multiple pathophysiological processes that are associated with significant morbidity and mortality. Functional microcirculatory derangements despite normal systemic hemodynamics have been previously described but must be tied to clinical outcomes. The authors hypothesized that microcirculatory dysfunction after cardiac surgery would include impaired capillary blood flow and impaired diffusive capacity and that subjects with the lowest quartile of perfused vessel density would have an increased postoperative lactate level and acute organ injury scores.\nDesign\nProspective, observational study.\nSetting\nA single, tertiary university cardiovascular surgical intensive care unit.\nParticipants\n25 adults undergoing elective cardiac surgery requiring cardiopulmonary bypass.\nIntervention\nSublingual microcirculation was imaged using incident dark field microscopy before and 2 to 4 hours after surgery in the intensive care unit.\nMeasurements and Main Results\nCompared with baseline measurements, postoperative vessel-by-vessel microvascular flow index (2.9 [2.8-2.9] v 2.5 [2.4-2.7], p &lt; 0.0001) and perfused vessel density were significantly impaired (20.7 [19.3-22.9] v 16.3 [12.8-17.9], p &lt; 0.0001). The lowest quartile of perfused vessel density (&lt;12.8 mm/mm2) was associated with a significantly increased postoperative lactate level (6.0 ± 2.9 v 1.8 ± 1.2, p &lt; 0.05), peak lactate level (7.6 ± 2.8 v 2.8 ± 1.5, p = 0.03), and sequential organ failure assessment (SOFA) score at 24 and 48 hours.\nConclusion\nIn patients undergoing cardiac surgery, there was a significant decrease in postoperative microcirculatory convective blood flow and diffusive capacity during early postoperative resuscitation. Severely impaired perfused vessel density, represented by the lowest quartile of distribution, is significantly related to hyperlactatemia and early organ injury.","container-title":"Journal of Cardiothoracic and Vascular Anesthesia","DOI":"10.1053/j.jvca.2020.04.045","ISSN":"1053-0770","issue":"1","journalAbbreviation":"Journal of Cardiothoracic and Vascular Anesthesia","page":"106-115","source":"ScienceDirect","title":"Severe Impairment of Microcirculatory Perfused Vessel Density Is Associated With Postoperative Lactate and Acute Organ Injury After Cardiac Surgery","volume":"35","author":[{"family":"Greenwood","given":"John C."},{"family":"Jang","given":"David H."},{"family":"Hallisey","given":"Stephen D."},{"family":"Gutsche","given":"Jacob T."},{"family":"Horak","given":"Jiri"},{"family":"Acker","given":"Michael A."},{"family":"Bermudez","given":"Christian A."},{"family":"Zhou","given":"Victoria L."},{"family":"Chatterjee","given":"Shampa"},{"family":"Shofer","given":"Frances S."},{"family":"Kilbaugh","given":"Todd J."},{"family":"Augoustides","given":"John G. T."},{"family":"Meyer","given":"Nuala J."},{"family":"Bakker","given":"Jan"},{"family":"Abella","given":"Benjamin S."}],"issued":{"date-parts":[["2021",1,1]]},"citation-key":"greenwoodSevereImpairmentMicrocirculatory2021"},"label":"page"},{"id":3717,"uris":["http://zotero.org/groups/5222748/items/JUUI4PW2"],"itemData":{"id":3717,"type":"article-journal","abstract":"Microcirculatory preservation is essential for patient recovery from hemorrhagic shock. In hemorrhagic shock, microcirculatory flow and pressure are greatly reduced, creating an oxygen debt that may eventually become irreversible. During shock, tissues become hypoxic, cellular respiration turns to anaerobic metabolism, and the microcirculation rapidly begins to fail. This condition requires immediate fluid resuscitation to promote tissue reperfusion. The choice of fluid for resuscitation is whole blood; however, this may not be readily available and, on a larger scale, may be globally insufficient. Thus, extensive research on viable alternatives to blood has been undertaken in an effort to develop a clinically deployable blood substitute. This has not, as of yet, achieved fruition, in part due to an incomplete understanding of the complexities of the function of blood in the microcirculation. Hemodynamic resuscitation is acknowledged to be contingent on a number of factors other than volume expansion. The circulation of whole blood is carefully regulated to optimize oxygen delivery to the tissues via shear stress modulation through blood viscosity, inherent oxygen-carrying capacity, cell-free layer variation, and myogenic response, among other variables. Although plasma expanders can address a number of these issues, hemoglobin-based oxygen carriers (HBOCs) introduce a method of replenishing the intrinsic oxygen-carrying capacity of blood. There continue to be a number of issues related to HBOCs, but recent advances in the next-generation HBOCs show promise in the preservation of microcirculatory function and limiting toxicities. The development of HBOCs is now focused on viscosity and the degree of microvascular shear stress achieved in order to optimize vasoactive and oxygen delivery responses by leveraging the restoration and maintenance of physiological responses to blood flow in the microcirculation. Blood substitutes with higher viscous properties tend to improve oxygen delivery compared to those with lower viscosities. This review details current concepts in blood substitutes, particularly as they relate to trauma/hemorrhagic shock, with a specific focus on their complex interactions in the microcirculation.","container-title":"Frontiers in Medicine","ISSN":"2296-858X","source":"Frontiers","title":"Resuscitation After Hemorrhagic Shock in the Microcirculation: Targeting Optimal Oxygen Delivery in the Design of Artificial Blood Substitutes","title-short":"Resuscitation After Hemorrhagic Shock in the Microcirculation","URL":"https://www.frontiersin.org/articles/10.3389/fmed.2020.585638","volume":"7","author":[{"family":"Munoz","given":"Carlos"},{"family":"Aletti","given":"Federico"},{"family":"Govender","given":"Krianthan"},{"family":"Cabrales","given":"Pedro"},{"family":"Kistler","given":"Erik B."}],"accessed":{"date-parts":[["2023",10,17]]},"issued":{"date-parts":[["2020"]]},"citation-key":"munozResuscitationHemorrhagicShock2020"},"label":"page"},{"id":4445,"uris":["http://zotero.org/groups/5222748/items/63JP48E6"],"itemData":{"id":4445,"type":"article-journal","abstract":"Equations for blood oxyhemoglobin (HbO2) and carbaminohemoglobin (HbCO2) dissociation curves that incorporate nonlinear biochemical interactions of oxygen and carbon dioxide with hemoglobin (Hb), covering a wide range of physiological conditions, are crucial for a number of practical applications. These include the development of physiologically-based computational models of alveolar-blood and blood-tissue O2–CO2 transport, exchange, and metabolism, and the analysis of clinical and in vitro data.","container-title":"European Journal of Applied Physiology","DOI":"10.1007/s00421-015-3228-3","ISSN":"1439-6327","issue":"1","journalAbbreviation":"Eur J Appl Physiol","language":"en","page":"97-113","source":"Springer Link","title":"Simple accurate mathematical models of blood HbO2 and HbCO2 dissociation curves at varied physiological conditions: evaluation and comparison with other models","title-short":"Simple accurate mathematical models of blood HbO2 and HbCO2 dissociation curves at varied physiological conditions","volume":"116","author":[{"family":"Dash","given":"Ranjan K."},{"family":"Korman","given":"Ben"},{"family":"Bassingthwaighte","given":"James B."}],"issued":{"date-parts":[["2016",1,1]]},"citation-key":"dashSimpleAccurateMathematical2016"},"label":"page"}],"schema":"https://github.com/citation-style-language/schema/raw/master/csl-citation.json"} </w:instrText>
      </w:r>
      <w:r>
        <w:fldChar w:fldCharType="separate"/>
      </w:r>
      <w:r w:rsidRPr="00513F7C">
        <w:rPr>
          <w:rFonts w:cs="Times New Roman"/>
          <w:szCs w:val="24"/>
          <w:vertAlign w:val="superscript"/>
        </w:rPr>
        <w:t>7,8,43</w:t>
      </w:r>
      <w:r>
        <w:fldChar w:fldCharType="end"/>
      </w:r>
      <w:r>
        <w:t xml:space="preserve">. </w:t>
      </w:r>
      <w:r w:rsidR="00BC3C32">
        <w:t>We generate a model based upon prior work, that couples the strong ion difference in the blood</w:t>
      </w:r>
      <w:r w:rsidR="00AB3BBA">
        <w:t xml:space="preserve">, </w:t>
      </w:r>
      <w:proofErr w:type="spellStart"/>
      <w:r w:rsidR="00AB3BBA">
        <w:t>ph</w:t>
      </w:r>
      <w:proofErr w:type="spellEnd"/>
      <w:r w:rsidR="00AB3BBA">
        <w:t>, and</w:t>
      </w:r>
      <w:r w:rsidR="00BC3C32">
        <w:t xml:space="preserve"> (as circulated by the cardiovascular model) bound and unbound o2 bicarbonate and co2</w:t>
      </w:r>
      <w:r w:rsidR="00AB3BBA">
        <w:t xml:space="preserve">: </w:t>
      </w:r>
    </w:p>
    <w:p w14:paraId="52B14AA9" w14:textId="049E1CE2" w:rsidR="00AB3BBA" w:rsidRPr="00AB3BBA" w:rsidRDefault="00AB3BBA" w:rsidP="00513F7C">
      <w:pPr>
        <w:rPr>
          <w:rFonts w:eastAsiaTheme="minorEastAsia"/>
        </w:rPr>
      </w:pPr>
      <m:oMathPara>
        <m:oMath>
          <m:r>
            <w:rPr>
              <w:rFonts w:ascii="Cambria Math" w:hAnsi="Cambria Math"/>
              <w:sz w:val="20"/>
              <w:szCs w:val="20"/>
            </w:rPr>
            <m:t>SID</m:t>
          </m:r>
          <m:r>
            <m:rPr>
              <m:aln/>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Na</m:t>
              </m:r>
            </m:sub>
          </m:sSub>
          <m:d>
            <m:dPr>
              <m:ctrlPr>
                <w:rPr>
                  <w:rFonts w:ascii="Cambria Math" w:hAnsi="Cambria Math"/>
                  <w:i/>
                  <w:sz w:val="20"/>
                  <w:szCs w:val="20"/>
                </w:rPr>
              </m:ctrlPr>
            </m:dPr>
            <m:e>
              <m:r>
                <w:rPr>
                  <w:rFonts w:ascii="Cambria Math" w:hAnsi="Cambria Math"/>
                  <w:sz w:val="20"/>
                  <w:szCs w:val="20"/>
                </w:rPr>
                <m:t>t</m:t>
              </m:r>
            </m:e>
          </m:d>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Cl</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lactate</m:t>
                  </m:r>
                </m:sub>
              </m:sSub>
              <m:d>
                <m:dPr>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w:br/>
          </m:r>
        </m:oMath>
        <m:oMath>
          <m:r>
            <w:rPr>
              <w:rFonts w:ascii="Cambria Math" w:hAnsi="Cambria Math"/>
              <w:sz w:val="20"/>
              <w:szCs w:val="20"/>
            </w:rPr>
            <m:t>0</m:t>
          </m:r>
          <m:r>
            <m:rPr>
              <m:aln/>
            </m:rPr>
            <w:rPr>
              <w:rFonts w:ascii="Cambria Math" w:hAnsi="Cambria Math"/>
              <w:sz w:val="20"/>
              <w:szCs w:val="20"/>
            </w:rPr>
            <m:t>=SID-</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HBCO3</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t</m:t>
              </m:r>
            </m:e>
          </m:d>
          <m:d>
            <m:dPr>
              <m:ctrlPr>
                <w:rPr>
                  <w:rFonts w:ascii="Cambria Math" w:hAnsi="Cambria Math"/>
                  <w:i/>
                  <w:sz w:val="20"/>
                  <w:szCs w:val="20"/>
                </w:rPr>
              </m:ctrlPr>
            </m:dPr>
            <m:e>
              <m:r>
                <w:rPr>
                  <w:rFonts w:ascii="Cambria Math" w:hAnsi="Cambria Math"/>
                  <w:sz w:val="20"/>
                  <w:szCs w:val="20"/>
                </w:rPr>
                <m:t>0.123pH-0.631</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PO4</m:t>
              </m:r>
            </m:sub>
          </m:sSub>
          <m:d>
            <m:dPr>
              <m:ctrlPr>
                <w:rPr>
                  <w:rFonts w:ascii="Cambria Math" w:hAnsi="Cambria Math"/>
                  <w:i/>
                  <w:sz w:val="20"/>
                  <w:szCs w:val="20"/>
                </w:rPr>
              </m:ctrlPr>
            </m:dPr>
            <m:e>
              <m:r>
                <w:rPr>
                  <w:rFonts w:ascii="Cambria Math" w:hAnsi="Cambria Math"/>
                  <w:sz w:val="20"/>
                  <w:szCs w:val="20"/>
                </w:rPr>
                <m:t>t</m:t>
              </m:r>
            </m:e>
          </m:d>
          <m:d>
            <m:dPr>
              <m:ctrlPr>
                <w:rPr>
                  <w:rFonts w:ascii="Cambria Math" w:hAnsi="Cambria Math"/>
                  <w:i/>
                  <w:sz w:val="20"/>
                  <w:szCs w:val="20"/>
                </w:rPr>
              </m:ctrlPr>
            </m:dPr>
            <m:e>
              <m:r>
                <w:rPr>
                  <w:rFonts w:ascii="Cambria Math" w:hAnsi="Cambria Math"/>
                  <w:sz w:val="20"/>
                  <w:szCs w:val="20"/>
                </w:rPr>
                <m:t>0.309pH-0.469</m:t>
              </m:r>
            </m:e>
          </m:d>
          <m:r>
            <w:rPr>
              <w:rFonts w:ascii="Cambria Math" w:hAnsi="Cambria Math"/>
              <w:sz w:val="20"/>
              <w:szCs w:val="20"/>
            </w:rPr>
            <w:br/>
          </m:r>
        </m:oMath>
        <m:oMath>
          <m:r>
            <w:rPr>
              <w:rFonts w:ascii="Cambria Math" w:hAnsi="Cambria Math"/>
              <w:sz w:val="20"/>
              <w:szCs w:val="20"/>
            </w:rPr>
            <m:t>0</m:t>
          </m:r>
          <m:r>
            <m:rPr>
              <m:aln/>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CO2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CO2</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HBCO3</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-4</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CO2</m:t>
                  </m:r>
                </m:sub>
              </m:sSub>
              <m:r>
                <w:rPr>
                  <w:rFonts w:ascii="Cambria Math" w:hAnsi="Cambria Math"/>
                  <w:sz w:val="20"/>
                  <w:szCs w:val="20"/>
                </w:rPr>
                <m:t>C</m:t>
              </m:r>
            </m:e>
            <m:sub>
              <m:r>
                <w:rPr>
                  <w:rFonts w:ascii="Cambria Math" w:hAnsi="Cambria Math"/>
                  <w:sz w:val="20"/>
                  <w:szCs w:val="20"/>
                </w:rPr>
                <m:t>Hb</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w:br/>
          </m:r>
        </m:oMath>
        <m:oMath>
          <m:r>
            <w:rPr>
              <w:rFonts w:ascii="Cambria Math" w:hAnsi="Cambria Math"/>
              <w:sz w:val="20"/>
              <w:szCs w:val="20"/>
            </w:rPr>
            <m:t>0</m:t>
          </m:r>
          <m:r>
            <m:rPr>
              <m:aln/>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O2</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-4</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O2</m:t>
                  </m:r>
                </m:sub>
              </m:sSub>
              <m:r>
                <w:rPr>
                  <w:rFonts w:ascii="Cambria Math" w:hAnsi="Cambria Math"/>
                  <w:sz w:val="20"/>
                  <w:szCs w:val="20"/>
                </w:rPr>
                <m:t>C</m:t>
              </m:r>
            </m:e>
            <m:sub>
              <m:r>
                <w:rPr>
                  <w:rFonts w:ascii="Cambria Math" w:hAnsi="Cambria Math"/>
                  <w:sz w:val="20"/>
                  <w:szCs w:val="20"/>
                </w:rPr>
                <m:t>Hb</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w:br/>
          </m:r>
        </m:oMath>
        <m:oMath>
          <m:r>
            <w:rPr>
              <w:rFonts w:ascii="Cambria Math" w:hAnsi="Cambria Math"/>
              <w:sz w:val="20"/>
              <w:szCs w:val="20"/>
            </w:rPr>
            <m:t>pH</m:t>
          </m:r>
          <m:r>
            <m:rPr>
              <m:aln/>
            </m:rPr>
            <w:rPr>
              <w:rFonts w:ascii="Cambria Math" w:hAnsi="Cambria Math"/>
              <w:sz w:val="20"/>
              <w:szCs w:val="20"/>
            </w:rPr>
            <m:t>=6.1+log</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HBCO3</m:t>
                      </m:r>
                    </m:sub>
                  </m:sSub>
                  <m:d>
                    <m:dPr>
                      <m:ctrlPr>
                        <w:rPr>
                          <w:rFonts w:ascii="Cambria Math" w:hAnsi="Cambria Math"/>
                          <w:i/>
                          <w:sz w:val="20"/>
                          <w:szCs w:val="20"/>
                        </w:rPr>
                      </m:ctrlPr>
                    </m:dPr>
                    <m:e>
                      <m:r>
                        <w:rPr>
                          <w:rFonts w:ascii="Cambria Math" w:hAnsi="Cambria Math"/>
                          <w:sz w:val="20"/>
                          <w:szCs w:val="20"/>
                        </w:rPr>
                        <m:t>t</m:t>
                      </m:r>
                    </m:e>
                  </m:d>
                </m:num>
                <m:den>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CO2</m:t>
                      </m:r>
                    </m:sub>
                  </m:sSub>
                  <m:r>
                    <w:rPr>
                      <w:rFonts w:ascii="Cambria Math" w:hAnsi="Cambria Math"/>
                      <w:sz w:val="20"/>
                      <w:szCs w:val="20"/>
                    </w:rPr>
                    <m:t>(t)</m:t>
                  </m:r>
                </m:den>
              </m:f>
            </m:e>
          </m:d>
        </m:oMath>
      </m:oMathPara>
    </w:p>
    <w:p w14:paraId="075A449D" w14:textId="1BB706A8" w:rsidR="00AB3BBA" w:rsidRDefault="00AB3BBA" w:rsidP="00513F7C">
      <w:pPr>
        <w:rPr>
          <w:rFonts w:eastAsiaTheme="minorEastAsia"/>
        </w:rPr>
      </w:pPr>
      <w:r>
        <w:rPr>
          <w:rFonts w:eastAsiaTheme="minorEastAsia"/>
        </w:rPr>
        <w:t xml:space="preserve">We solve this system for </w:t>
      </w:r>
      <w:r w:rsidR="00FB5587">
        <w:rPr>
          <w:rFonts w:eastAsiaTheme="minorEastAsia"/>
        </w:rPr>
        <w:t>its</w:t>
      </w:r>
      <w:r>
        <w:rPr>
          <w:rFonts w:eastAsiaTheme="minorEastAsia"/>
        </w:rPr>
        <w:t xml:space="preserve"> root at each time step for each liquid compartment in the cardiovascular system to determine oxygen binding during a hemorrhage event. To further perturb the anerobic activity, we also </w:t>
      </w:r>
      <w:r w:rsidR="00963415">
        <w:rPr>
          <w:rFonts w:eastAsiaTheme="minorEastAsia"/>
        </w:rPr>
        <w:t xml:space="preserve">scale lactate levels as a function of total blood volume in the patient: </w:t>
      </w:r>
    </w:p>
    <w:p w14:paraId="1D4A73E5" w14:textId="1B29587F" w:rsidR="00963415" w:rsidRPr="00987487" w:rsidRDefault="00963415" w:rsidP="00513F7C">
      <w:pPr>
        <w:rPr>
          <w:rFonts w:eastAsiaTheme="minorEastAsia"/>
          <w:sz w:val="20"/>
          <w:szCs w:val="20"/>
        </w:rPr>
      </w:pPr>
      <m:oMathPara>
        <m:oMath>
          <m:r>
            <w:rPr>
              <w:rFonts w:ascii="Cambria Math" w:hAnsi="Cambria Math"/>
              <w:sz w:val="20"/>
              <w:szCs w:val="20"/>
            </w:rPr>
            <m:t>L</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BV</m:t>
                  </m:r>
                </m:sub>
              </m:sSub>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15.5</m:t>
              </m:r>
            </m:num>
            <m:den>
              <m:r>
                <w:rPr>
                  <w:rFonts w:ascii="Cambria Math" w:hAnsi="Cambria Math"/>
                  <w:sz w:val="20"/>
                  <w:szCs w:val="20"/>
                </w:rPr>
                <m:t>1+5.4exp</m:t>
              </m:r>
              <m:d>
                <m:dPr>
                  <m:ctrlPr>
                    <w:rPr>
                      <w:rFonts w:ascii="Cambria Math" w:hAnsi="Cambria Math"/>
                      <w:i/>
                      <w:sz w:val="20"/>
                      <w:szCs w:val="20"/>
                    </w:rPr>
                  </m:ctrlPr>
                </m:dPr>
                <m:e>
                  <m:r>
                    <w:rPr>
                      <w:rFonts w:ascii="Cambria Math" w:hAnsi="Cambria Math"/>
                      <w:sz w:val="20"/>
                      <w:szCs w:val="20"/>
                    </w:rPr>
                    <m:t>25</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BV</m:t>
                              </m:r>
                            </m:sub>
                          </m:sSub>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BV</m:t>
                              </m:r>
                              <m:r>
                                <w:rPr>
                                  <w:rFonts w:ascii="Cambria Math" w:hAnsi="Cambria Math"/>
                                  <w:sz w:val="20"/>
                                  <w:szCs w:val="20"/>
                                </w:rPr>
                                <m:t>,baseline</m:t>
                              </m:r>
                            </m:sub>
                          </m:sSub>
                        </m:den>
                      </m:f>
                      <m:r>
                        <w:rPr>
                          <w:rFonts w:ascii="Cambria Math" w:hAnsi="Cambria Math"/>
                          <w:sz w:val="20"/>
                          <w:szCs w:val="20"/>
                        </w:rPr>
                        <m:t>-1</m:t>
                      </m:r>
                    </m:e>
                  </m:d>
                </m:e>
              </m:d>
            </m:den>
          </m:f>
          <m:r>
            <w:rPr>
              <w:rFonts w:ascii="Cambria Math" w:hAnsi="Cambria Math"/>
              <w:sz w:val="20"/>
              <w:szCs w:val="20"/>
            </w:rPr>
            <m:t>+1</m:t>
          </m:r>
        </m:oMath>
      </m:oMathPara>
    </w:p>
    <w:p w14:paraId="0F0C363F" w14:textId="603CAB57" w:rsidR="00963415" w:rsidRDefault="00987487" w:rsidP="00513F7C">
      <w:pPr>
        <w:rPr>
          <w:rFonts w:eastAsiaTheme="minorEastAsia"/>
        </w:rPr>
      </w:pPr>
      <w:r>
        <w:rPr>
          <w:rFonts w:eastAsiaTheme="minorEastAsia"/>
        </w:rPr>
        <w:t>L is lactate</w:t>
      </w:r>
      <w:r w:rsidR="006719FC">
        <w:rPr>
          <w:rFonts w:eastAsiaTheme="minorEastAsia"/>
        </w:rPr>
        <w:t xml:space="preserve"> mass, and V denotes blood volume. </w:t>
      </w:r>
      <w:r w:rsidR="00963415">
        <w:rPr>
          <w:rFonts w:eastAsiaTheme="minorEastAsia"/>
        </w:rPr>
        <w:t>Parameter values for this expression were chosen to validate well with experimental data (see results section)</w:t>
      </w:r>
      <w:r>
        <w:rPr>
          <w:rFonts w:eastAsiaTheme="minorEastAsia"/>
        </w:rPr>
        <w:t>. Due to the major role the kidneys play in filtering lactate from the blood and adjusting pH balance in the blood</w:t>
      </w:r>
      <w:r>
        <w:rPr>
          <w:rFonts w:eastAsiaTheme="minorEastAsia"/>
        </w:rPr>
        <w:fldChar w:fldCharType="begin"/>
      </w:r>
      <w:r>
        <w:rPr>
          <w:rFonts w:eastAsiaTheme="minorEastAsia"/>
        </w:rPr>
        <w:instrText xml:space="preserve"> ADDIN ZOTERO_ITEM CSL_CITATION {"citationID":"eVs4bPCD","properties":{"formattedCitation":"\\super 44\\nosupersub{}","plainCitation":"44","noteIndex":0},"citationItems":[{"id":4447,"uris":["http://zotero.org/groups/5222748/items/CY2JEBXK"],"itemData":{"id":4447,"type":"article-journal","abstract":"The native kidney has a major role in lactate metabolism. The renal cortex appears to be the major lactate-consuming organ in the body after the liver. Under conditions of exogenous hyperlactatemia, the kidney is responsible for the removal of 25–30% of all infused lactate. Most of such removal is through lactate metabolism rather than excretion, although under conditions of marked hyperlactatemia such excretion can account for approximately 10–12% of renal lactate disposal. Indeed, nephrectomy results in an approximately 30% decrease in exogenous lactate removal. Importantly and differently from the liver, however, the kidney's ability to remove lactate is increased by acidosis. While acidosis inhibits hepatic lactate metabolism, it increases lactate uptake and utilization via gluconeogenesis by stimulating the activity of phospho-enolpyruvate carboxykinase. The kidney remains an effective lactate-removing organ even during endotoxemic shock. The artificial kidney also has a profound effect on lactate balance. If lactate-buffered fluids are used in patients who require continuous hemofiltration and who have pretreatment hyperlactatemia, the serum lactate levels can significantly increase. In some cases, this increase can result in an exacerbation of metabolic acidosis. If bicarbonate-buffered replacement fluids are used, a significant correction of the acidosis or acidemia can also be achieved. The clinician needs to be aware of these renal effects on lactate levels to understand the pathogenesis of hyperlactatemia in critically ill patients, and to avoid misinterpretations and unnecessary or inappropriate diagnostic or therapeutic activities.","container-title":"Critical Care","DOI":"10.1186/cc1518","ISSN":"1364-8535","issue":"4","journalAbbreviation":"Crit Care","language":"en","page":"322","source":"Springer Link","title":"Bench-to-bedside review: Lactate and the kidney","title-short":"Bench-to-bedside review","volume":"6","author":[{"family":"Bellomo","given":"Rinaldo"}],"issued":{"date-parts":[["2002",6,7]]},"citation-key":"bellomoBenchtobedsideReviewLactate2002b"}}],"schema":"https://github.com/citation-style-language/schema/raw/master/csl-citation.json"} </w:instrText>
      </w:r>
      <w:r>
        <w:rPr>
          <w:rFonts w:eastAsiaTheme="minorEastAsia"/>
        </w:rPr>
        <w:fldChar w:fldCharType="separate"/>
      </w:r>
      <w:r w:rsidRPr="00987487">
        <w:rPr>
          <w:rFonts w:cs="Times New Roman"/>
          <w:szCs w:val="24"/>
          <w:vertAlign w:val="superscript"/>
        </w:rPr>
        <w:t>44</w:t>
      </w:r>
      <w:r>
        <w:rPr>
          <w:rFonts w:eastAsiaTheme="minorEastAsia"/>
        </w:rPr>
        <w:fldChar w:fldCharType="end"/>
      </w:r>
      <w:r>
        <w:rPr>
          <w:rFonts w:eastAsiaTheme="minorEastAsia"/>
        </w:rPr>
        <w:t xml:space="preserve">, we introduce a relationship between </w:t>
      </w:r>
      <w:r w:rsidR="006719FC">
        <w:rPr>
          <w:rFonts w:eastAsiaTheme="minorEastAsia"/>
        </w:rPr>
        <w:t>mass transported into the renal tubules</w:t>
      </w:r>
      <w:r>
        <w:rPr>
          <w:rFonts w:eastAsiaTheme="minorEastAsia"/>
        </w:rPr>
        <w:t xml:space="preserve"> and blood pH:</w:t>
      </w:r>
    </w:p>
    <w:p w14:paraId="398512B8" w14:textId="426EA663" w:rsidR="00987487" w:rsidRPr="00987487" w:rsidRDefault="006719FC" w:rsidP="00987487">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m:t>
              </m:r>
            </m:sub>
          </m:sSub>
          <m:d>
            <m:dPr>
              <m:ctrlPr>
                <w:rPr>
                  <w:rFonts w:ascii="Cambria Math" w:hAnsi="Cambria Math"/>
                  <w:i/>
                  <w:sz w:val="20"/>
                  <w:szCs w:val="20"/>
                </w:rPr>
              </m:ctrlPr>
            </m:dPr>
            <m:e>
              <m:r>
                <w:rPr>
                  <w:rFonts w:ascii="Cambria Math" w:hAnsi="Cambria Math"/>
                  <w:sz w:val="20"/>
                  <w:szCs w:val="20"/>
                </w:rPr>
                <m:t>pH</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r>
                <w:rPr>
                  <w:rFonts w:ascii="Cambria Math" w:hAnsi="Cambria Math"/>
                  <w:sz w:val="20"/>
                  <w:szCs w:val="20"/>
                </w:rPr>
                <m:t>0.0</m:t>
              </m:r>
            </m:num>
            <m:den>
              <m:r>
                <w:rPr>
                  <w:rFonts w:ascii="Cambria Math" w:hAnsi="Cambria Math"/>
                  <w:sz w:val="20"/>
                  <w:szCs w:val="20"/>
                </w:rPr>
                <m:t>1+</m:t>
              </m:r>
              <m:r>
                <w:rPr>
                  <w:rFonts w:ascii="Cambria Math" w:hAnsi="Cambria Math"/>
                  <w:sz w:val="20"/>
                  <w:szCs w:val="20"/>
                </w:rPr>
                <m:t>24.5e</m:t>
              </m:r>
              <m:r>
                <w:rPr>
                  <w:rFonts w:ascii="Cambria Math" w:hAnsi="Cambria Math"/>
                  <w:sz w:val="20"/>
                  <w:szCs w:val="20"/>
                </w:rPr>
                <m:t>xp</m:t>
              </m:r>
              <m:d>
                <m:dPr>
                  <m:ctrlPr>
                    <w:rPr>
                      <w:rFonts w:ascii="Cambria Math" w:hAnsi="Cambria Math"/>
                      <w:i/>
                      <w:sz w:val="20"/>
                      <w:szCs w:val="20"/>
                    </w:rPr>
                  </m:ctrlPr>
                </m:dPr>
                <m:e>
                  <m:r>
                    <w:rPr>
                      <w:rFonts w:ascii="Cambria Math" w:hAnsi="Cambria Math"/>
                      <w:sz w:val="20"/>
                      <w:szCs w:val="20"/>
                    </w:rPr>
                    <m:t>100</m:t>
                  </m:r>
                  <m:d>
                    <m:dPr>
                      <m:ctrlPr>
                        <w:rPr>
                          <w:rFonts w:ascii="Cambria Math" w:hAnsi="Cambria Math"/>
                          <w:i/>
                          <w:sz w:val="20"/>
                          <w:szCs w:val="20"/>
                        </w:rPr>
                      </m:ctrlPr>
                    </m:dPr>
                    <m:e>
                      <m:r>
                        <w:rPr>
                          <w:rFonts w:ascii="Cambria Math" w:hAnsi="Cambria Math"/>
                          <w:sz w:val="20"/>
                          <w:szCs w:val="20"/>
                        </w:rPr>
                        <m:t>pH</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-1</m:t>
                      </m:r>
                    </m:e>
                  </m:d>
                </m:e>
              </m:d>
            </m:den>
          </m:f>
          <m:r>
            <w:rPr>
              <w:rFonts w:ascii="Cambria Math" w:hAnsi="Cambria Math"/>
              <w:sz w:val="20"/>
              <w:szCs w:val="20"/>
            </w:rPr>
            <m:t>+1</m:t>
          </m:r>
        </m:oMath>
      </m:oMathPara>
    </w:p>
    <w:p w14:paraId="0D12EC1D" w14:textId="7D2565D5" w:rsidR="00987487" w:rsidRDefault="006719FC" w:rsidP="00513F7C">
      <w:r>
        <w:t xml:space="preserve">Here M denotes the mass of lactate in the renal capillaries, and pH denotes the pH in the blood. Parameters were qualitatively measured to capture recovery time post bleed. This value scales the amount of lactate filtered by the kidney’s by moving mass into the tubules for clearance. At each time step we move lactate mass into the tubules: </w:t>
      </w:r>
    </w:p>
    <w:p w14:paraId="79CF6C45" w14:textId="257FE5B8" w:rsidR="006719FC" w:rsidRPr="00FD5042" w:rsidRDefault="006719FC" w:rsidP="00513F7C">
      <w:pPr>
        <w:rPr>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m:t>
                  </m:r>
                </m:e>
                <m:sub>
                  <m:r>
                    <w:rPr>
                      <w:rFonts w:ascii="Cambria Math" w:hAnsi="Cambria Math"/>
                      <w:sz w:val="20"/>
                      <w:szCs w:val="20"/>
                    </w:rPr>
                    <m:t>sub</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sub</m:t>
              </m:r>
            </m:sub>
          </m:sSub>
          <m:r>
            <w:rPr>
              <w:rFonts w:ascii="Cambria Math" w:hAnsi="Cambria Math"/>
              <w:sz w:val="20"/>
              <w:szCs w:val="20"/>
            </w:rPr>
            <m:t>βγJ</m:t>
          </m:r>
          <m:d>
            <m:dPr>
              <m:ctrlPr>
                <w:rPr>
                  <w:rFonts w:ascii="Cambria Math" w:hAnsi="Cambria Math"/>
                  <w:i/>
                  <w:sz w:val="20"/>
                  <w:szCs w:val="20"/>
                </w:rPr>
              </m:ctrlPr>
            </m:dPr>
            <m:e>
              <m:r>
                <w:rPr>
                  <w:rFonts w:ascii="Cambria Math" w:hAnsi="Cambria Math"/>
                  <w:sz w:val="20"/>
                  <w:szCs w:val="20"/>
                </w:rPr>
                <m:t>t</m:t>
              </m:r>
            </m:e>
          </m:d>
        </m:oMath>
      </m:oMathPara>
    </w:p>
    <w:p w14:paraId="63E706E7" w14:textId="712406CC" w:rsidR="009A44C0" w:rsidRDefault="00134100" w:rsidP="00134100">
      <w:pPr>
        <w:pStyle w:val="Heading2"/>
      </w:pPr>
      <w:r>
        <w:t xml:space="preserve">Calculating Curvature of Trajectories </w:t>
      </w:r>
    </w:p>
    <w:p w14:paraId="6F888163" w14:textId="3F0846B7" w:rsidR="00134100" w:rsidRDefault="00134100" w:rsidP="00134100">
      <w:r>
        <w:t xml:space="preserve">We have now constructed a model of the hemodynamics of the patient, given stresses introduced by hypovolemia. We effectively connected the circulation to a regulatory model of the nervous system, </w:t>
      </w:r>
      <w:r>
        <w:lastRenderedPageBreak/>
        <w:t xml:space="preserve">able to buffer changes in arterial and venous pressures. Using this we may extract </w:t>
      </w:r>
      <w:r w:rsidR="000A3B0E">
        <w:t>time series data from the simulation during a hemorrhage event.</w:t>
      </w:r>
      <w:r w:rsidR="003A4CC6">
        <w:t xml:space="preserve"> For a given trajectory that we will define as </w:t>
      </w:r>
    </w:p>
    <w:p w14:paraId="0E8C9758" w14:textId="1C28049A" w:rsidR="003A4CC6" w:rsidRPr="00A2250B" w:rsidRDefault="003A4CC6" w:rsidP="00134100">
      <w:pPr>
        <w:rPr>
          <w:rFonts w:eastAsiaTheme="minorEastAsia"/>
          <w:sz w:val="20"/>
          <w:szCs w:val="20"/>
        </w:rPr>
      </w:pPr>
      <m:oMathPara>
        <m:oMath>
          <m:acc>
            <m:accPr>
              <m:ctrlPr>
                <w:rPr>
                  <w:rFonts w:ascii="Cambria Math" w:hAnsi="Cambria Math"/>
                  <w:i/>
                  <w:sz w:val="20"/>
                  <w:szCs w:val="20"/>
                </w:rPr>
              </m:ctrlPr>
            </m:accPr>
            <m:e>
              <m:r>
                <w:rPr>
                  <w:rFonts w:ascii="Cambria Math" w:hAnsi="Cambria Math"/>
                  <w:sz w:val="20"/>
                  <w:szCs w:val="20"/>
                </w:rPr>
                <m:t>r(t)</m:t>
              </m:r>
            </m:e>
          </m:acc>
          <m:r>
            <w:rPr>
              <w:rFonts w:ascii="Cambria Math" w:hAnsi="Cambria Math"/>
              <w:sz w:val="20"/>
              <w:szCs w:val="20"/>
            </w:rPr>
            <m:t>=</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(t)</m:t>
              </m:r>
            </m:e>
          </m:d>
        </m:oMath>
      </m:oMathPara>
    </w:p>
    <w:p w14:paraId="48AE9A38" w14:textId="008B028A" w:rsidR="003A4CC6" w:rsidRDefault="003A4CC6" w:rsidP="00134100">
      <w:pPr>
        <w:rPr>
          <w:rFonts w:eastAsiaTheme="minorEastAsia"/>
        </w:rPr>
      </w:pPr>
      <w:r>
        <w:rPr>
          <w:rFonts w:eastAsiaTheme="minorEastAsia"/>
        </w:rPr>
        <w:t xml:space="preserve">Given as time series data where the </w:t>
      </w:r>
      <w:proofErr w:type="spellStart"/>
      <w:proofErr w:type="gramStart"/>
      <w:r>
        <w:rPr>
          <w:rFonts w:eastAsiaTheme="minorEastAsia"/>
        </w:rPr>
        <w:t>x,y</w:t>
      </w:r>
      <w:proofErr w:type="spellEnd"/>
      <w:proofErr w:type="gramEnd"/>
      <w:r>
        <w:rPr>
          <w:rFonts w:eastAsiaTheme="minorEastAsia"/>
        </w:rPr>
        <w:t xml:space="preserve"> points consist of patient physiological data extracted from the physiology model. We assume </w:t>
      </w:r>
      <w:proofErr w:type="spellStart"/>
      <w:proofErr w:type="gramStart"/>
      <w:r>
        <w:rPr>
          <w:rFonts w:eastAsiaTheme="minorEastAsia"/>
        </w:rPr>
        <w:t>x,y</w:t>
      </w:r>
      <w:proofErr w:type="spellEnd"/>
      <w:proofErr w:type="gramEnd"/>
      <w:r>
        <w:rPr>
          <w:rFonts w:eastAsiaTheme="minorEastAsia"/>
        </w:rPr>
        <w:t xml:space="preserve"> and only dependent upon t and may consist of things like: heart rate, respiration rate, lactate concentration in the blood, </w:t>
      </w:r>
      <w:proofErr w:type="spellStart"/>
      <w:r>
        <w:rPr>
          <w:rFonts w:eastAsiaTheme="minorEastAsia"/>
        </w:rPr>
        <w:t>ect</w:t>
      </w:r>
      <w:proofErr w:type="spellEnd"/>
      <w:r>
        <w:rPr>
          <w:rFonts w:eastAsiaTheme="minorEastAsia"/>
        </w:rPr>
        <w:t xml:space="preserve">… For this trajectory, to extract maximum curvature value during trauma and subsequent recovery, we first smooth the data using a convolution for each array </w:t>
      </w:r>
      <w:proofErr w:type="spellStart"/>
      <w:proofErr w:type="gramStart"/>
      <w:r>
        <w:rPr>
          <w:rFonts w:eastAsiaTheme="minorEastAsia"/>
        </w:rPr>
        <w:t>x,y</w:t>
      </w:r>
      <w:proofErr w:type="spellEnd"/>
      <w:proofErr w:type="gramEnd"/>
      <w:r w:rsidR="007F14DF">
        <w:rPr>
          <w:rFonts w:eastAsiaTheme="minorEastAsia"/>
        </w:rPr>
        <w:t xml:space="preserve"> over a discrete window</w:t>
      </w:r>
      <w:r>
        <w:rPr>
          <w:rFonts w:eastAsiaTheme="minorEastAsia"/>
        </w:rPr>
        <w:t xml:space="preserve">: </w:t>
      </w:r>
    </w:p>
    <w:p w14:paraId="59F9C367" w14:textId="278D9EC6" w:rsidR="003A4CC6" w:rsidRPr="00A2250B" w:rsidRDefault="007F14DF" w:rsidP="00134100">
      <w:pPr>
        <w:rPr>
          <w:rFonts w:eastAsiaTheme="minorEastAsia"/>
          <w:sz w:val="20"/>
          <w:szCs w:val="20"/>
        </w:rPr>
      </w:pPr>
      <m:oMathPara>
        <m:oMath>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1</m:t>
                  </m:r>
                </m:e>
                <m:sub>
                  <m:r>
                    <w:rPr>
                      <w:rFonts w:ascii="Cambria Math" w:hAnsi="Cambria Math"/>
                      <w:sz w:val="20"/>
                      <w:szCs w:val="20"/>
                    </w:rPr>
                    <m:t>m</m:t>
                  </m:r>
                </m:sub>
              </m:sSub>
            </m:e>
          </m:d>
          <m:r>
            <w:rPr>
              <w:rFonts w:ascii="Cambria Math" w:hAnsi="Cambria Math"/>
              <w:sz w:val="20"/>
              <w:szCs w:val="20"/>
            </w:rPr>
            <m:t>[n]=</m:t>
          </m:r>
          <m:nary>
            <m:naryPr>
              <m:chr m:val="∑"/>
              <m:limLoc m:val="undOvr"/>
              <m:ctrlPr>
                <w:rPr>
                  <w:rFonts w:ascii="Cambria Math" w:hAnsi="Cambria Math"/>
                  <w:i/>
                  <w:sz w:val="20"/>
                  <w:szCs w:val="20"/>
                </w:rPr>
              </m:ctrlPr>
            </m:naryPr>
            <m:sub>
              <m:r>
                <w:rPr>
                  <w:rFonts w:ascii="Cambria Math" w:hAnsi="Cambria Math"/>
                  <w:sz w:val="20"/>
                  <w:szCs w:val="20"/>
                </w:rPr>
                <m:t>m=-M</m:t>
              </m:r>
            </m:sub>
            <m:sup>
              <m:r>
                <w:rPr>
                  <w:rFonts w:ascii="Cambria Math" w:hAnsi="Cambria Math"/>
                  <w:sz w:val="20"/>
                  <w:szCs w:val="20"/>
                </w:rPr>
                <m:t>M</m:t>
              </m:r>
            </m:sup>
            <m:e>
              <m: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n-m</m:t>
                  </m:r>
                </m:e>
              </m:d>
              <m:sSub>
                <m:sSubPr>
                  <m:ctrlPr>
                    <w:rPr>
                      <w:rFonts w:ascii="Cambria Math" w:hAnsi="Cambria Math"/>
                      <w:i/>
                      <w:sz w:val="20"/>
                      <w:szCs w:val="20"/>
                    </w:rPr>
                  </m:ctrlPr>
                </m:sSubPr>
                <m:e>
                  <m:r>
                    <w:rPr>
                      <w:rFonts w:ascii="Cambria Math" w:hAnsi="Cambria Math"/>
                      <w:sz w:val="20"/>
                      <w:szCs w:val="20"/>
                    </w:rPr>
                    <m:t>1</m:t>
                  </m:r>
                </m:e>
                <m:sub>
                  <m:r>
                    <w:rPr>
                      <w:rFonts w:ascii="Cambria Math" w:hAnsi="Cambria Math"/>
                      <w:sz w:val="20"/>
                      <w:szCs w:val="20"/>
                    </w:rPr>
                    <m:t>m</m:t>
                  </m:r>
                </m:sub>
              </m:sSub>
              <m:r>
                <w:rPr>
                  <w:rFonts w:ascii="Cambria Math" w:hAnsi="Cambria Math"/>
                  <w:sz w:val="20"/>
                  <w:szCs w:val="20"/>
                </w:rPr>
                <m:t>[m]</m:t>
              </m:r>
            </m:e>
          </m:nary>
        </m:oMath>
      </m:oMathPara>
    </w:p>
    <w:p w14:paraId="5912A53C" w14:textId="46D2A17C" w:rsidR="008D6964" w:rsidRDefault="007F14DF" w:rsidP="00134100">
      <w:pPr>
        <w:rPr>
          <w:rFonts w:eastAsiaTheme="minorEastAsia"/>
        </w:rPr>
      </w:pPr>
      <w:r>
        <w:rPr>
          <w:rFonts w:eastAsiaTheme="minorEastAsia"/>
        </w:rPr>
        <w:t xml:space="preserve">Here 1 denotes a normalized </w:t>
      </w:r>
      <w:proofErr w:type="gramStart"/>
      <w:r>
        <w:rPr>
          <w:rFonts w:eastAsiaTheme="minorEastAsia"/>
        </w:rPr>
        <w:t>ones</w:t>
      </w:r>
      <w:proofErr w:type="gramEnd"/>
      <w:r>
        <w:rPr>
          <w:rFonts w:eastAsiaTheme="minorEastAsia"/>
        </w:rPr>
        <w:t xml:space="preserve"> vector over our window size, m, and x can be interchanged with any physiological variable we are extracting from the model. This operation effectively smoothest the data over the window size. This operation is critical as a curvature algorithm will converge to high frequency found on the trajectory path, not necessarily the global curvature maximum over the simulation. After smoothing we compute the curvature along the trajectory: </w:t>
      </w:r>
    </w:p>
    <w:p w14:paraId="43767C04" w14:textId="5112D9A5" w:rsidR="007F14DF" w:rsidRPr="00A2250B" w:rsidRDefault="007F14DF" w:rsidP="00134100">
      <w:pPr>
        <w:rPr>
          <w:rFonts w:eastAsiaTheme="minorEastAsia"/>
          <w:sz w:val="20"/>
          <w:szCs w:val="20"/>
        </w:rPr>
      </w:pPr>
      <m:oMathPara>
        <m:oMath>
          <m:r>
            <w:rPr>
              <w:rFonts w:ascii="Cambria Math" w:hAnsi="Cambria Math"/>
              <w:sz w:val="20"/>
              <w:szCs w:val="20"/>
            </w:rPr>
            <m:t>k=</m:t>
          </m:r>
          <m:f>
            <m:fPr>
              <m:ctrlPr>
                <w:rPr>
                  <w:rFonts w:ascii="Cambria Math" w:hAnsi="Cambria Math"/>
                  <w:i/>
                  <w:sz w:val="20"/>
                  <w:szCs w:val="20"/>
                </w:rPr>
              </m:ctrlPr>
            </m:fPr>
            <m:num>
              <m:d>
                <m:dPr>
                  <m:begChr m:val="|"/>
                  <m:endChr m:val="|"/>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(t)</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(t)</m:t>
                  </m:r>
                </m:e>
              </m:d>
            </m:num>
            <m:den>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x</m:t>
                              </m:r>
                            </m:e>
                          </m:acc>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y</m:t>
                              </m:r>
                            </m:e>
                          </m:acc>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t</m:t>
                          </m:r>
                        </m:e>
                      </m:d>
                    </m:e>
                  </m:d>
                </m:e>
                <m:sup>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2</m:t>
                      </m:r>
                    </m:den>
                  </m:f>
                </m:sup>
              </m:sSup>
            </m:den>
          </m:f>
        </m:oMath>
      </m:oMathPara>
    </w:p>
    <w:p w14:paraId="31260527" w14:textId="786C6494" w:rsidR="008D6964" w:rsidRPr="00134100" w:rsidRDefault="008D6964" w:rsidP="00134100">
      <w:r>
        <w:rPr>
          <w:rFonts w:eastAsiaTheme="minorEastAsia"/>
        </w:rPr>
        <w:t xml:space="preserve">From this expression we can extract the maximum curvature over a given trajectory to determine the inflection point in which the patient begins their recover. We aim to analyze this point over the </w:t>
      </w:r>
      <w:proofErr w:type="spellStart"/>
      <w:proofErr w:type="gramStart"/>
      <w:r>
        <w:rPr>
          <w:rFonts w:eastAsiaTheme="minorEastAsia"/>
        </w:rPr>
        <w:t>x,y</w:t>
      </w:r>
      <w:proofErr w:type="spellEnd"/>
      <w:proofErr w:type="gramEnd"/>
      <w:r>
        <w:rPr>
          <w:rFonts w:eastAsiaTheme="minorEastAsia"/>
        </w:rPr>
        <w:t xml:space="preserve"> domain to segment the plane into disease state. </w:t>
      </w:r>
    </w:p>
    <w:p w14:paraId="13578971" w14:textId="0BBFCDB5" w:rsidR="00CB7A05" w:rsidRDefault="00CB7A05" w:rsidP="00CB7A05">
      <w:pPr>
        <w:pStyle w:val="Heading1"/>
      </w:pPr>
      <w:r>
        <w:t>Results</w:t>
      </w:r>
    </w:p>
    <w:p w14:paraId="105FD40D" w14:textId="289AB966" w:rsidR="00A12FAF" w:rsidRDefault="008D6964" w:rsidP="008D6964">
      <w:pPr>
        <w:pStyle w:val="Heading2"/>
      </w:pPr>
      <w:r>
        <w:t>Physiology of Hemorrhage</w:t>
      </w:r>
    </w:p>
    <w:p w14:paraId="55210709" w14:textId="0A632C6A" w:rsidR="008D6964" w:rsidRDefault="00FB5587" w:rsidP="008D6964">
      <w:r>
        <w:t xml:space="preserve">We begin by configuring the patient with a series of increasingly severe hemorrhages and investigate the overall cardiovascular patient physiology as a function of this severity. In the constructed scenario, we initialize the hemorrhage, and then proceed to let them bleed for 10 minutes which we assume to </w:t>
      </w:r>
      <w:r w:rsidR="00191A00">
        <w:t>approximate</w:t>
      </w:r>
      <w:r>
        <w:t xml:space="preserve"> a standard emergency transit time</w:t>
      </w:r>
      <w:r w:rsidR="00191A00">
        <w:t>. Once the patient has been successfully transferred to a healthcare institution, we begin a transfusion protocol, in line with hemorrhage severity</w:t>
      </w:r>
      <w:r w:rsidR="00191A00">
        <w:fldChar w:fldCharType="begin"/>
      </w:r>
      <w:r w:rsidR="00191A00">
        <w:instrText xml:space="preserve"> ADDIN ZOTERO_ITEM CSL_CITATION {"citationID":"wn1r6SUX","properties":{"formattedCitation":"\\super 10,14,18,45\\nosupersub{}","plainCitation":"10,14,18,45","noteIndex":0},"citationItems":[{"id":3840,"uris":["http://zotero.org/groups/5222748/items/G32Q4D95"],"itemData":{"id":3840,"type":"article-journal","abstract":"IMPORTANCE\nSeverely injured patients experiencing hemorrhagic shock often require massive transfusion. Earlier transfusion with higher blood product ratios (plasma, platelets, and red blood cells), defined as damage control resuscitation, has been associated with improved outcomes; however, there have been no large multicenter clinical trials.\n\nOBJECTIVE\nTo determine the effectiveness and safety of transfusing patients with severe trauma and major bleeding using plasma, platelets, and red blood cells in a 1:1:1 ratio compared with a 1:1:2 ratio.\n\nDESIGN, SETTING, AND PARTICIPANTS\nPragmatic, phase 3, multisite, randomized clinical trial of 680 severely injured patients who arrived at 1 of 12 level I trauma centers in North America directly from the scene and were predicted to require massive transfusion between August 2012 and December 2013.\n\nINTERVENTIONS\nBlood product ratios of 1:1:1 (338 patients) vs 1:1:2 (342 patients) during active resuscitation in addition to all local standard-of-care interventions (uncontrolled).\n\nMAIN OUTCOMES AND MEASURES\nPrimary outcomes were 24-hour and 30-day all-cause mortality. Prespecified ancillary outcomes included time to hemostasis, blood product volumes transfused, complications, incidence of surgical procedures, and functional status.\n\nRESULTS\nNo significant differences were detected in mortality at 24 hours (12.7% in 1:1:1 group vs 17.0% in 1:1:2 group; difference, −4.2% [95% CI, −9.6% to 1.1%]; P = .12) or at 30 days (22.4% vs 26.1%, respectively; difference, −3.7% [95% CI, −10.2% to 2.7%]; P = .26). Exsanguination, which was the predominant cause of death within the first 24 hours, was significantly decreased in the 1:1:1 group (9.2% vs 14.6% in 1:1:2 group; difference, −5.4% [95% CI, −10.4% to −0.5%]; P = .03). More patients in the 1:1:1 group achieved hemostasis than in the 1:1:2 group (86% vs 78%, respectively; P = .006). Despite the 1:1:1 group receiving more plasma (median of 7 U vs 5 U, P &lt; .001) and platelets (12 U vs 6 U, P &lt; .001) and similar amounts of red blood cells (9 U) over the first 24 hours, no differences between the 2 groups were found for the 23 prespecified complications, including acute respiratory distress syndrome, multiple organ failure, venous thromboembolism, sepsis, and transfusion-related complications.\n\nCONCLUSIONS AND RELEVANCE\nAmong patients with severe trauma and major bleeding, early administration of plasma, platelets, and red blood cells in a 1:1:1 ratio compared with a 1:1:2 ratio did not result in significant differences in mortality at 24 hours or at 30 days. However, more patients in the 1:1:1 group achieved hemostasis and fewer experienced death due to exsanguination by 24 hours. Even though there was an increased use of plasma and platelets transfused in the 1:1:1 group, no other safety differences were identified between the 2 groups.\n\nTRIAL REGISTRATION\nclinicaltrials.gov Identifier: NCT01545232","container-title":"JAMA","DOI":"10.1001/jama.2015.12","ISSN":"0098-7484","issue":"5","journalAbbreviation":"JAMA","note":"PMID: 25647203\nPMCID: PMC4374744","page":"471-482","source":"PubMed Central","title":"Transfusion of Plasma, Platelets, and Red Blood Cells in a 1:1:1 vs a 1:1:2 Ratio and Mortality in Patients With Severe Trauma","title-short":"Transfusion of Plasma, Platelets, and Red Blood Cells in a 1","volume":"313","author":[{"family":"Holcomb","given":"John B."},{"family":"Tilley","given":"Barbara C."},{"family":"Baraniuk","given":"Sarah"},{"family":"Fox","given":"Erin E."},{"family":"Wade","given":"Charles E."},{"family":"Podbielski","given":"Jeanette M."},{"family":"Junco","given":"Deborah J.","non-dropping-particle":"del"},{"family":"Brasel","given":"Karen J."},{"family":"Bulger","given":"Eileen M."},{"family":"Callcut","given":"Rachael A."},{"family":"Cohen","given":"Mitchell Jay"},{"family":"Cotton","given":"Bryan A."},{"family":"Fabian","given":"Timothy C."},{"family":"Inaba","given":"Kenji"},{"family":"Kerby","given":"Jeffrey D."},{"family":"Muskat","given":"Peter"},{"family":"O’Keeffe","given":"Terence"},{"family":"Rizoli","given":"Sandro"},{"family":"Robinson","given":"Bryce R. H."},{"family":"Scalea","given":"Thomas M."},{"family":"Schreiber","given":"Martin A."},{"family":"Stein","given":"Deborah M."},{"family":"Weinberg","given":"Jordan A."},{"family":"Callum","given":"Jeannie L."},{"family":"Hess","given":"John R."},{"family":"Matijevic","given":"Nena"},{"family":"Miller","given":"Christopher N."},{"family":"Pittet","given":"Jean-Francois"},{"family":"Hoyt","given":"David B."},{"family":"Pearson","given":"Gail D."},{"family":"Leroux","given":"Brian"},{"family":"Belle","given":"Gerald","non-dropping-particle":"van"}],"issued":{"date-parts":[["2015",2,3]]},"citation-key":"holcombTransfusionPlasmaPlatelets2015"},"label":"page"},{"id":4202,"uris":["http://zotero.org/groups/5222748/items/NWYVZKPZ"],"itemData":{"id":4202,"type":"article-journal","abstract":"The transfusion approach to massive hemorrhage has continually evolved since it began in the early 1900s. It started with fresh whole blood and currently consists of virtually exclusive use of component and crystalloid therapy. Recent US military experience has reinvigorated the debate on what the most optimal transfusion strategy is for patients with traumatic hemorrhagic shock. In this review we discuss recently described mechanisms that contribute to traumatic coagulopathy, which include increased anti-coagulation factors and hyperfibrinolysis. We also describe the concept of damage control resuscitation (DCR), an early and aggressive prevention and treatment of hemorrhagic shock for patients with severe life-threatening traumatic injuries. The central tenants of DCR include hypotensive resuscitation, rapid surgical control, prevention and treatment of acidosis, hypothermia, and hypocalcemia, avoidance of hemodilution, and hemostatic resuscitation with transfusion of red blood cells, plasma, and platelets in a 1:1:1 unit ratio and the appropriate use of coagulation factors such as rFVIIa and fibrinogen-containing products (fibrinogen concentrates, cryoprecipitate). Fresh whole blood is also part of DCR in locations where it is available. Additional concepts to DCR since its original description that can be considered are the preferential use of “fresh” RBCs, and when available thromboelastography to direct blood product and hemostatic adjunct (anti-fibrinolytics and coagulation factor) administration. Lastly we discuss the importance of an established massive transfusion protocol to rapidly employ DCR and hemostatic resuscitation principles. While the majority of recent trauma transfusion papers are supportive of these general concepts, there is no Level 1 or 2 data available. Taken together, the preponderance of data suggests that these concepts may significantly decrease mortality in massively transfused trauma patients.","container-title":"Blood Reviews","DOI":"10.1016/j.blre.2009.07.003","ISSN":"0268-960X","issue":"6","journalAbbreviation":"Blood Reviews","page":"231-240","source":"ScienceDirect","title":"Resuscitation and transfusion principles for traumatic hemorrhagic shock","volume":"23","author":[{"family":"Spinella","given":"Philip C."},{"family":"Holcomb","given":"John B."}],"issued":{"date-parts":[["2009",11,1]]},"citation-key":"spinellaResuscitationTransfusionPrinciples2009"},"label":"page"},{"id":3837,"uris":["http://zotero.org/groups/5222748/items/WZUJW6ZY"],"itemData":{"id":3837,"type":"chapter","abstract":"A massive transfusion involves the administration of 10 units or more of whole blood or packed red blood cells (PRBCs) within 24 hours. An ultra-massive transfusion is defined as using more than 20 units of PRBCs within a 24- to 48-hour period. The primary objective of a massive transfusion is to prevent fatal outcomes resulting from critical hypoperfusion-related complications while striving to attain hemostasis. Furthermore, this topic explores the significance of major transfusion protocols (MTPs) and the indications, contraindications, and potential complications of this life-saving intervention. Patients across medical specialties may require massive transfusions. Although cardiac and vascular surgeries are the most common scenarios that necessitate massive transfusions, other frequent causes include gastrointestinal and obstetrical hemorrhages, liver transplants, and trauma. An estimated 3% to 5% of civilian trauma patients and 10% of military trauma patients typically undergo a massive transfusion. Although massive transfusions are relatively rare, patients in need of such transfusions often experience high mortality rates. As massive transfusions are unpredictable and require a substantial quantity of blood products over an extended duration, pre-planning among the emergency department, trauma service, surgical team, blood bank, and delivery personnel is essential. The Assessment of Blood Consumption (ABC) score is a tool for predicting the necessity of massive transfusions. Monitoring volume status, tissue oxygenation, bleeding management, coagulation abnormalities, and acid-base balance is imperative throughout a massive transfusion. The development and implementation of MTPs can effectively lower mortality rates and reduce the consumption of blood products.","call-number":"NBK499929","container-title":"StatPearls","event-place":"Treasure Island (FL)","language":"eng","license":"Copyright © 2023, StatPearls Publishing LLC.","note":"PMID: 29763104","publisher":"StatPearls Publishing","publisher-place":"Treasure Island (FL)","source":"PubMed","title":"Massive Transfusion","URL":"http://www.ncbi.nlm.nih.gov/books/NBK499929/","author":[{"family":"Jennings","given":"Lindsey K."},{"family":"Watson","given":"Simon"}],"accessed":{"date-parts":[["2023",12,9]]},"issued":{"date-parts":[["2023"]]},"citation-key":"jenningsMassiveTransfusion2023"},"label":"page"},{"id":3843,"uris":["http://zotero.org/groups/5222748/items/PIK3V33R"],"itemData":{"id":3843,"type":"article-journal","abstract":"Background We hypothesized that slow crystalloid resuscitation would result in less blood loss and a smaller hemoglobin decrease compared to a rapid resuscitation during uncontrolled hemorrhage. Methods Anesthetized, splenectomized domestic swine underwent hepatic lobar hemitransection. Lactated Ringers was given at 150 or 20 mL/min IV (rapid vs. slow, respectively, N = 12 per group; limit of 100 mL/kg). Primary endpoints were blood loss and serum hemoglobin; secondary endpoints included survival, vital signs, coagulation parameters, and blood gases. Results The slow group had a less blood loss (1.6 vs. 2.7 L, respectively) and a higher final hemoglobin concentration (6.0 vs. 3.4 g/dL). Conclusions Using a fixed volume of crystalloid resuscitation in this porcine model of uncontrolled intraabdominal hemorrhage, a slow IV infusion rate produced less blood loss and a smaller hemoglobin decrease compared to rapid infusion.","container-title":"PLOS ONE","DOI":"10.1371/journal.pone.0207708","ISSN":"1932-6203","issue":"11","journalAbbreviation":"PLOS ONE","language":"en","note":"publisher: Public Library of Science","page":"e0207708","source":"PLoS Journals","title":"Fluid administration rate for uncontrolled intraabdominal hemorrhage in swine","volume":"13","author":[{"family":"Yanala","given":"Ujwal R."},{"family":"Johanning","given":"Jason M."},{"family":"Pipinos","given":"Iraklis I."},{"family":"High","given":"Robin R."},{"family":"Larsen","given":"Gustavo"},{"family":"Velander","given":"William H."},{"family":"Carlson","given":"Mark A."}],"issued":{"date-parts":[["2018",11,29]]},"citation-key":"yanalaFluidAdministrationRate2018"},"label":"page"}],"schema":"https://github.com/citation-style-language/schema/raw/master/csl-citation.json"} </w:instrText>
      </w:r>
      <w:r w:rsidR="00191A00">
        <w:fldChar w:fldCharType="separate"/>
      </w:r>
      <w:r w:rsidR="00191A00" w:rsidRPr="00191A00">
        <w:rPr>
          <w:rFonts w:cs="Times New Roman"/>
          <w:szCs w:val="24"/>
          <w:vertAlign w:val="superscript"/>
        </w:rPr>
        <w:t>10,14,18,45</w:t>
      </w:r>
      <w:r w:rsidR="00191A00">
        <w:fldChar w:fldCharType="end"/>
      </w:r>
      <w:r w:rsidR="00191A00">
        <w:t xml:space="preserve">. After an addition 10 minutes of fluid resuscitation, we assume the patient has had their bleeding stopped via a surgical intervention and continue </w:t>
      </w:r>
      <w:r w:rsidR="005D6FCC">
        <w:t>resuscitation</w:t>
      </w:r>
      <w:r w:rsidR="00191A00">
        <w:t xml:space="preserve"> until the shock index, here defined to be the ration between heart rate and systolic pressure, is below 1</w:t>
      </w:r>
      <w:r w:rsidR="00191A00">
        <w:fldChar w:fldCharType="begin"/>
      </w:r>
      <w:r w:rsidR="005D6FCC">
        <w:instrText xml:space="preserve"> ADDIN ZOTERO_ITEM CSL_CITATION {"citationID":"3mbzVq7s","properties":{"formattedCitation":"\\super 46\\uc0\\u8211{}48\\nosupersub{}","plainCitation":"46–48","noteIndex":0},"citationItems":[{"id":3698,"uris":["http://zotero.org/groups/5222748/items/3JQBYUVW"],"itemData":{"id":3698,"type":"article-journal","container-title":"Emergency Medicine Clinics","DOI":"10.1016/j.emc.2017.08.005","ISSN":"0733-8627, 1558-0539","issue":"1","journalAbbreviation":"Emergency Medicine Clinics","language":"English","note":"publisher: Elsevier\nPMID: 29132581","page":"41-60","source":"www.emed.theclinics.com","title":"Resuscitation Resequenced: A Rational Approach to Patients with Trauma in Shock","title-short":"Resuscitation Resequenced","volume":"36","author":[{"family":"Petrosoniak","given":"Andrew"},{"family":"Hicks","given":"Christopher"}],"issued":{"date-parts":[["2018",2,1]]},"citation-key":"petrosoniakResuscitationResequencedRational2018"},"label":"page"},{"id":3598,"uris":["http://zotero.org/groups/5222748/items/B9A7IBJJ"],"itemData":{"id":3598,"type":"article-journal","abstract":"Objective The objective was to systematically identify and summarize out-of-hospital measures of circulatory compromise as diagnostic predictors of serious injury, focusing on measures usable by emergency medical services to inform field triage decisions. Methods We searched Ovid MEDLINE, CINAHL, and the Cochrane databases from 1996 through August 2017 for published literature on individual circulatory measures in trauma. We reviewed reference lists of included articles for additional relevant citations. Measures of diagnostic accuracy included sensitivity, specificity, and area under the receiver operating characteristic curve (AUROC). Indicators of serious injury included resource need, serious anatomic injury, and mortality. We pooled estimates when data permitted. Results We identified 114 articles, reporting results of 111 studies. Measures included systolic blood pressure (sBP), heart rate (HR), shock index (SI), lactate, base deficit, and HR variability. Pooled out-of-hospital sensitivity estimates were sBP &lt; 90 mm Hg = 19% (95% confidence interval [CI] = 12% to 29%), HR ≥ 110 beats/min = 28% (95% CI = 20% to 37%), SI &gt; 0.9 = 37% (95% CI = 22% to 56%), and lactate &gt; 2.0 mmol/L = 74% (95% CI = 48% to 90%). Pooled specificity estimates were sBP &lt; 90 mm Hg = 95% (95% CI = 91% to 97%), HR ≥ 110 beats/min = 85% (95% CI = 74% to 91%), SI &gt; 0.9 = 85% (95% CI = 72% to 92%), and lactate &gt; 2.0 mmol/L = 62% (95% CI = 51% to 72%). Pooled AUROCs included sBP = 0.67 (95% CI = 0.58 to 0.75), HR = 0.67 (95% CI = 0.56 to 0.79), SI = 0.72 (95% CI = 0.66 to 0.77), and lactate = 0.77 (95% CI = 0.67 to 0.82). Strength of evidence was low to moderate. Conclusions Out-of-hospital circulatory measures are associated with poor to fair discrimination for identifying trauma patients with serious injuries. Many seriously injured patients have normal circulatory measures (low sensitivity), but when present, the measures are highly specific for identifying patients with serious injuries.","container-title":"Academic Emergency Medicine","DOI":"10.1111/acem.14056","ISSN":"1553-2712","issue":"12","language":"en","license":"© 2020 by the Society for Academic Emergency Medicine","note":"_eprint: https://onlinelibrary.wiley.com/doi/pdf/10.1111/acem.14056","page":"1323-1339","source":"Wiley Online Library","title":"Out-of-hospital Circulatory Measures to Identify Patients With Serious Injury: A Systematic Review","title-short":"Out-of-hospital Circulatory Measures to Identify Patients With Serious Injury","volume":"27","author":[{"family":"Newgard","given":"Craig D."},{"family":"Cheney","given":"Tamara P."},{"family":"Chou","given":"Roger"},{"family":"Fu","given":"Rongwei"},{"family":"Daya","given":"Mohamud R."},{"family":"O'Neil","given":"Maya E."},{"family":"Wasson","given":"Ngoc"},{"family":"Hart","given":"Erica L."},{"family":"Totten","given":"Annette M."}],"issued":{"date-parts":[["2020"]]},"citation-key":"newgardOutofhospitalCirculatoryMeasures2020"},"label":"page"},{"id":3732,"uris":["http://zotero.org/groups/5222748/items/NZJ5SFBD"],"itemData":{"id":3732,"type":"article-journal","abstract":"\"Excess lactate,\" an indicator of oxygen debt, has been studied as a metabolic index of severity of the shock state in human patients. The levels of excess lactate correspond to severity of circulatory failure, and an excess of more than 4 millimoles per liter prognosticates a fatal outcome. The validity of this index was confirmed by studies on experimental hemorrhagic shock in dogs. It provides a parameter for measurement of \"reversibility\" and serves as an objective clinical guide.","container-title":"Science","DOI":"10.1126/science.143.3613.1457","issue":"3613","note":"publisher: American Association for the Advancement of Science","page":"1457-1459","source":"science.org (Atypon)","title":"Excess Lactate: An Index of Reversibility of Shock in Human Patients","title-short":"Excess Lactate","volume":"143","author":[{"family":"Broder","given":"George"},{"family":"Weil","given":"Max H."}],"issued":{"date-parts":[["1964",3,27]]},"citation-key":"broderExcessLactateIndex1964"},"label":"page"}],"schema":"https://github.com/citation-style-language/schema/raw/master/csl-citation.json"} </w:instrText>
      </w:r>
      <w:r w:rsidR="00191A00">
        <w:fldChar w:fldCharType="separate"/>
      </w:r>
      <w:r w:rsidR="005D6FCC" w:rsidRPr="005D6FCC">
        <w:rPr>
          <w:rFonts w:cs="Times New Roman"/>
          <w:szCs w:val="24"/>
          <w:vertAlign w:val="superscript"/>
        </w:rPr>
        <w:t>46–48</w:t>
      </w:r>
      <w:r w:rsidR="00191A00">
        <w:fldChar w:fldCharType="end"/>
      </w:r>
      <w:r w:rsidR="005D6FCC">
        <w:t xml:space="preserve">. We note qualitative validation of the behavior of our model through the generalized increase of heart rate and decreases in blood pressure pH and blood volume, </w:t>
      </w:r>
      <w:r w:rsidR="005D6FCC">
        <w:fldChar w:fldCharType="begin"/>
      </w:r>
      <w:r w:rsidR="005D6FCC">
        <w:instrText xml:space="preserve"> REF _Ref168664067 \h </w:instrText>
      </w:r>
      <w:r w:rsidR="005D6FCC">
        <w:fldChar w:fldCharType="separate"/>
      </w:r>
      <w:r w:rsidR="005D6FCC">
        <w:t xml:space="preserve">Figure </w:t>
      </w:r>
      <w:r w:rsidR="005D6FCC">
        <w:rPr>
          <w:noProof/>
        </w:rPr>
        <w:t>2</w:t>
      </w:r>
      <w:r w:rsidR="005D6FCC">
        <w:fldChar w:fldCharType="end"/>
      </w:r>
      <w:r w:rsidR="005D6FCC">
        <w:t xml:space="preserve">. </w:t>
      </w:r>
    </w:p>
    <w:p w14:paraId="0D4C44F6" w14:textId="0C07868B" w:rsidR="005D6FCC" w:rsidRDefault="005D6FCC" w:rsidP="008D6964">
      <w:r>
        <w:t xml:space="preserve">We note that the </w:t>
      </w:r>
      <w:r w:rsidR="0010487D">
        <w:t>recovery phase</w:t>
      </w:r>
      <w:r>
        <w:t xml:space="preserve"> in physiological response to hemorrhage </w:t>
      </w:r>
      <w:r w:rsidR="0010487D">
        <w:t xml:space="preserve">is much longer, as the baroreceptors continue to remain diminished until blood volume and pressure recover fully during the scenario. </w:t>
      </w:r>
    </w:p>
    <w:tbl>
      <w:tblPr>
        <w:tblStyle w:val="TableGrid"/>
        <w:tblW w:w="0" w:type="auto"/>
        <w:tblLook w:val="04A0" w:firstRow="1" w:lastRow="0" w:firstColumn="1" w:lastColumn="0" w:noHBand="0" w:noVBand="1"/>
      </w:tblPr>
      <w:tblGrid>
        <w:gridCol w:w="9767"/>
      </w:tblGrid>
      <w:tr w:rsidR="00191A00" w14:paraId="274B8AEF" w14:textId="77777777" w:rsidTr="00191A00">
        <w:tc>
          <w:tcPr>
            <w:tcW w:w="9767" w:type="dxa"/>
          </w:tcPr>
          <w:p w14:paraId="796809C4" w14:textId="5941880A" w:rsidR="00191A00" w:rsidRDefault="00191A00" w:rsidP="00191A00">
            <w:pPr>
              <w:keepNext/>
            </w:pPr>
            <w:r>
              <w:rPr>
                <w:noProof/>
              </w:rPr>
              <w:lastRenderedPageBreak/>
              <w:drawing>
                <wp:inline distT="0" distB="0" distL="0" distR="0" wp14:anchorId="0CA01D09" wp14:editId="696DAE6B">
                  <wp:extent cx="5765304" cy="3566167"/>
                  <wp:effectExtent l="0" t="0" r="6985" b="0"/>
                  <wp:docPr id="39" name="Picture 39"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5304" cy="3566167"/>
                          </a:xfrm>
                          <a:prstGeom prst="rect">
                            <a:avLst/>
                          </a:prstGeom>
                        </pic:spPr>
                      </pic:pic>
                    </a:graphicData>
                  </a:graphic>
                </wp:inline>
              </w:drawing>
            </w:r>
          </w:p>
        </w:tc>
      </w:tr>
      <w:tr w:rsidR="00191A00" w14:paraId="44AFA793" w14:textId="77777777" w:rsidTr="00191A00">
        <w:tc>
          <w:tcPr>
            <w:tcW w:w="9767" w:type="dxa"/>
          </w:tcPr>
          <w:p w14:paraId="181DA780" w14:textId="27A312BC" w:rsidR="00191A00" w:rsidRDefault="00191A00" w:rsidP="00191A00">
            <w:pPr>
              <w:pStyle w:val="Caption"/>
            </w:pPr>
            <w:bookmarkStart w:id="0" w:name="_Ref168664067"/>
            <w:r>
              <w:t xml:space="preserve">Figure </w:t>
            </w:r>
            <w:r>
              <w:fldChar w:fldCharType="begin"/>
            </w:r>
            <w:r>
              <w:instrText xml:space="preserve"> SEQ Figure \* ARABIC </w:instrText>
            </w:r>
            <w:r>
              <w:fldChar w:fldCharType="separate"/>
            </w:r>
            <w:r>
              <w:rPr>
                <w:noProof/>
              </w:rPr>
              <w:t>2</w:t>
            </w:r>
            <w:r>
              <w:fldChar w:fldCharType="end"/>
            </w:r>
            <w:bookmarkEnd w:id="0"/>
            <w:r>
              <w:t xml:space="preserve"> – Cardiovascular metrics reported for varying levels of initial hemorrhage. The extreme hemorrhage case, 230 mL/min, the patient “dies” before resuscitation can achieve hemodynamic stability.</w:t>
            </w:r>
          </w:p>
        </w:tc>
      </w:tr>
    </w:tbl>
    <w:p w14:paraId="4EF34095" w14:textId="77777777" w:rsidR="00191A00" w:rsidRDefault="00191A00" w:rsidP="008D6964"/>
    <w:tbl>
      <w:tblPr>
        <w:tblStyle w:val="TableGrid"/>
        <w:tblW w:w="0" w:type="auto"/>
        <w:tblLook w:val="04A0" w:firstRow="1" w:lastRow="0" w:firstColumn="1" w:lastColumn="0" w:noHBand="0" w:noVBand="1"/>
      </w:tblPr>
      <w:tblGrid>
        <w:gridCol w:w="9767"/>
      </w:tblGrid>
      <w:tr w:rsidR="0010487D" w14:paraId="2C3AD964" w14:textId="77777777" w:rsidTr="0010487D">
        <w:tc>
          <w:tcPr>
            <w:tcW w:w="9767" w:type="dxa"/>
          </w:tcPr>
          <w:p w14:paraId="597658D5" w14:textId="35985E0A" w:rsidR="0010487D" w:rsidRDefault="0010487D" w:rsidP="008D6964">
            <w:r>
              <w:rPr>
                <w:noProof/>
              </w:rPr>
              <w:lastRenderedPageBreak/>
              <w:drawing>
                <wp:inline distT="0" distB="0" distL="0" distR="0" wp14:anchorId="315C7B47" wp14:editId="0AA2F4ED">
                  <wp:extent cx="5765304" cy="3685039"/>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5304" cy="3685039"/>
                          </a:xfrm>
                          <a:prstGeom prst="rect">
                            <a:avLst/>
                          </a:prstGeom>
                        </pic:spPr>
                      </pic:pic>
                    </a:graphicData>
                  </a:graphic>
                </wp:inline>
              </w:drawing>
            </w:r>
          </w:p>
        </w:tc>
      </w:tr>
      <w:tr w:rsidR="0010487D" w14:paraId="29D8FCBC" w14:textId="77777777" w:rsidTr="0010487D">
        <w:tc>
          <w:tcPr>
            <w:tcW w:w="9767" w:type="dxa"/>
          </w:tcPr>
          <w:p w14:paraId="68B2AE63" w14:textId="77777777" w:rsidR="0010487D" w:rsidRDefault="0010487D" w:rsidP="008D6964"/>
        </w:tc>
      </w:tr>
    </w:tbl>
    <w:p w14:paraId="40AA362D" w14:textId="77777777" w:rsidR="00FB5587" w:rsidRPr="008D6964" w:rsidRDefault="00FB5587" w:rsidP="008D6964"/>
    <w:p w14:paraId="302A2CF3" w14:textId="1FAB77C2" w:rsidR="00CB7A05" w:rsidRDefault="00CB7A05" w:rsidP="00CB7A05">
      <w:pPr>
        <w:pStyle w:val="Heading1"/>
      </w:pPr>
      <w:r>
        <w:t>Discussions</w:t>
      </w:r>
    </w:p>
    <w:p w14:paraId="2C6C3F00" w14:textId="50176ECC" w:rsidR="00CB7A05" w:rsidRDefault="00CB7A05" w:rsidP="00CB7A05">
      <w:pPr>
        <w:pStyle w:val="Heading1"/>
      </w:pPr>
      <w:r>
        <w:t>Conclusions</w:t>
      </w:r>
    </w:p>
    <w:p w14:paraId="4D7649F0" w14:textId="77777777" w:rsidR="00CB43D5" w:rsidRDefault="00CB43D5" w:rsidP="00CB43D5">
      <w:pPr>
        <w:pStyle w:val="Heading1"/>
      </w:pPr>
      <w:r>
        <w:t>Conflict of Interest</w:t>
      </w:r>
    </w:p>
    <w:p w14:paraId="57F5D7D1"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D6553A8" w14:textId="77777777" w:rsidR="00045678" w:rsidRDefault="00045678" w:rsidP="00045678">
      <w:pPr>
        <w:pStyle w:val="Heading1"/>
      </w:pPr>
      <w:r>
        <w:t>Author Contributions</w:t>
      </w:r>
    </w:p>
    <w:p w14:paraId="034708A3" w14:textId="4FD2A0D8" w:rsid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1" w:anchor="AuthorandContributors" w:history="1">
        <w:r w:rsidR="00045678" w:rsidRPr="00045678">
          <w:rPr>
            <w:rStyle w:val="Hyperlink"/>
          </w:rPr>
          <w:t xml:space="preserve">here </w:t>
        </w:r>
      </w:hyperlink>
      <w:r w:rsidR="00045678">
        <w:t>for full authorship criteria.</w:t>
      </w:r>
    </w:p>
    <w:p w14:paraId="5E716438" w14:textId="3C837722" w:rsidR="00E038CD" w:rsidRDefault="00E038CD" w:rsidP="00265660"/>
    <w:tbl>
      <w:tblPr>
        <w:tblStyle w:val="TableGrid"/>
        <w:tblW w:w="0" w:type="auto"/>
        <w:tblLook w:val="04A0" w:firstRow="1" w:lastRow="0" w:firstColumn="1" w:lastColumn="0" w:noHBand="0" w:noVBand="1"/>
      </w:tblPr>
      <w:tblGrid>
        <w:gridCol w:w="4883"/>
        <w:gridCol w:w="4884"/>
      </w:tblGrid>
      <w:tr w:rsidR="00E038CD" w14:paraId="56E8C16D" w14:textId="77777777" w:rsidTr="00E038CD">
        <w:tc>
          <w:tcPr>
            <w:tcW w:w="4883" w:type="dxa"/>
          </w:tcPr>
          <w:p w14:paraId="04255CF7" w14:textId="7453980A" w:rsidR="00E038CD" w:rsidRDefault="00E038CD" w:rsidP="00265660">
            <w:r>
              <w:t>Conceptualization</w:t>
            </w:r>
          </w:p>
        </w:tc>
        <w:tc>
          <w:tcPr>
            <w:tcW w:w="4884" w:type="dxa"/>
          </w:tcPr>
          <w:p w14:paraId="286C1EDD" w14:textId="63FA76ED" w:rsidR="00E038CD" w:rsidRDefault="00E038CD" w:rsidP="00265660">
            <w:r>
              <w:t>A.B., S.A.W., R.D.</w:t>
            </w:r>
          </w:p>
        </w:tc>
      </w:tr>
      <w:tr w:rsidR="00E038CD" w14:paraId="1B769491" w14:textId="77777777" w:rsidTr="00E038CD">
        <w:tc>
          <w:tcPr>
            <w:tcW w:w="4883" w:type="dxa"/>
          </w:tcPr>
          <w:p w14:paraId="3A5154D4" w14:textId="774421FA" w:rsidR="00E038CD" w:rsidRDefault="00E038CD" w:rsidP="00265660">
            <w:r>
              <w:lastRenderedPageBreak/>
              <w:t>Data Curation</w:t>
            </w:r>
          </w:p>
        </w:tc>
        <w:tc>
          <w:tcPr>
            <w:tcW w:w="4884" w:type="dxa"/>
          </w:tcPr>
          <w:p w14:paraId="5D3027E0" w14:textId="6B61F6DB" w:rsidR="00E038CD" w:rsidRDefault="00E038CD" w:rsidP="00265660">
            <w:r>
              <w:t>A.B.</w:t>
            </w:r>
          </w:p>
        </w:tc>
      </w:tr>
      <w:tr w:rsidR="00E038CD" w14:paraId="77057CD5" w14:textId="77777777" w:rsidTr="00E038CD">
        <w:tc>
          <w:tcPr>
            <w:tcW w:w="4883" w:type="dxa"/>
          </w:tcPr>
          <w:p w14:paraId="2337C794" w14:textId="7DEAA214" w:rsidR="00E038CD" w:rsidRDefault="00E038CD" w:rsidP="00265660">
            <w:r>
              <w:t xml:space="preserve">Formal Analysis </w:t>
            </w:r>
          </w:p>
        </w:tc>
        <w:tc>
          <w:tcPr>
            <w:tcW w:w="4884" w:type="dxa"/>
          </w:tcPr>
          <w:p w14:paraId="2DF04EA3" w14:textId="0C80C50D" w:rsidR="00E038CD" w:rsidRDefault="00E038CD" w:rsidP="00265660">
            <w:r>
              <w:t>A.B., N.T.</w:t>
            </w:r>
          </w:p>
        </w:tc>
      </w:tr>
      <w:tr w:rsidR="00E038CD" w14:paraId="2176832A" w14:textId="77777777" w:rsidTr="00E038CD">
        <w:tc>
          <w:tcPr>
            <w:tcW w:w="4883" w:type="dxa"/>
          </w:tcPr>
          <w:p w14:paraId="35E50055" w14:textId="63939726" w:rsidR="00E038CD" w:rsidRDefault="00E038CD" w:rsidP="00265660">
            <w:r>
              <w:t>Funding Acquisition</w:t>
            </w:r>
          </w:p>
        </w:tc>
        <w:tc>
          <w:tcPr>
            <w:tcW w:w="4884" w:type="dxa"/>
          </w:tcPr>
          <w:p w14:paraId="2D4A9658" w14:textId="4AC32BA5" w:rsidR="00E038CD" w:rsidRDefault="00E038CD" w:rsidP="00265660">
            <w:r>
              <w:t>A.B.</w:t>
            </w:r>
          </w:p>
        </w:tc>
      </w:tr>
      <w:tr w:rsidR="00E038CD" w14:paraId="360BBBC6" w14:textId="77777777" w:rsidTr="00E038CD">
        <w:tc>
          <w:tcPr>
            <w:tcW w:w="4883" w:type="dxa"/>
          </w:tcPr>
          <w:p w14:paraId="41AD5BC5" w14:textId="7D04753D" w:rsidR="00E038CD" w:rsidRDefault="00E038CD" w:rsidP="00265660">
            <w:r>
              <w:t>Investigation</w:t>
            </w:r>
          </w:p>
        </w:tc>
        <w:tc>
          <w:tcPr>
            <w:tcW w:w="4884" w:type="dxa"/>
          </w:tcPr>
          <w:p w14:paraId="32A66F61" w14:textId="5D453C9B" w:rsidR="00E038CD" w:rsidRDefault="00E038CD" w:rsidP="00265660">
            <w:r>
              <w:t>A.B., N.T., S.A.W.</w:t>
            </w:r>
          </w:p>
        </w:tc>
      </w:tr>
      <w:tr w:rsidR="00E038CD" w14:paraId="18C657ED" w14:textId="77777777" w:rsidTr="00E038CD">
        <w:tc>
          <w:tcPr>
            <w:tcW w:w="4883" w:type="dxa"/>
          </w:tcPr>
          <w:p w14:paraId="183DD107" w14:textId="63E9759D" w:rsidR="00E038CD" w:rsidRDefault="00E038CD" w:rsidP="00265660">
            <w:r>
              <w:t>Methodology</w:t>
            </w:r>
          </w:p>
        </w:tc>
        <w:tc>
          <w:tcPr>
            <w:tcW w:w="4884" w:type="dxa"/>
          </w:tcPr>
          <w:p w14:paraId="1688CA52" w14:textId="102AB540" w:rsidR="00E038CD" w:rsidRDefault="00E038CD" w:rsidP="00265660">
            <w:r>
              <w:t>A.B., N.T., R.D.</w:t>
            </w:r>
          </w:p>
        </w:tc>
      </w:tr>
      <w:tr w:rsidR="00E038CD" w14:paraId="5F38A6F7" w14:textId="77777777" w:rsidTr="00E038CD">
        <w:tc>
          <w:tcPr>
            <w:tcW w:w="4883" w:type="dxa"/>
          </w:tcPr>
          <w:p w14:paraId="174F206D" w14:textId="68CBF27B" w:rsidR="00E038CD" w:rsidRDefault="00E038CD" w:rsidP="00265660">
            <w:r>
              <w:t>Project Administration</w:t>
            </w:r>
          </w:p>
        </w:tc>
        <w:tc>
          <w:tcPr>
            <w:tcW w:w="4884" w:type="dxa"/>
          </w:tcPr>
          <w:p w14:paraId="519BC09A" w14:textId="1E330E86" w:rsidR="00E038CD" w:rsidRDefault="00E038CD" w:rsidP="00E038CD">
            <w:r>
              <w:t>A.B., S.A.W., E.B.</w:t>
            </w:r>
          </w:p>
        </w:tc>
      </w:tr>
      <w:tr w:rsidR="00E038CD" w14:paraId="212C4A2E" w14:textId="77777777" w:rsidTr="00E038CD">
        <w:tc>
          <w:tcPr>
            <w:tcW w:w="4883" w:type="dxa"/>
          </w:tcPr>
          <w:p w14:paraId="6BBF82A9" w14:textId="3BC62CB8" w:rsidR="00E038CD" w:rsidRDefault="00E038CD" w:rsidP="00265660">
            <w:r>
              <w:t>Resources</w:t>
            </w:r>
          </w:p>
        </w:tc>
        <w:tc>
          <w:tcPr>
            <w:tcW w:w="4884" w:type="dxa"/>
          </w:tcPr>
          <w:p w14:paraId="2D048342" w14:textId="335EF95C" w:rsidR="00E038CD" w:rsidRDefault="00E038CD" w:rsidP="00E038CD">
            <w:r>
              <w:t>A.B., S.A.W.</w:t>
            </w:r>
          </w:p>
        </w:tc>
      </w:tr>
      <w:tr w:rsidR="00E038CD" w14:paraId="730EA1D1" w14:textId="77777777" w:rsidTr="00E038CD">
        <w:tc>
          <w:tcPr>
            <w:tcW w:w="4883" w:type="dxa"/>
          </w:tcPr>
          <w:p w14:paraId="19D72E4A" w14:textId="3C5DCC4D" w:rsidR="00E038CD" w:rsidRDefault="00E038CD" w:rsidP="00265660">
            <w:r>
              <w:t>Software</w:t>
            </w:r>
          </w:p>
        </w:tc>
        <w:tc>
          <w:tcPr>
            <w:tcW w:w="4884" w:type="dxa"/>
          </w:tcPr>
          <w:p w14:paraId="6F177C76" w14:textId="5519E976" w:rsidR="00E038CD" w:rsidRDefault="00E038CD" w:rsidP="00E038CD">
            <w:r>
              <w:t>A.B., S.A.W.</w:t>
            </w:r>
          </w:p>
        </w:tc>
      </w:tr>
      <w:tr w:rsidR="00E038CD" w14:paraId="54A0487D" w14:textId="77777777" w:rsidTr="00E038CD">
        <w:tc>
          <w:tcPr>
            <w:tcW w:w="4883" w:type="dxa"/>
          </w:tcPr>
          <w:p w14:paraId="736A3C8D" w14:textId="5F91A349" w:rsidR="00E038CD" w:rsidRDefault="00E038CD" w:rsidP="00265660">
            <w:r>
              <w:t>Supervision</w:t>
            </w:r>
          </w:p>
        </w:tc>
        <w:tc>
          <w:tcPr>
            <w:tcW w:w="4884" w:type="dxa"/>
          </w:tcPr>
          <w:p w14:paraId="4DA1D61F" w14:textId="660FD995" w:rsidR="00E038CD" w:rsidRDefault="00E038CD" w:rsidP="00E038CD">
            <w:r>
              <w:t>A.B., S.A.W., E.B.</w:t>
            </w:r>
          </w:p>
        </w:tc>
      </w:tr>
      <w:tr w:rsidR="00E038CD" w14:paraId="599A5DFE" w14:textId="77777777" w:rsidTr="00E038CD">
        <w:tc>
          <w:tcPr>
            <w:tcW w:w="4883" w:type="dxa"/>
          </w:tcPr>
          <w:p w14:paraId="487D75A4" w14:textId="55136986" w:rsidR="00E038CD" w:rsidRDefault="00E038CD" w:rsidP="00265660">
            <w:r>
              <w:t>Validation</w:t>
            </w:r>
          </w:p>
        </w:tc>
        <w:tc>
          <w:tcPr>
            <w:tcW w:w="4884" w:type="dxa"/>
          </w:tcPr>
          <w:p w14:paraId="1016E6A1" w14:textId="61FCF2C9" w:rsidR="00E038CD" w:rsidRDefault="00E038CD" w:rsidP="00E038CD">
            <w:r>
              <w:t>A.B., E.B.</w:t>
            </w:r>
          </w:p>
        </w:tc>
      </w:tr>
      <w:tr w:rsidR="00E038CD" w14:paraId="40E8CB46" w14:textId="77777777" w:rsidTr="00E038CD">
        <w:tc>
          <w:tcPr>
            <w:tcW w:w="4883" w:type="dxa"/>
          </w:tcPr>
          <w:p w14:paraId="5A570CD4" w14:textId="223A582A" w:rsidR="00E038CD" w:rsidRDefault="00E038CD" w:rsidP="00265660">
            <w:r>
              <w:t>Visualization</w:t>
            </w:r>
          </w:p>
        </w:tc>
        <w:tc>
          <w:tcPr>
            <w:tcW w:w="4884" w:type="dxa"/>
          </w:tcPr>
          <w:p w14:paraId="5894009F" w14:textId="6F283500" w:rsidR="00E038CD" w:rsidRDefault="00E038CD" w:rsidP="00E038CD">
            <w:r>
              <w:t>A.B.</w:t>
            </w:r>
          </w:p>
        </w:tc>
      </w:tr>
      <w:tr w:rsidR="00E038CD" w14:paraId="066688FA" w14:textId="77777777" w:rsidTr="00E038CD">
        <w:tc>
          <w:tcPr>
            <w:tcW w:w="4883" w:type="dxa"/>
          </w:tcPr>
          <w:p w14:paraId="71714DDF" w14:textId="6FCE9D34" w:rsidR="00E038CD" w:rsidRDefault="00E038CD" w:rsidP="00265660">
            <w:r>
              <w:t>Writing – Original Draft Preparation</w:t>
            </w:r>
          </w:p>
        </w:tc>
        <w:tc>
          <w:tcPr>
            <w:tcW w:w="4884" w:type="dxa"/>
          </w:tcPr>
          <w:p w14:paraId="22C54EA3" w14:textId="77E0A554" w:rsidR="00E038CD" w:rsidRDefault="00E038CD" w:rsidP="00E038CD">
            <w:r>
              <w:t>A.B., E.B.</w:t>
            </w:r>
          </w:p>
        </w:tc>
      </w:tr>
      <w:tr w:rsidR="00E038CD" w14:paraId="5DFF3190" w14:textId="77777777" w:rsidTr="00E038CD">
        <w:tc>
          <w:tcPr>
            <w:tcW w:w="4883" w:type="dxa"/>
          </w:tcPr>
          <w:p w14:paraId="503CE509" w14:textId="261957F1" w:rsidR="00E038CD" w:rsidRDefault="00E038CD" w:rsidP="00265660">
            <w:r>
              <w:t>Writing – Review and Editing</w:t>
            </w:r>
          </w:p>
        </w:tc>
        <w:tc>
          <w:tcPr>
            <w:tcW w:w="4884" w:type="dxa"/>
          </w:tcPr>
          <w:p w14:paraId="4B2B7A49" w14:textId="3A25F19E" w:rsidR="00E038CD" w:rsidRDefault="00E038CD" w:rsidP="00E038CD">
            <w:r>
              <w:t>A.B., E.B., S.A.W., N.T., R.D.</w:t>
            </w:r>
          </w:p>
        </w:tc>
      </w:tr>
    </w:tbl>
    <w:p w14:paraId="1A7E18E3" w14:textId="77777777" w:rsidR="00E038CD" w:rsidRPr="00045678" w:rsidRDefault="00E038CD" w:rsidP="00265660"/>
    <w:p w14:paraId="5722F5F5" w14:textId="77777777" w:rsidR="00AC3EA3" w:rsidRPr="00376CC5" w:rsidRDefault="00AC3EA3" w:rsidP="00A53000">
      <w:pPr>
        <w:pStyle w:val="Heading1"/>
      </w:pPr>
      <w:r w:rsidRPr="00376CC5">
        <w:t>Funding</w:t>
      </w:r>
    </w:p>
    <w:p w14:paraId="5E0CBB2F" w14:textId="77777777" w:rsidR="006B2D5B" w:rsidRPr="00376CC5" w:rsidRDefault="006B2D5B" w:rsidP="00A53000">
      <w:pPr>
        <w:pStyle w:val="Heading1"/>
      </w:pPr>
      <w:r w:rsidRPr="00376CC5">
        <w:t>Acknowledgments</w:t>
      </w:r>
    </w:p>
    <w:p w14:paraId="41C8CCC7" w14:textId="186F588F" w:rsidR="007D455A" w:rsidRPr="00376CC5" w:rsidRDefault="008F680A" w:rsidP="00A53000">
      <w:pPr>
        <w:rPr>
          <w:szCs w:val="24"/>
          <w:shd w:val="clear" w:color="auto" w:fill="FFFFFF"/>
        </w:rPr>
      </w:pPr>
      <w:r>
        <w:t>We’d like to acknowledge the support and guidance of Hugh Connacher, Harvey Magee</w:t>
      </w:r>
      <w:r w:rsidR="009C517A">
        <w:t>,</w:t>
      </w:r>
      <w:r>
        <w:t xml:space="preserve"> Dr. Brett Talbot, and Geoff Miller who all provided excellent guidance during the original development of the </w:t>
      </w:r>
      <w:proofErr w:type="spellStart"/>
      <w:r>
        <w:t>BioGears</w:t>
      </w:r>
      <w:proofErr w:type="spellEnd"/>
      <w:r>
        <w:t xml:space="preserve"> project.</w:t>
      </w:r>
      <w:r w:rsidR="0013695D">
        <w:t xml:space="preserve"> We’d also like to acknowledge critical members of the </w:t>
      </w:r>
      <w:proofErr w:type="spellStart"/>
      <w:r w:rsidR="0013695D">
        <w:t>BioGears</w:t>
      </w:r>
      <w:proofErr w:type="spellEnd"/>
      <w:r w:rsidR="0013695D">
        <w:t xml:space="preserve"> development team over the years: Matthew McDaniel, Jenn Carter, Jeff Webb, Aaron Bray, and Rachel </w:t>
      </w:r>
      <w:proofErr w:type="spellStart"/>
      <w:r w:rsidR="0013695D">
        <w:t>Clipp</w:t>
      </w:r>
      <w:proofErr w:type="spellEnd"/>
      <w:r w:rsidR="0013695D">
        <w:t xml:space="preserve">. We also thank Applied Research Associates for supporting this </w:t>
      </w:r>
      <w:r w:rsidR="00A57F2D">
        <w:t>open-source</w:t>
      </w:r>
      <w:r w:rsidR="0013695D">
        <w:t xml:space="preserve"> platform and continuing to usher its software development and architecture to aid its use in physiology modeling and research.</w:t>
      </w:r>
    </w:p>
    <w:p w14:paraId="6B997608" w14:textId="77777777" w:rsidR="005D6FCC" w:rsidRPr="005D6FCC" w:rsidRDefault="009D793F" w:rsidP="005D6FCC">
      <w:pPr>
        <w:pStyle w:val="Bibliography"/>
        <w:rPr>
          <w:rFonts w:cs="Times New Roman"/>
        </w:rPr>
      </w:pPr>
      <w:r>
        <w:fldChar w:fldCharType="begin"/>
      </w:r>
      <w:r>
        <w:instrText xml:space="preserve"> ADDIN ZOTERO_BIBL {"uncited":[],"omitted":[],"custom":[]} CSL_BIBLIOGRAPHY </w:instrText>
      </w:r>
      <w:r>
        <w:fldChar w:fldCharType="separate"/>
      </w:r>
      <w:r w:rsidR="005D6FCC" w:rsidRPr="005D6FCC">
        <w:rPr>
          <w:rFonts w:cs="Times New Roman"/>
        </w:rPr>
        <w:t>1</w:t>
      </w:r>
      <w:r w:rsidR="005D6FCC" w:rsidRPr="005D6FCC">
        <w:rPr>
          <w:rFonts w:cs="Times New Roman"/>
        </w:rPr>
        <w:tab/>
        <w:t xml:space="preserve">Cloutier CT, Lowery BD, Carey LC. Acid-Base Disturbances in Hemorrhagic Shock: In 66 Severely Wounded Patients Prior to Treatment. </w:t>
      </w:r>
      <w:r w:rsidR="005D6FCC" w:rsidRPr="005D6FCC">
        <w:rPr>
          <w:rFonts w:cs="Times New Roman"/>
          <w:i/>
          <w:iCs/>
        </w:rPr>
        <w:t>Archives of Surgery</w:t>
      </w:r>
      <w:r w:rsidR="005D6FCC" w:rsidRPr="005D6FCC">
        <w:rPr>
          <w:rFonts w:cs="Times New Roman"/>
        </w:rPr>
        <w:t xml:space="preserve"> </w:t>
      </w:r>
      <w:proofErr w:type="gramStart"/>
      <w:r w:rsidR="005D6FCC" w:rsidRPr="005D6FCC">
        <w:rPr>
          <w:rFonts w:cs="Times New Roman"/>
        </w:rPr>
        <w:t>1969;</w:t>
      </w:r>
      <w:r w:rsidR="005D6FCC" w:rsidRPr="005D6FCC">
        <w:rPr>
          <w:rFonts w:cs="Times New Roman"/>
          <w:b/>
          <w:bCs/>
        </w:rPr>
        <w:t>98</w:t>
      </w:r>
      <w:r w:rsidR="005D6FCC" w:rsidRPr="005D6FCC">
        <w:rPr>
          <w:rFonts w:cs="Times New Roman"/>
        </w:rPr>
        <w:t>:551</w:t>
      </w:r>
      <w:proofErr w:type="gramEnd"/>
      <w:r w:rsidR="005D6FCC" w:rsidRPr="005D6FCC">
        <w:rPr>
          <w:rFonts w:cs="Times New Roman"/>
        </w:rPr>
        <w:t>–7. https://doi.org/10.1001/archsurg.1969.01340110043001.</w:t>
      </w:r>
    </w:p>
    <w:p w14:paraId="7952129B" w14:textId="77777777" w:rsidR="005D6FCC" w:rsidRPr="005D6FCC" w:rsidRDefault="005D6FCC" w:rsidP="005D6FCC">
      <w:pPr>
        <w:pStyle w:val="Bibliography"/>
        <w:rPr>
          <w:rFonts w:cs="Times New Roman"/>
        </w:rPr>
      </w:pPr>
      <w:r w:rsidRPr="005D6FCC">
        <w:rPr>
          <w:rFonts w:cs="Times New Roman"/>
        </w:rPr>
        <w:t>2</w:t>
      </w:r>
      <w:r w:rsidRPr="005D6FCC">
        <w:rPr>
          <w:rFonts w:cs="Times New Roman"/>
        </w:rPr>
        <w:tab/>
        <w:t xml:space="preserve">Gutierrez G, </w:t>
      </w:r>
      <w:proofErr w:type="spellStart"/>
      <w:r w:rsidRPr="005D6FCC">
        <w:rPr>
          <w:rFonts w:cs="Times New Roman"/>
        </w:rPr>
        <w:t>Reines</w:t>
      </w:r>
      <w:proofErr w:type="spellEnd"/>
      <w:r w:rsidRPr="005D6FCC">
        <w:rPr>
          <w:rFonts w:cs="Times New Roman"/>
        </w:rPr>
        <w:t xml:space="preserve"> </w:t>
      </w:r>
      <w:proofErr w:type="spellStart"/>
      <w:r w:rsidRPr="005D6FCC">
        <w:rPr>
          <w:rFonts w:cs="Times New Roman"/>
        </w:rPr>
        <w:t>Hd</w:t>
      </w:r>
      <w:proofErr w:type="spellEnd"/>
      <w:r w:rsidRPr="005D6FCC">
        <w:rPr>
          <w:rFonts w:cs="Times New Roman"/>
        </w:rPr>
        <w:t xml:space="preserve">, Wulf-Gutierrez ME. Clinical review: Hemorrhagic shock. </w:t>
      </w:r>
      <w:r w:rsidRPr="005D6FCC">
        <w:rPr>
          <w:rFonts w:cs="Times New Roman"/>
          <w:i/>
          <w:iCs/>
        </w:rPr>
        <w:t>Crit Care</w:t>
      </w:r>
      <w:r w:rsidRPr="005D6FCC">
        <w:rPr>
          <w:rFonts w:cs="Times New Roman"/>
        </w:rPr>
        <w:t xml:space="preserve"> </w:t>
      </w:r>
      <w:proofErr w:type="gramStart"/>
      <w:r w:rsidRPr="005D6FCC">
        <w:rPr>
          <w:rFonts w:cs="Times New Roman"/>
        </w:rPr>
        <w:t>2004;</w:t>
      </w:r>
      <w:r w:rsidRPr="005D6FCC">
        <w:rPr>
          <w:rFonts w:cs="Times New Roman"/>
          <w:b/>
          <w:bCs/>
        </w:rPr>
        <w:t>8</w:t>
      </w:r>
      <w:r w:rsidRPr="005D6FCC">
        <w:rPr>
          <w:rFonts w:cs="Times New Roman"/>
        </w:rPr>
        <w:t>:373</w:t>
      </w:r>
      <w:proofErr w:type="gramEnd"/>
      <w:r w:rsidRPr="005D6FCC">
        <w:rPr>
          <w:rFonts w:cs="Times New Roman"/>
        </w:rPr>
        <w:t>. https://doi.org/10.1186/cc2851.</w:t>
      </w:r>
    </w:p>
    <w:p w14:paraId="5CA0AE55" w14:textId="77777777" w:rsidR="005D6FCC" w:rsidRPr="005D6FCC" w:rsidRDefault="005D6FCC" w:rsidP="005D6FCC">
      <w:pPr>
        <w:pStyle w:val="Bibliography"/>
        <w:rPr>
          <w:rFonts w:cs="Times New Roman"/>
        </w:rPr>
      </w:pPr>
      <w:r w:rsidRPr="005D6FCC">
        <w:rPr>
          <w:rFonts w:cs="Times New Roman"/>
        </w:rPr>
        <w:lastRenderedPageBreak/>
        <w:t>3</w:t>
      </w:r>
      <w:r w:rsidRPr="005D6FCC">
        <w:rPr>
          <w:rFonts w:cs="Times New Roman"/>
        </w:rPr>
        <w:tab/>
      </w:r>
      <w:proofErr w:type="spellStart"/>
      <w:r w:rsidRPr="005D6FCC">
        <w:rPr>
          <w:rFonts w:cs="Times New Roman"/>
        </w:rPr>
        <w:t>Rossaint</w:t>
      </w:r>
      <w:proofErr w:type="spellEnd"/>
      <w:r w:rsidRPr="005D6FCC">
        <w:rPr>
          <w:rFonts w:cs="Times New Roman"/>
        </w:rPr>
        <w:t xml:space="preserve"> R, Bouillon B, Cerny V, Coats TJ, </w:t>
      </w:r>
      <w:proofErr w:type="spellStart"/>
      <w:r w:rsidRPr="005D6FCC">
        <w:rPr>
          <w:rFonts w:cs="Times New Roman"/>
        </w:rPr>
        <w:t>Duranteau</w:t>
      </w:r>
      <w:proofErr w:type="spellEnd"/>
      <w:r w:rsidRPr="005D6FCC">
        <w:rPr>
          <w:rFonts w:cs="Times New Roman"/>
        </w:rPr>
        <w:t xml:space="preserve"> J, Fernández-</w:t>
      </w:r>
      <w:proofErr w:type="spellStart"/>
      <w:r w:rsidRPr="005D6FCC">
        <w:rPr>
          <w:rFonts w:cs="Times New Roman"/>
        </w:rPr>
        <w:t>Mondéjar</w:t>
      </w:r>
      <w:proofErr w:type="spellEnd"/>
      <w:r w:rsidRPr="005D6FCC">
        <w:rPr>
          <w:rFonts w:cs="Times New Roman"/>
        </w:rPr>
        <w:t xml:space="preserve"> E, </w:t>
      </w:r>
      <w:r w:rsidRPr="005D6FCC">
        <w:rPr>
          <w:rFonts w:cs="Times New Roman"/>
          <w:i/>
          <w:iCs/>
        </w:rPr>
        <w:t>et al.</w:t>
      </w:r>
      <w:r w:rsidRPr="005D6FCC">
        <w:rPr>
          <w:rFonts w:cs="Times New Roman"/>
        </w:rPr>
        <w:t xml:space="preserve"> The European guideline on management of major bleeding and coagulopathy following trauma: fourth edition. </w:t>
      </w:r>
      <w:r w:rsidRPr="005D6FCC">
        <w:rPr>
          <w:rFonts w:cs="Times New Roman"/>
          <w:i/>
          <w:iCs/>
        </w:rPr>
        <w:t>Crit Care</w:t>
      </w:r>
      <w:r w:rsidRPr="005D6FCC">
        <w:rPr>
          <w:rFonts w:cs="Times New Roman"/>
        </w:rPr>
        <w:t xml:space="preserve"> </w:t>
      </w:r>
      <w:proofErr w:type="gramStart"/>
      <w:r w:rsidRPr="005D6FCC">
        <w:rPr>
          <w:rFonts w:cs="Times New Roman"/>
        </w:rPr>
        <w:t>2016;</w:t>
      </w:r>
      <w:r w:rsidRPr="005D6FCC">
        <w:rPr>
          <w:rFonts w:cs="Times New Roman"/>
          <w:b/>
          <w:bCs/>
        </w:rPr>
        <w:t>20</w:t>
      </w:r>
      <w:r w:rsidRPr="005D6FCC">
        <w:rPr>
          <w:rFonts w:cs="Times New Roman"/>
        </w:rPr>
        <w:t>:100</w:t>
      </w:r>
      <w:proofErr w:type="gramEnd"/>
      <w:r w:rsidRPr="005D6FCC">
        <w:rPr>
          <w:rFonts w:cs="Times New Roman"/>
        </w:rPr>
        <w:t>. https://doi.org/10.1186/s13054-016-1265-x.</w:t>
      </w:r>
    </w:p>
    <w:p w14:paraId="1B4CCD9F" w14:textId="77777777" w:rsidR="005D6FCC" w:rsidRPr="005D6FCC" w:rsidRDefault="005D6FCC" w:rsidP="005D6FCC">
      <w:pPr>
        <w:pStyle w:val="Bibliography"/>
        <w:rPr>
          <w:rFonts w:cs="Times New Roman"/>
        </w:rPr>
      </w:pPr>
      <w:r w:rsidRPr="005D6FCC">
        <w:rPr>
          <w:rFonts w:cs="Times New Roman"/>
        </w:rPr>
        <w:t>4</w:t>
      </w:r>
      <w:r w:rsidRPr="005D6FCC">
        <w:rPr>
          <w:rFonts w:cs="Times New Roman"/>
        </w:rPr>
        <w:tab/>
      </w:r>
      <w:proofErr w:type="spellStart"/>
      <w:r w:rsidRPr="005D6FCC">
        <w:rPr>
          <w:rFonts w:cs="Times New Roman"/>
        </w:rPr>
        <w:t>Taghavi</w:t>
      </w:r>
      <w:proofErr w:type="spellEnd"/>
      <w:r w:rsidRPr="005D6FCC">
        <w:rPr>
          <w:rFonts w:cs="Times New Roman"/>
        </w:rPr>
        <w:t xml:space="preserve"> S, Nassar A k, Askari R. Hypovolemic Shock. </w:t>
      </w:r>
      <w:proofErr w:type="spellStart"/>
      <w:r w:rsidRPr="005D6FCC">
        <w:rPr>
          <w:rFonts w:cs="Times New Roman"/>
          <w:i/>
          <w:iCs/>
        </w:rPr>
        <w:t>StatPearls</w:t>
      </w:r>
      <w:proofErr w:type="spellEnd"/>
      <w:r w:rsidRPr="005D6FCC">
        <w:rPr>
          <w:rFonts w:cs="Times New Roman"/>
        </w:rPr>
        <w:t xml:space="preserve">. Treasure Island (FL): </w:t>
      </w:r>
      <w:proofErr w:type="spellStart"/>
      <w:r w:rsidRPr="005D6FCC">
        <w:rPr>
          <w:rFonts w:cs="Times New Roman"/>
        </w:rPr>
        <w:t>StatPearls</w:t>
      </w:r>
      <w:proofErr w:type="spellEnd"/>
      <w:r w:rsidRPr="005D6FCC">
        <w:rPr>
          <w:rFonts w:cs="Times New Roman"/>
        </w:rPr>
        <w:t xml:space="preserve"> Publishing; 2023.</w:t>
      </w:r>
    </w:p>
    <w:p w14:paraId="6C78FEF6" w14:textId="77777777" w:rsidR="005D6FCC" w:rsidRPr="005D6FCC" w:rsidRDefault="005D6FCC" w:rsidP="005D6FCC">
      <w:pPr>
        <w:pStyle w:val="Bibliography"/>
        <w:rPr>
          <w:rFonts w:cs="Times New Roman"/>
        </w:rPr>
      </w:pPr>
      <w:r w:rsidRPr="005D6FCC">
        <w:rPr>
          <w:rFonts w:cs="Times New Roman"/>
        </w:rPr>
        <w:t>5</w:t>
      </w:r>
      <w:r w:rsidRPr="005D6FCC">
        <w:rPr>
          <w:rFonts w:cs="Times New Roman"/>
        </w:rPr>
        <w:tab/>
      </w:r>
      <w:proofErr w:type="spellStart"/>
      <w:r w:rsidRPr="005D6FCC">
        <w:rPr>
          <w:rFonts w:cs="Times New Roman"/>
        </w:rPr>
        <w:t>Vishwanathan</w:t>
      </w:r>
      <w:proofErr w:type="spellEnd"/>
      <w:r w:rsidRPr="005D6FCC">
        <w:rPr>
          <w:rFonts w:cs="Times New Roman"/>
        </w:rPr>
        <w:t xml:space="preserve"> K, </w:t>
      </w:r>
      <w:proofErr w:type="spellStart"/>
      <w:r w:rsidRPr="005D6FCC">
        <w:rPr>
          <w:rFonts w:cs="Times New Roman"/>
        </w:rPr>
        <w:t>Chhajwani</w:t>
      </w:r>
      <w:proofErr w:type="spellEnd"/>
      <w:r w:rsidRPr="005D6FCC">
        <w:rPr>
          <w:rFonts w:cs="Times New Roman"/>
        </w:rPr>
        <w:t xml:space="preserve"> S, Gupta A, Vaishya R. </w:t>
      </w:r>
      <w:proofErr w:type="gramStart"/>
      <w:r w:rsidRPr="005D6FCC">
        <w:rPr>
          <w:rFonts w:cs="Times New Roman"/>
        </w:rPr>
        <w:t>Evaluation</w:t>
      </w:r>
      <w:proofErr w:type="gramEnd"/>
      <w:r w:rsidRPr="005D6FCC">
        <w:rPr>
          <w:rFonts w:cs="Times New Roman"/>
        </w:rPr>
        <w:t xml:space="preserve"> and management of </w:t>
      </w:r>
      <w:proofErr w:type="spellStart"/>
      <w:r w:rsidRPr="005D6FCC">
        <w:rPr>
          <w:rFonts w:cs="Times New Roman"/>
        </w:rPr>
        <w:t>haemorrhagic</w:t>
      </w:r>
      <w:proofErr w:type="spellEnd"/>
      <w:r w:rsidRPr="005D6FCC">
        <w:rPr>
          <w:rFonts w:cs="Times New Roman"/>
        </w:rPr>
        <w:t xml:space="preserve"> shock in polytrauma: Clinical practice guidelines. </w:t>
      </w:r>
      <w:r w:rsidRPr="005D6FCC">
        <w:rPr>
          <w:rFonts w:cs="Times New Roman"/>
          <w:i/>
          <w:iCs/>
        </w:rPr>
        <w:t xml:space="preserve">Journal of Clinical </w:t>
      </w:r>
      <w:proofErr w:type="spellStart"/>
      <w:r w:rsidRPr="005D6FCC">
        <w:rPr>
          <w:rFonts w:cs="Times New Roman"/>
          <w:i/>
          <w:iCs/>
        </w:rPr>
        <w:t>Orthopaedics</w:t>
      </w:r>
      <w:proofErr w:type="spellEnd"/>
      <w:r w:rsidRPr="005D6FCC">
        <w:rPr>
          <w:rFonts w:cs="Times New Roman"/>
          <w:i/>
          <w:iCs/>
        </w:rPr>
        <w:t xml:space="preserve"> and Trauma</w:t>
      </w:r>
      <w:r w:rsidRPr="005D6FCC">
        <w:rPr>
          <w:rFonts w:cs="Times New Roman"/>
        </w:rPr>
        <w:t xml:space="preserve"> </w:t>
      </w:r>
      <w:proofErr w:type="gramStart"/>
      <w:r w:rsidRPr="005D6FCC">
        <w:rPr>
          <w:rFonts w:cs="Times New Roman"/>
        </w:rPr>
        <w:t>2021;</w:t>
      </w:r>
      <w:r w:rsidRPr="005D6FCC">
        <w:rPr>
          <w:rFonts w:cs="Times New Roman"/>
          <w:b/>
          <w:bCs/>
        </w:rPr>
        <w:t>13</w:t>
      </w:r>
      <w:r w:rsidRPr="005D6FCC">
        <w:rPr>
          <w:rFonts w:cs="Times New Roman"/>
        </w:rPr>
        <w:t>:106</w:t>
      </w:r>
      <w:proofErr w:type="gramEnd"/>
      <w:r w:rsidRPr="005D6FCC">
        <w:rPr>
          <w:rFonts w:cs="Times New Roman"/>
        </w:rPr>
        <w:t>–15. https://doi.org/10.1016/j.jcot.2020.12.003.</w:t>
      </w:r>
    </w:p>
    <w:p w14:paraId="78DA1807" w14:textId="77777777" w:rsidR="005D6FCC" w:rsidRPr="005D6FCC" w:rsidRDefault="005D6FCC" w:rsidP="005D6FCC">
      <w:pPr>
        <w:pStyle w:val="Bibliography"/>
        <w:rPr>
          <w:rFonts w:cs="Times New Roman"/>
        </w:rPr>
      </w:pPr>
      <w:r w:rsidRPr="005D6FCC">
        <w:rPr>
          <w:rFonts w:cs="Times New Roman"/>
        </w:rPr>
        <w:t>6</w:t>
      </w:r>
      <w:r w:rsidRPr="005D6FCC">
        <w:rPr>
          <w:rFonts w:cs="Times New Roman"/>
        </w:rPr>
        <w:tab/>
        <w:t xml:space="preserve">Haas SA, Lange T, </w:t>
      </w:r>
      <w:proofErr w:type="spellStart"/>
      <w:r w:rsidRPr="005D6FCC">
        <w:rPr>
          <w:rFonts w:cs="Times New Roman"/>
        </w:rPr>
        <w:t>Saugel</w:t>
      </w:r>
      <w:proofErr w:type="spellEnd"/>
      <w:r w:rsidRPr="005D6FCC">
        <w:rPr>
          <w:rFonts w:cs="Times New Roman"/>
        </w:rPr>
        <w:t xml:space="preserve"> B, </w:t>
      </w:r>
      <w:proofErr w:type="spellStart"/>
      <w:r w:rsidRPr="005D6FCC">
        <w:rPr>
          <w:rFonts w:cs="Times New Roman"/>
        </w:rPr>
        <w:t>Petzoldt</w:t>
      </w:r>
      <w:proofErr w:type="spellEnd"/>
      <w:r w:rsidRPr="005D6FCC">
        <w:rPr>
          <w:rFonts w:cs="Times New Roman"/>
        </w:rPr>
        <w:t xml:space="preserve"> M, Fuhrmann V, </w:t>
      </w:r>
      <w:proofErr w:type="spellStart"/>
      <w:r w:rsidRPr="005D6FCC">
        <w:rPr>
          <w:rFonts w:cs="Times New Roman"/>
        </w:rPr>
        <w:t>Metschke</w:t>
      </w:r>
      <w:proofErr w:type="spellEnd"/>
      <w:r w:rsidRPr="005D6FCC">
        <w:rPr>
          <w:rFonts w:cs="Times New Roman"/>
        </w:rPr>
        <w:t xml:space="preserve"> M, </w:t>
      </w:r>
      <w:r w:rsidRPr="005D6FCC">
        <w:rPr>
          <w:rFonts w:cs="Times New Roman"/>
          <w:i/>
          <w:iCs/>
        </w:rPr>
        <w:t>et al.</w:t>
      </w:r>
      <w:r w:rsidRPr="005D6FCC">
        <w:rPr>
          <w:rFonts w:cs="Times New Roman"/>
        </w:rPr>
        <w:t xml:space="preserve"> Severe hyperlactatemia, lactate clearance and mortality in unselected critically ill patients. </w:t>
      </w:r>
      <w:r w:rsidRPr="005D6FCC">
        <w:rPr>
          <w:rFonts w:cs="Times New Roman"/>
          <w:i/>
          <w:iCs/>
        </w:rPr>
        <w:t>Intensive Care Med</w:t>
      </w:r>
      <w:r w:rsidRPr="005D6FCC">
        <w:rPr>
          <w:rFonts w:cs="Times New Roman"/>
        </w:rPr>
        <w:t xml:space="preserve"> </w:t>
      </w:r>
      <w:proofErr w:type="gramStart"/>
      <w:r w:rsidRPr="005D6FCC">
        <w:rPr>
          <w:rFonts w:cs="Times New Roman"/>
        </w:rPr>
        <w:t>2016;</w:t>
      </w:r>
      <w:r w:rsidRPr="005D6FCC">
        <w:rPr>
          <w:rFonts w:cs="Times New Roman"/>
          <w:b/>
          <w:bCs/>
        </w:rPr>
        <w:t>42</w:t>
      </w:r>
      <w:r w:rsidRPr="005D6FCC">
        <w:rPr>
          <w:rFonts w:cs="Times New Roman"/>
        </w:rPr>
        <w:t>:202</w:t>
      </w:r>
      <w:proofErr w:type="gramEnd"/>
      <w:r w:rsidRPr="005D6FCC">
        <w:rPr>
          <w:rFonts w:cs="Times New Roman"/>
        </w:rPr>
        <w:t>–10. https://doi.org/10.1007/s00134-015-4127-0.</w:t>
      </w:r>
    </w:p>
    <w:p w14:paraId="61D8BDB3" w14:textId="77777777" w:rsidR="005D6FCC" w:rsidRPr="005D6FCC" w:rsidRDefault="005D6FCC" w:rsidP="005D6FCC">
      <w:pPr>
        <w:pStyle w:val="Bibliography"/>
        <w:rPr>
          <w:rFonts w:cs="Times New Roman"/>
        </w:rPr>
      </w:pPr>
      <w:r w:rsidRPr="005D6FCC">
        <w:rPr>
          <w:rFonts w:cs="Times New Roman"/>
        </w:rPr>
        <w:t>7</w:t>
      </w:r>
      <w:r w:rsidRPr="005D6FCC">
        <w:rPr>
          <w:rFonts w:cs="Times New Roman"/>
        </w:rPr>
        <w:tab/>
        <w:t xml:space="preserve">Greenwood JC, Jang DH, </w:t>
      </w:r>
      <w:proofErr w:type="spellStart"/>
      <w:r w:rsidRPr="005D6FCC">
        <w:rPr>
          <w:rFonts w:cs="Times New Roman"/>
        </w:rPr>
        <w:t>Hallisey</w:t>
      </w:r>
      <w:proofErr w:type="spellEnd"/>
      <w:r w:rsidRPr="005D6FCC">
        <w:rPr>
          <w:rFonts w:cs="Times New Roman"/>
        </w:rPr>
        <w:t xml:space="preserve"> SD, </w:t>
      </w:r>
      <w:proofErr w:type="spellStart"/>
      <w:r w:rsidRPr="005D6FCC">
        <w:rPr>
          <w:rFonts w:cs="Times New Roman"/>
        </w:rPr>
        <w:t>Gutsche</w:t>
      </w:r>
      <w:proofErr w:type="spellEnd"/>
      <w:r w:rsidRPr="005D6FCC">
        <w:rPr>
          <w:rFonts w:cs="Times New Roman"/>
        </w:rPr>
        <w:t xml:space="preserve"> JT, </w:t>
      </w:r>
      <w:proofErr w:type="spellStart"/>
      <w:r w:rsidRPr="005D6FCC">
        <w:rPr>
          <w:rFonts w:cs="Times New Roman"/>
        </w:rPr>
        <w:t>Horak</w:t>
      </w:r>
      <w:proofErr w:type="spellEnd"/>
      <w:r w:rsidRPr="005D6FCC">
        <w:rPr>
          <w:rFonts w:cs="Times New Roman"/>
        </w:rPr>
        <w:t xml:space="preserve"> J, Acker MA, </w:t>
      </w:r>
      <w:r w:rsidRPr="005D6FCC">
        <w:rPr>
          <w:rFonts w:cs="Times New Roman"/>
          <w:i/>
          <w:iCs/>
        </w:rPr>
        <w:t>et al.</w:t>
      </w:r>
      <w:r w:rsidRPr="005D6FCC">
        <w:rPr>
          <w:rFonts w:cs="Times New Roman"/>
        </w:rPr>
        <w:t xml:space="preserve"> Severe Impairment of Microcirculatory Perfused Vessel Density Is Associated </w:t>
      </w:r>
      <w:proofErr w:type="gramStart"/>
      <w:r w:rsidRPr="005D6FCC">
        <w:rPr>
          <w:rFonts w:cs="Times New Roman"/>
        </w:rPr>
        <w:t>With</w:t>
      </w:r>
      <w:proofErr w:type="gramEnd"/>
      <w:r w:rsidRPr="005D6FCC">
        <w:rPr>
          <w:rFonts w:cs="Times New Roman"/>
        </w:rPr>
        <w:t xml:space="preserve"> Postoperative Lactate and Acute Organ Injury After Cardiac Surgery. </w:t>
      </w:r>
      <w:r w:rsidRPr="005D6FCC">
        <w:rPr>
          <w:rFonts w:cs="Times New Roman"/>
          <w:i/>
          <w:iCs/>
        </w:rPr>
        <w:t>Journal of Cardiothoracic and Vascular Anesthesia</w:t>
      </w:r>
      <w:r w:rsidRPr="005D6FCC">
        <w:rPr>
          <w:rFonts w:cs="Times New Roman"/>
        </w:rPr>
        <w:t xml:space="preserve"> </w:t>
      </w:r>
      <w:proofErr w:type="gramStart"/>
      <w:r w:rsidRPr="005D6FCC">
        <w:rPr>
          <w:rFonts w:cs="Times New Roman"/>
        </w:rPr>
        <w:t>2021;</w:t>
      </w:r>
      <w:r w:rsidRPr="005D6FCC">
        <w:rPr>
          <w:rFonts w:cs="Times New Roman"/>
          <w:b/>
          <w:bCs/>
        </w:rPr>
        <w:t>35</w:t>
      </w:r>
      <w:r w:rsidRPr="005D6FCC">
        <w:rPr>
          <w:rFonts w:cs="Times New Roman"/>
        </w:rPr>
        <w:t>:106</w:t>
      </w:r>
      <w:proofErr w:type="gramEnd"/>
      <w:r w:rsidRPr="005D6FCC">
        <w:rPr>
          <w:rFonts w:cs="Times New Roman"/>
        </w:rPr>
        <w:t>–15. https://doi.org/10.1053/j.jvca.2020.04.045.</w:t>
      </w:r>
    </w:p>
    <w:p w14:paraId="52F2714A" w14:textId="77777777" w:rsidR="005D6FCC" w:rsidRPr="005D6FCC" w:rsidRDefault="005D6FCC" w:rsidP="005D6FCC">
      <w:pPr>
        <w:pStyle w:val="Bibliography"/>
        <w:rPr>
          <w:rFonts w:cs="Times New Roman"/>
        </w:rPr>
      </w:pPr>
      <w:r w:rsidRPr="005D6FCC">
        <w:rPr>
          <w:rFonts w:cs="Times New Roman"/>
        </w:rPr>
        <w:t>8</w:t>
      </w:r>
      <w:r w:rsidRPr="005D6FCC">
        <w:rPr>
          <w:rFonts w:cs="Times New Roman"/>
        </w:rPr>
        <w:tab/>
        <w:t xml:space="preserve">Munoz C, </w:t>
      </w:r>
      <w:proofErr w:type="spellStart"/>
      <w:r w:rsidRPr="005D6FCC">
        <w:rPr>
          <w:rFonts w:cs="Times New Roman"/>
        </w:rPr>
        <w:t>Aletti</w:t>
      </w:r>
      <w:proofErr w:type="spellEnd"/>
      <w:r w:rsidRPr="005D6FCC">
        <w:rPr>
          <w:rFonts w:cs="Times New Roman"/>
        </w:rPr>
        <w:t xml:space="preserve"> F, Govender K, </w:t>
      </w:r>
      <w:proofErr w:type="spellStart"/>
      <w:r w:rsidRPr="005D6FCC">
        <w:rPr>
          <w:rFonts w:cs="Times New Roman"/>
        </w:rPr>
        <w:t>Cabrales</w:t>
      </w:r>
      <w:proofErr w:type="spellEnd"/>
      <w:r w:rsidRPr="005D6FCC">
        <w:rPr>
          <w:rFonts w:cs="Times New Roman"/>
        </w:rPr>
        <w:t xml:space="preserve"> P, Kistler EB. Resuscitation After Hemorrhagic Shock in the Microcirculation: Targeting Optimal Oxygen Delivery in the Design of Artificial Blood Substitutes. </w:t>
      </w:r>
      <w:r w:rsidRPr="005D6FCC">
        <w:rPr>
          <w:rFonts w:cs="Times New Roman"/>
          <w:i/>
          <w:iCs/>
        </w:rPr>
        <w:t>Frontiers in Medicine</w:t>
      </w:r>
      <w:r w:rsidRPr="005D6FCC">
        <w:rPr>
          <w:rFonts w:cs="Times New Roman"/>
        </w:rPr>
        <w:t xml:space="preserve"> </w:t>
      </w:r>
      <w:proofErr w:type="gramStart"/>
      <w:r w:rsidRPr="005D6FCC">
        <w:rPr>
          <w:rFonts w:cs="Times New Roman"/>
        </w:rPr>
        <w:t>2020;</w:t>
      </w:r>
      <w:r w:rsidRPr="005D6FCC">
        <w:rPr>
          <w:rFonts w:cs="Times New Roman"/>
          <w:b/>
          <w:bCs/>
        </w:rPr>
        <w:t>7</w:t>
      </w:r>
      <w:r w:rsidRPr="005D6FCC">
        <w:rPr>
          <w:rFonts w:cs="Times New Roman"/>
        </w:rPr>
        <w:t>:.</w:t>
      </w:r>
      <w:proofErr w:type="gramEnd"/>
    </w:p>
    <w:p w14:paraId="39F107FD" w14:textId="77777777" w:rsidR="005D6FCC" w:rsidRPr="005D6FCC" w:rsidRDefault="005D6FCC" w:rsidP="005D6FCC">
      <w:pPr>
        <w:pStyle w:val="Bibliography"/>
        <w:rPr>
          <w:rFonts w:cs="Times New Roman"/>
        </w:rPr>
      </w:pPr>
      <w:r w:rsidRPr="005D6FCC">
        <w:rPr>
          <w:rFonts w:cs="Times New Roman"/>
        </w:rPr>
        <w:t>9</w:t>
      </w:r>
      <w:r w:rsidRPr="005D6FCC">
        <w:rPr>
          <w:rFonts w:cs="Times New Roman"/>
        </w:rPr>
        <w:tab/>
        <w:t xml:space="preserve">Okello M, </w:t>
      </w:r>
      <w:proofErr w:type="spellStart"/>
      <w:r w:rsidRPr="005D6FCC">
        <w:rPr>
          <w:rFonts w:cs="Times New Roman"/>
        </w:rPr>
        <w:t>Makobore</w:t>
      </w:r>
      <w:proofErr w:type="spellEnd"/>
      <w:r w:rsidRPr="005D6FCC">
        <w:rPr>
          <w:rFonts w:cs="Times New Roman"/>
        </w:rPr>
        <w:t xml:space="preserve"> P, </w:t>
      </w:r>
      <w:proofErr w:type="spellStart"/>
      <w:r w:rsidRPr="005D6FCC">
        <w:rPr>
          <w:rFonts w:cs="Times New Roman"/>
        </w:rPr>
        <w:t>Wangoda</w:t>
      </w:r>
      <w:proofErr w:type="spellEnd"/>
      <w:r w:rsidRPr="005D6FCC">
        <w:rPr>
          <w:rFonts w:cs="Times New Roman"/>
        </w:rPr>
        <w:t xml:space="preserve"> R, </w:t>
      </w:r>
      <w:proofErr w:type="spellStart"/>
      <w:r w:rsidRPr="005D6FCC">
        <w:rPr>
          <w:rFonts w:cs="Times New Roman"/>
        </w:rPr>
        <w:t>Upoki</w:t>
      </w:r>
      <w:proofErr w:type="spellEnd"/>
      <w:r w:rsidRPr="005D6FCC">
        <w:rPr>
          <w:rFonts w:cs="Times New Roman"/>
        </w:rPr>
        <w:t xml:space="preserve"> A, </w:t>
      </w:r>
      <w:proofErr w:type="spellStart"/>
      <w:r w:rsidRPr="005D6FCC">
        <w:rPr>
          <w:rFonts w:cs="Times New Roman"/>
        </w:rPr>
        <w:t>Galukande</w:t>
      </w:r>
      <w:proofErr w:type="spellEnd"/>
      <w:r w:rsidRPr="005D6FCC">
        <w:rPr>
          <w:rFonts w:cs="Times New Roman"/>
        </w:rPr>
        <w:t xml:space="preserve"> M. Serum lactate as a predictor of early outcomes among trauma patients in Uganda. </w:t>
      </w:r>
      <w:r w:rsidRPr="005D6FCC">
        <w:rPr>
          <w:rFonts w:cs="Times New Roman"/>
          <w:i/>
          <w:iCs/>
        </w:rPr>
        <w:t>International Journal of Emergency Medicine</w:t>
      </w:r>
      <w:r w:rsidRPr="005D6FCC">
        <w:rPr>
          <w:rFonts w:cs="Times New Roman"/>
        </w:rPr>
        <w:t xml:space="preserve"> </w:t>
      </w:r>
      <w:proofErr w:type="gramStart"/>
      <w:r w:rsidRPr="005D6FCC">
        <w:rPr>
          <w:rFonts w:cs="Times New Roman"/>
        </w:rPr>
        <w:t>2014;</w:t>
      </w:r>
      <w:r w:rsidRPr="005D6FCC">
        <w:rPr>
          <w:rFonts w:cs="Times New Roman"/>
          <w:b/>
          <w:bCs/>
        </w:rPr>
        <w:t>7</w:t>
      </w:r>
      <w:r w:rsidRPr="005D6FCC">
        <w:rPr>
          <w:rFonts w:cs="Times New Roman"/>
        </w:rPr>
        <w:t>:20</w:t>
      </w:r>
      <w:proofErr w:type="gramEnd"/>
      <w:r w:rsidRPr="005D6FCC">
        <w:rPr>
          <w:rFonts w:cs="Times New Roman"/>
        </w:rPr>
        <w:t>. https://doi.org/10.1186/s12245-014-0020-9.</w:t>
      </w:r>
    </w:p>
    <w:p w14:paraId="6ECC4229" w14:textId="77777777" w:rsidR="005D6FCC" w:rsidRPr="005D6FCC" w:rsidRDefault="005D6FCC" w:rsidP="005D6FCC">
      <w:pPr>
        <w:pStyle w:val="Bibliography"/>
        <w:rPr>
          <w:rFonts w:cs="Times New Roman"/>
        </w:rPr>
      </w:pPr>
      <w:r w:rsidRPr="005D6FCC">
        <w:rPr>
          <w:rFonts w:cs="Times New Roman"/>
        </w:rPr>
        <w:t>10</w:t>
      </w:r>
      <w:r w:rsidRPr="005D6FCC">
        <w:rPr>
          <w:rFonts w:cs="Times New Roman"/>
        </w:rPr>
        <w:tab/>
      </w:r>
      <w:proofErr w:type="spellStart"/>
      <w:r w:rsidRPr="005D6FCC">
        <w:rPr>
          <w:rFonts w:cs="Times New Roman"/>
        </w:rPr>
        <w:t>Yanala</w:t>
      </w:r>
      <w:proofErr w:type="spellEnd"/>
      <w:r w:rsidRPr="005D6FCC">
        <w:rPr>
          <w:rFonts w:cs="Times New Roman"/>
        </w:rPr>
        <w:t xml:space="preserve"> UR, </w:t>
      </w:r>
      <w:proofErr w:type="spellStart"/>
      <w:r w:rsidRPr="005D6FCC">
        <w:rPr>
          <w:rFonts w:cs="Times New Roman"/>
        </w:rPr>
        <w:t>Johanning</w:t>
      </w:r>
      <w:proofErr w:type="spellEnd"/>
      <w:r w:rsidRPr="005D6FCC">
        <w:rPr>
          <w:rFonts w:cs="Times New Roman"/>
        </w:rPr>
        <w:t xml:space="preserve"> JM, </w:t>
      </w:r>
      <w:proofErr w:type="spellStart"/>
      <w:r w:rsidRPr="005D6FCC">
        <w:rPr>
          <w:rFonts w:cs="Times New Roman"/>
        </w:rPr>
        <w:t>Pipinos</w:t>
      </w:r>
      <w:proofErr w:type="spellEnd"/>
      <w:r w:rsidRPr="005D6FCC">
        <w:rPr>
          <w:rFonts w:cs="Times New Roman"/>
        </w:rPr>
        <w:t xml:space="preserve"> II, High RR, Larsen G, </w:t>
      </w:r>
      <w:proofErr w:type="spellStart"/>
      <w:r w:rsidRPr="005D6FCC">
        <w:rPr>
          <w:rFonts w:cs="Times New Roman"/>
        </w:rPr>
        <w:t>Velander</w:t>
      </w:r>
      <w:proofErr w:type="spellEnd"/>
      <w:r w:rsidRPr="005D6FCC">
        <w:rPr>
          <w:rFonts w:cs="Times New Roman"/>
        </w:rPr>
        <w:t xml:space="preserve"> WH, </w:t>
      </w:r>
      <w:r w:rsidRPr="005D6FCC">
        <w:rPr>
          <w:rFonts w:cs="Times New Roman"/>
          <w:i/>
          <w:iCs/>
        </w:rPr>
        <w:t>et al.</w:t>
      </w:r>
      <w:r w:rsidRPr="005D6FCC">
        <w:rPr>
          <w:rFonts w:cs="Times New Roman"/>
        </w:rPr>
        <w:t xml:space="preserve"> Fluid administration rate for uncontrolled intraabdominal hemorrhage in swine. </w:t>
      </w:r>
      <w:r w:rsidRPr="005D6FCC">
        <w:rPr>
          <w:rFonts w:cs="Times New Roman"/>
          <w:i/>
          <w:iCs/>
        </w:rPr>
        <w:t>PLOS ONE</w:t>
      </w:r>
      <w:r w:rsidRPr="005D6FCC">
        <w:rPr>
          <w:rFonts w:cs="Times New Roman"/>
        </w:rPr>
        <w:t xml:space="preserve"> 2018;</w:t>
      </w:r>
      <w:proofErr w:type="gramStart"/>
      <w:r w:rsidRPr="005D6FCC">
        <w:rPr>
          <w:rFonts w:cs="Times New Roman"/>
          <w:b/>
          <w:bCs/>
        </w:rPr>
        <w:t>13</w:t>
      </w:r>
      <w:r w:rsidRPr="005D6FCC">
        <w:rPr>
          <w:rFonts w:cs="Times New Roman"/>
        </w:rPr>
        <w:t>:e</w:t>
      </w:r>
      <w:proofErr w:type="gramEnd"/>
      <w:r w:rsidRPr="005D6FCC">
        <w:rPr>
          <w:rFonts w:cs="Times New Roman"/>
        </w:rPr>
        <w:t>0207708. https://doi.org/10.1371/journal.pone.0207708.</w:t>
      </w:r>
    </w:p>
    <w:p w14:paraId="2D130326" w14:textId="77777777" w:rsidR="005D6FCC" w:rsidRPr="005D6FCC" w:rsidRDefault="005D6FCC" w:rsidP="005D6FCC">
      <w:pPr>
        <w:pStyle w:val="Bibliography"/>
        <w:rPr>
          <w:rFonts w:cs="Times New Roman"/>
        </w:rPr>
      </w:pPr>
      <w:r w:rsidRPr="005D6FCC">
        <w:rPr>
          <w:rFonts w:cs="Times New Roman"/>
        </w:rPr>
        <w:t>11</w:t>
      </w:r>
      <w:r w:rsidRPr="005D6FCC">
        <w:rPr>
          <w:rFonts w:cs="Times New Roman"/>
        </w:rPr>
        <w:tab/>
      </w:r>
      <w:proofErr w:type="spellStart"/>
      <w:r w:rsidRPr="005D6FCC">
        <w:rPr>
          <w:rFonts w:cs="Times New Roman"/>
        </w:rPr>
        <w:t>Siggaard</w:t>
      </w:r>
      <w:proofErr w:type="spellEnd"/>
      <w:r w:rsidRPr="005D6FCC">
        <w:rPr>
          <w:rFonts w:cs="Times New Roman"/>
        </w:rPr>
        <w:t xml:space="preserve">-Andersen O, Wimberley PD, </w:t>
      </w:r>
      <w:proofErr w:type="spellStart"/>
      <w:r w:rsidRPr="005D6FCC">
        <w:rPr>
          <w:rFonts w:cs="Times New Roman"/>
        </w:rPr>
        <w:t>Göthgen</w:t>
      </w:r>
      <w:proofErr w:type="spellEnd"/>
      <w:r w:rsidRPr="005D6FCC">
        <w:rPr>
          <w:rFonts w:cs="Times New Roman"/>
        </w:rPr>
        <w:t xml:space="preserve"> I, </w:t>
      </w:r>
      <w:proofErr w:type="spellStart"/>
      <w:r w:rsidRPr="005D6FCC">
        <w:rPr>
          <w:rFonts w:cs="Times New Roman"/>
        </w:rPr>
        <w:t>Siggaard</w:t>
      </w:r>
      <w:proofErr w:type="spellEnd"/>
      <w:r w:rsidRPr="005D6FCC">
        <w:rPr>
          <w:rFonts w:cs="Times New Roman"/>
        </w:rPr>
        <w:t xml:space="preserve">-Andersen M. A mathematical model of the hemoglobin-oxygen dissociation curve of human blood and of the oxygen partial pressure as a function of temperature. </w:t>
      </w:r>
      <w:r w:rsidRPr="005D6FCC">
        <w:rPr>
          <w:rFonts w:cs="Times New Roman"/>
          <w:i/>
          <w:iCs/>
        </w:rPr>
        <w:t>Clinical Chemistry</w:t>
      </w:r>
      <w:r w:rsidRPr="005D6FCC">
        <w:rPr>
          <w:rFonts w:cs="Times New Roman"/>
        </w:rPr>
        <w:t xml:space="preserve"> </w:t>
      </w:r>
      <w:proofErr w:type="gramStart"/>
      <w:r w:rsidRPr="005D6FCC">
        <w:rPr>
          <w:rFonts w:cs="Times New Roman"/>
        </w:rPr>
        <w:t>1984;</w:t>
      </w:r>
      <w:r w:rsidRPr="005D6FCC">
        <w:rPr>
          <w:rFonts w:cs="Times New Roman"/>
          <w:b/>
          <w:bCs/>
        </w:rPr>
        <w:t>30</w:t>
      </w:r>
      <w:r w:rsidRPr="005D6FCC">
        <w:rPr>
          <w:rFonts w:cs="Times New Roman"/>
        </w:rPr>
        <w:t>:1646</w:t>
      </w:r>
      <w:proofErr w:type="gramEnd"/>
      <w:r w:rsidRPr="005D6FCC">
        <w:rPr>
          <w:rFonts w:cs="Times New Roman"/>
        </w:rPr>
        <w:t>–51. https://doi.org/10.1093/clinchem/30.10.1646.</w:t>
      </w:r>
    </w:p>
    <w:p w14:paraId="4D6CA424" w14:textId="77777777" w:rsidR="005D6FCC" w:rsidRPr="005D6FCC" w:rsidRDefault="005D6FCC" w:rsidP="005D6FCC">
      <w:pPr>
        <w:pStyle w:val="Bibliography"/>
        <w:rPr>
          <w:rFonts w:cs="Times New Roman"/>
        </w:rPr>
      </w:pPr>
      <w:r w:rsidRPr="005D6FCC">
        <w:rPr>
          <w:rFonts w:cs="Times New Roman"/>
        </w:rPr>
        <w:t>12</w:t>
      </w:r>
      <w:r w:rsidRPr="005D6FCC">
        <w:rPr>
          <w:rFonts w:cs="Times New Roman"/>
        </w:rPr>
        <w:tab/>
        <w:t xml:space="preserve">Rees SE, </w:t>
      </w:r>
      <w:proofErr w:type="spellStart"/>
      <w:r w:rsidRPr="005D6FCC">
        <w:rPr>
          <w:rFonts w:cs="Times New Roman"/>
        </w:rPr>
        <w:t>Andreassen</w:t>
      </w:r>
      <w:proofErr w:type="spellEnd"/>
      <w:r w:rsidRPr="005D6FCC">
        <w:rPr>
          <w:rFonts w:cs="Times New Roman"/>
        </w:rPr>
        <w:t xml:space="preserve"> S. Mathematical Models of Oxygen and Carbon Dioxide Storage and Transport: The Acid-Base Chemistry of Blood. </w:t>
      </w:r>
      <w:r w:rsidRPr="005D6FCC">
        <w:rPr>
          <w:rFonts w:cs="Times New Roman"/>
          <w:i/>
          <w:iCs/>
        </w:rPr>
        <w:t>CRB</w:t>
      </w:r>
      <w:r w:rsidRPr="005D6FCC">
        <w:rPr>
          <w:rFonts w:cs="Times New Roman"/>
        </w:rPr>
        <w:t xml:space="preserve"> </w:t>
      </w:r>
      <w:proofErr w:type="gramStart"/>
      <w:r w:rsidRPr="005D6FCC">
        <w:rPr>
          <w:rFonts w:cs="Times New Roman"/>
        </w:rPr>
        <w:t>2005;</w:t>
      </w:r>
      <w:r w:rsidRPr="005D6FCC">
        <w:rPr>
          <w:rFonts w:cs="Times New Roman"/>
          <w:b/>
          <w:bCs/>
        </w:rPr>
        <w:t>33</w:t>
      </w:r>
      <w:r w:rsidRPr="005D6FCC">
        <w:rPr>
          <w:rFonts w:cs="Times New Roman"/>
        </w:rPr>
        <w:t>:.</w:t>
      </w:r>
      <w:proofErr w:type="gramEnd"/>
      <w:r w:rsidRPr="005D6FCC">
        <w:rPr>
          <w:rFonts w:cs="Times New Roman"/>
        </w:rPr>
        <w:t xml:space="preserve"> https://doi.org/10.1615/CritRevBiomedEng.v33.i3.10.</w:t>
      </w:r>
    </w:p>
    <w:p w14:paraId="5BE1E306" w14:textId="77777777" w:rsidR="005D6FCC" w:rsidRPr="005D6FCC" w:rsidRDefault="005D6FCC" w:rsidP="005D6FCC">
      <w:pPr>
        <w:pStyle w:val="Bibliography"/>
        <w:rPr>
          <w:rFonts w:cs="Times New Roman"/>
        </w:rPr>
      </w:pPr>
      <w:r w:rsidRPr="005D6FCC">
        <w:rPr>
          <w:rFonts w:cs="Times New Roman"/>
        </w:rPr>
        <w:t>13</w:t>
      </w:r>
      <w:r w:rsidRPr="005D6FCC">
        <w:rPr>
          <w:rFonts w:cs="Times New Roman"/>
        </w:rPr>
        <w:tab/>
      </w:r>
      <w:proofErr w:type="spellStart"/>
      <w:r w:rsidRPr="005D6FCC">
        <w:rPr>
          <w:rFonts w:cs="Times New Roman"/>
        </w:rPr>
        <w:t>Kjelland</w:t>
      </w:r>
      <w:proofErr w:type="spellEnd"/>
      <w:r w:rsidRPr="005D6FCC">
        <w:rPr>
          <w:rFonts w:cs="Times New Roman"/>
        </w:rPr>
        <w:t xml:space="preserve"> CB, </w:t>
      </w:r>
      <w:proofErr w:type="spellStart"/>
      <w:r w:rsidRPr="005D6FCC">
        <w:rPr>
          <w:rFonts w:cs="Times New Roman"/>
        </w:rPr>
        <w:t>Djogovic</w:t>
      </w:r>
      <w:proofErr w:type="spellEnd"/>
      <w:r w:rsidRPr="005D6FCC">
        <w:rPr>
          <w:rFonts w:cs="Times New Roman"/>
        </w:rPr>
        <w:t xml:space="preserve"> D. The Role of Serum Lactate in the Acute Care Setting. </w:t>
      </w:r>
      <w:r w:rsidRPr="005D6FCC">
        <w:rPr>
          <w:rFonts w:cs="Times New Roman"/>
          <w:i/>
          <w:iCs/>
        </w:rPr>
        <w:t>J Intensive Care Med</w:t>
      </w:r>
      <w:r w:rsidRPr="005D6FCC">
        <w:rPr>
          <w:rFonts w:cs="Times New Roman"/>
        </w:rPr>
        <w:t xml:space="preserve"> </w:t>
      </w:r>
      <w:proofErr w:type="gramStart"/>
      <w:r w:rsidRPr="005D6FCC">
        <w:rPr>
          <w:rFonts w:cs="Times New Roman"/>
        </w:rPr>
        <w:t>2010;</w:t>
      </w:r>
      <w:r w:rsidRPr="005D6FCC">
        <w:rPr>
          <w:rFonts w:cs="Times New Roman"/>
          <w:b/>
          <w:bCs/>
        </w:rPr>
        <w:t>25</w:t>
      </w:r>
      <w:r w:rsidRPr="005D6FCC">
        <w:rPr>
          <w:rFonts w:cs="Times New Roman"/>
        </w:rPr>
        <w:t>:286</w:t>
      </w:r>
      <w:proofErr w:type="gramEnd"/>
      <w:r w:rsidRPr="005D6FCC">
        <w:rPr>
          <w:rFonts w:cs="Times New Roman"/>
        </w:rPr>
        <w:t>–300. https://doi.org/10.1177/0885066610371191.</w:t>
      </w:r>
    </w:p>
    <w:p w14:paraId="03CF573E" w14:textId="77777777" w:rsidR="005D6FCC" w:rsidRPr="005D6FCC" w:rsidRDefault="005D6FCC" w:rsidP="005D6FCC">
      <w:pPr>
        <w:pStyle w:val="Bibliography"/>
        <w:rPr>
          <w:rFonts w:cs="Times New Roman"/>
        </w:rPr>
      </w:pPr>
      <w:r w:rsidRPr="005D6FCC">
        <w:rPr>
          <w:rFonts w:cs="Times New Roman"/>
        </w:rPr>
        <w:t>14</w:t>
      </w:r>
      <w:r w:rsidRPr="005D6FCC">
        <w:rPr>
          <w:rFonts w:cs="Times New Roman"/>
        </w:rPr>
        <w:tab/>
        <w:t xml:space="preserve">Holcomb JB, Tilley BC, </w:t>
      </w:r>
      <w:proofErr w:type="spellStart"/>
      <w:r w:rsidRPr="005D6FCC">
        <w:rPr>
          <w:rFonts w:cs="Times New Roman"/>
        </w:rPr>
        <w:t>Baraniuk</w:t>
      </w:r>
      <w:proofErr w:type="spellEnd"/>
      <w:r w:rsidRPr="005D6FCC">
        <w:rPr>
          <w:rFonts w:cs="Times New Roman"/>
        </w:rPr>
        <w:t xml:space="preserve"> S, Fox EE, Wade CE, </w:t>
      </w:r>
      <w:proofErr w:type="spellStart"/>
      <w:r w:rsidRPr="005D6FCC">
        <w:rPr>
          <w:rFonts w:cs="Times New Roman"/>
        </w:rPr>
        <w:t>Podbielski</w:t>
      </w:r>
      <w:proofErr w:type="spellEnd"/>
      <w:r w:rsidRPr="005D6FCC">
        <w:rPr>
          <w:rFonts w:cs="Times New Roman"/>
        </w:rPr>
        <w:t xml:space="preserve"> JM, </w:t>
      </w:r>
      <w:r w:rsidRPr="005D6FCC">
        <w:rPr>
          <w:rFonts w:cs="Times New Roman"/>
          <w:i/>
          <w:iCs/>
        </w:rPr>
        <w:t>et al.</w:t>
      </w:r>
      <w:r w:rsidRPr="005D6FCC">
        <w:rPr>
          <w:rFonts w:cs="Times New Roman"/>
        </w:rPr>
        <w:t xml:space="preserve"> Transfusion of Plasma, Platelets, and Red Blood Cells in a 1:1:1 vs a 1:1:2 Ratio and Mortality in Patients </w:t>
      </w:r>
      <w:proofErr w:type="gramStart"/>
      <w:r w:rsidRPr="005D6FCC">
        <w:rPr>
          <w:rFonts w:cs="Times New Roman"/>
        </w:rPr>
        <w:t>With</w:t>
      </w:r>
      <w:proofErr w:type="gramEnd"/>
      <w:r w:rsidRPr="005D6FCC">
        <w:rPr>
          <w:rFonts w:cs="Times New Roman"/>
        </w:rPr>
        <w:t xml:space="preserve"> Severe Trauma. </w:t>
      </w:r>
      <w:r w:rsidRPr="005D6FCC">
        <w:rPr>
          <w:rFonts w:cs="Times New Roman"/>
          <w:i/>
          <w:iCs/>
        </w:rPr>
        <w:t>JAMA</w:t>
      </w:r>
      <w:r w:rsidRPr="005D6FCC">
        <w:rPr>
          <w:rFonts w:cs="Times New Roman"/>
        </w:rPr>
        <w:t xml:space="preserve"> </w:t>
      </w:r>
      <w:proofErr w:type="gramStart"/>
      <w:r w:rsidRPr="005D6FCC">
        <w:rPr>
          <w:rFonts w:cs="Times New Roman"/>
        </w:rPr>
        <w:t>2015;</w:t>
      </w:r>
      <w:r w:rsidRPr="005D6FCC">
        <w:rPr>
          <w:rFonts w:cs="Times New Roman"/>
          <w:b/>
          <w:bCs/>
        </w:rPr>
        <w:t>313</w:t>
      </w:r>
      <w:r w:rsidRPr="005D6FCC">
        <w:rPr>
          <w:rFonts w:cs="Times New Roman"/>
        </w:rPr>
        <w:t>:471</w:t>
      </w:r>
      <w:proofErr w:type="gramEnd"/>
      <w:r w:rsidRPr="005D6FCC">
        <w:rPr>
          <w:rFonts w:cs="Times New Roman"/>
        </w:rPr>
        <w:t>–82. https://doi.org/10.1001/jama.2015.12.</w:t>
      </w:r>
    </w:p>
    <w:p w14:paraId="445294E1" w14:textId="77777777" w:rsidR="005D6FCC" w:rsidRPr="005D6FCC" w:rsidRDefault="005D6FCC" w:rsidP="005D6FCC">
      <w:pPr>
        <w:pStyle w:val="Bibliography"/>
        <w:rPr>
          <w:rFonts w:cs="Times New Roman"/>
        </w:rPr>
      </w:pPr>
      <w:r w:rsidRPr="005D6FCC">
        <w:rPr>
          <w:rFonts w:cs="Times New Roman"/>
        </w:rPr>
        <w:t>15</w:t>
      </w:r>
      <w:r w:rsidRPr="005D6FCC">
        <w:rPr>
          <w:rFonts w:cs="Times New Roman"/>
        </w:rPr>
        <w:tab/>
      </w:r>
      <w:proofErr w:type="spellStart"/>
      <w:r w:rsidRPr="005D6FCC">
        <w:rPr>
          <w:rFonts w:cs="Times New Roman"/>
        </w:rPr>
        <w:t>Régnier</w:t>
      </w:r>
      <w:proofErr w:type="spellEnd"/>
      <w:r w:rsidRPr="005D6FCC">
        <w:rPr>
          <w:rFonts w:cs="Times New Roman"/>
        </w:rPr>
        <w:t xml:space="preserve"> M-A, </w:t>
      </w:r>
      <w:proofErr w:type="spellStart"/>
      <w:r w:rsidRPr="005D6FCC">
        <w:rPr>
          <w:rFonts w:cs="Times New Roman"/>
        </w:rPr>
        <w:t>Raux</w:t>
      </w:r>
      <w:proofErr w:type="spellEnd"/>
      <w:r w:rsidRPr="005D6FCC">
        <w:rPr>
          <w:rFonts w:cs="Times New Roman"/>
        </w:rPr>
        <w:t xml:space="preserve"> M, Le </w:t>
      </w:r>
      <w:proofErr w:type="spellStart"/>
      <w:r w:rsidRPr="005D6FCC">
        <w:rPr>
          <w:rFonts w:cs="Times New Roman"/>
        </w:rPr>
        <w:t>Manach</w:t>
      </w:r>
      <w:proofErr w:type="spellEnd"/>
      <w:r w:rsidRPr="005D6FCC">
        <w:rPr>
          <w:rFonts w:cs="Times New Roman"/>
        </w:rPr>
        <w:t xml:space="preserve"> Y, </w:t>
      </w:r>
      <w:proofErr w:type="spellStart"/>
      <w:r w:rsidRPr="005D6FCC">
        <w:rPr>
          <w:rFonts w:cs="Times New Roman"/>
        </w:rPr>
        <w:t>Asencio</w:t>
      </w:r>
      <w:proofErr w:type="spellEnd"/>
      <w:r w:rsidRPr="005D6FCC">
        <w:rPr>
          <w:rFonts w:cs="Times New Roman"/>
        </w:rPr>
        <w:t xml:space="preserve"> Y, Gaillard J, </w:t>
      </w:r>
      <w:proofErr w:type="spellStart"/>
      <w:r w:rsidRPr="005D6FCC">
        <w:rPr>
          <w:rFonts w:cs="Times New Roman"/>
        </w:rPr>
        <w:t>Devilliers</w:t>
      </w:r>
      <w:proofErr w:type="spellEnd"/>
      <w:r w:rsidRPr="005D6FCC">
        <w:rPr>
          <w:rFonts w:cs="Times New Roman"/>
        </w:rPr>
        <w:t xml:space="preserve"> C, </w:t>
      </w:r>
      <w:r w:rsidRPr="005D6FCC">
        <w:rPr>
          <w:rFonts w:cs="Times New Roman"/>
          <w:i/>
          <w:iCs/>
        </w:rPr>
        <w:t>et al.</w:t>
      </w:r>
      <w:r w:rsidRPr="005D6FCC">
        <w:rPr>
          <w:rFonts w:cs="Times New Roman"/>
        </w:rPr>
        <w:t xml:space="preserve"> Prognostic significance of blood lactate and lactate clearance in trauma patients. </w:t>
      </w:r>
      <w:r w:rsidRPr="005D6FCC">
        <w:rPr>
          <w:rFonts w:cs="Times New Roman"/>
          <w:i/>
          <w:iCs/>
        </w:rPr>
        <w:t>Anesthesiology</w:t>
      </w:r>
      <w:r w:rsidRPr="005D6FCC">
        <w:rPr>
          <w:rFonts w:cs="Times New Roman"/>
        </w:rPr>
        <w:t xml:space="preserve"> </w:t>
      </w:r>
      <w:proofErr w:type="gramStart"/>
      <w:r w:rsidRPr="005D6FCC">
        <w:rPr>
          <w:rFonts w:cs="Times New Roman"/>
        </w:rPr>
        <w:t>2012;</w:t>
      </w:r>
      <w:r w:rsidRPr="005D6FCC">
        <w:rPr>
          <w:rFonts w:cs="Times New Roman"/>
          <w:b/>
          <w:bCs/>
        </w:rPr>
        <w:t>117</w:t>
      </w:r>
      <w:r w:rsidRPr="005D6FCC">
        <w:rPr>
          <w:rFonts w:cs="Times New Roman"/>
        </w:rPr>
        <w:t>:1276</w:t>
      </w:r>
      <w:proofErr w:type="gramEnd"/>
      <w:r w:rsidRPr="005D6FCC">
        <w:rPr>
          <w:rFonts w:cs="Times New Roman"/>
        </w:rPr>
        <w:t>–88. https://doi.org/10.1097/ALN.0b013e318273349d.</w:t>
      </w:r>
    </w:p>
    <w:p w14:paraId="2F264DC9" w14:textId="77777777" w:rsidR="005D6FCC" w:rsidRPr="005D6FCC" w:rsidRDefault="005D6FCC" w:rsidP="005D6FCC">
      <w:pPr>
        <w:pStyle w:val="Bibliography"/>
        <w:rPr>
          <w:rFonts w:cs="Times New Roman"/>
        </w:rPr>
      </w:pPr>
      <w:r w:rsidRPr="005D6FCC">
        <w:rPr>
          <w:rFonts w:cs="Times New Roman"/>
        </w:rPr>
        <w:t>16</w:t>
      </w:r>
      <w:r w:rsidRPr="005D6FCC">
        <w:rPr>
          <w:rFonts w:cs="Times New Roman"/>
        </w:rPr>
        <w:tab/>
      </w:r>
      <w:proofErr w:type="spellStart"/>
      <w:r w:rsidRPr="005D6FCC">
        <w:rPr>
          <w:rFonts w:cs="Times New Roman"/>
        </w:rPr>
        <w:t>Bolliger</w:t>
      </w:r>
      <w:proofErr w:type="spellEnd"/>
      <w:r w:rsidRPr="005D6FCC">
        <w:rPr>
          <w:rFonts w:cs="Times New Roman"/>
        </w:rPr>
        <w:t xml:space="preserve"> D, </w:t>
      </w:r>
      <w:proofErr w:type="spellStart"/>
      <w:r w:rsidRPr="005D6FCC">
        <w:rPr>
          <w:rFonts w:cs="Times New Roman"/>
        </w:rPr>
        <w:t>Görlinger</w:t>
      </w:r>
      <w:proofErr w:type="spellEnd"/>
      <w:r w:rsidRPr="005D6FCC">
        <w:rPr>
          <w:rFonts w:cs="Times New Roman"/>
        </w:rPr>
        <w:t xml:space="preserve"> K, Tanaka KA, Warner DS. Pathophysiology and Treatment of Coagulopathy in Massive Hemorrhage and Hemodilution. </w:t>
      </w:r>
      <w:r w:rsidRPr="005D6FCC">
        <w:rPr>
          <w:rFonts w:cs="Times New Roman"/>
          <w:i/>
          <w:iCs/>
        </w:rPr>
        <w:t>Anesthesiology</w:t>
      </w:r>
      <w:r w:rsidRPr="005D6FCC">
        <w:rPr>
          <w:rFonts w:cs="Times New Roman"/>
        </w:rPr>
        <w:t xml:space="preserve"> </w:t>
      </w:r>
      <w:proofErr w:type="gramStart"/>
      <w:r w:rsidRPr="005D6FCC">
        <w:rPr>
          <w:rFonts w:cs="Times New Roman"/>
        </w:rPr>
        <w:t>2010;</w:t>
      </w:r>
      <w:r w:rsidRPr="005D6FCC">
        <w:rPr>
          <w:rFonts w:cs="Times New Roman"/>
          <w:b/>
          <w:bCs/>
        </w:rPr>
        <w:t>113</w:t>
      </w:r>
      <w:r w:rsidRPr="005D6FCC">
        <w:rPr>
          <w:rFonts w:cs="Times New Roman"/>
        </w:rPr>
        <w:t>:1205</w:t>
      </w:r>
      <w:proofErr w:type="gramEnd"/>
      <w:r w:rsidRPr="005D6FCC">
        <w:rPr>
          <w:rFonts w:cs="Times New Roman"/>
        </w:rPr>
        <w:t>–19. https://doi.org/10.1097/ALN.0b013e3181f22b5a.</w:t>
      </w:r>
    </w:p>
    <w:p w14:paraId="6B82EDE3" w14:textId="77777777" w:rsidR="005D6FCC" w:rsidRPr="005D6FCC" w:rsidRDefault="005D6FCC" w:rsidP="005D6FCC">
      <w:pPr>
        <w:pStyle w:val="Bibliography"/>
        <w:rPr>
          <w:rFonts w:cs="Times New Roman"/>
        </w:rPr>
      </w:pPr>
      <w:r w:rsidRPr="005D6FCC">
        <w:rPr>
          <w:rFonts w:cs="Times New Roman"/>
        </w:rPr>
        <w:lastRenderedPageBreak/>
        <w:t>17</w:t>
      </w:r>
      <w:r w:rsidRPr="005D6FCC">
        <w:rPr>
          <w:rFonts w:cs="Times New Roman"/>
        </w:rPr>
        <w:tab/>
        <w:t xml:space="preserve">Sihler KC, Napolitano LM. Complications of Massive Transfusion. </w:t>
      </w:r>
      <w:r w:rsidRPr="005D6FCC">
        <w:rPr>
          <w:rFonts w:cs="Times New Roman"/>
          <w:i/>
          <w:iCs/>
        </w:rPr>
        <w:t>Chest</w:t>
      </w:r>
      <w:r w:rsidRPr="005D6FCC">
        <w:rPr>
          <w:rFonts w:cs="Times New Roman"/>
        </w:rPr>
        <w:t xml:space="preserve"> </w:t>
      </w:r>
      <w:proofErr w:type="gramStart"/>
      <w:r w:rsidRPr="005D6FCC">
        <w:rPr>
          <w:rFonts w:cs="Times New Roman"/>
        </w:rPr>
        <w:t>2010;</w:t>
      </w:r>
      <w:r w:rsidRPr="005D6FCC">
        <w:rPr>
          <w:rFonts w:cs="Times New Roman"/>
          <w:b/>
          <w:bCs/>
        </w:rPr>
        <w:t>137</w:t>
      </w:r>
      <w:r w:rsidRPr="005D6FCC">
        <w:rPr>
          <w:rFonts w:cs="Times New Roman"/>
        </w:rPr>
        <w:t>:209</w:t>
      </w:r>
      <w:proofErr w:type="gramEnd"/>
      <w:r w:rsidRPr="005D6FCC">
        <w:rPr>
          <w:rFonts w:cs="Times New Roman"/>
        </w:rPr>
        <w:t>–20. https://doi.org/10.1378/chest.09-0252.</w:t>
      </w:r>
    </w:p>
    <w:p w14:paraId="18ECFD73" w14:textId="77777777" w:rsidR="005D6FCC" w:rsidRPr="005D6FCC" w:rsidRDefault="005D6FCC" w:rsidP="005D6FCC">
      <w:pPr>
        <w:pStyle w:val="Bibliography"/>
        <w:rPr>
          <w:rFonts w:cs="Times New Roman"/>
        </w:rPr>
      </w:pPr>
      <w:r w:rsidRPr="005D6FCC">
        <w:rPr>
          <w:rFonts w:cs="Times New Roman"/>
        </w:rPr>
        <w:t>18</w:t>
      </w:r>
      <w:r w:rsidRPr="005D6FCC">
        <w:rPr>
          <w:rFonts w:cs="Times New Roman"/>
        </w:rPr>
        <w:tab/>
      </w:r>
      <w:proofErr w:type="spellStart"/>
      <w:r w:rsidRPr="005D6FCC">
        <w:rPr>
          <w:rFonts w:cs="Times New Roman"/>
        </w:rPr>
        <w:t>Spinella</w:t>
      </w:r>
      <w:proofErr w:type="spellEnd"/>
      <w:r w:rsidRPr="005D6FCC">
        <w:rPr>
          <w:rFonts w:cs="Times New Roman"/>
        </w:rPr>
        <w:t xml:space="preserve"> PC, Holcomb JB. Resuscitation and transfusion principles for traumatic hemorrhagic shock. </w:t>
      </w:r>
      <w:r w:rsidRPr="005D6FCC">
        <w:rPr>
          <w:rFonts w:cs="Times New Roman"/>
          <w:i/>
          <w:iCs/>
        </w:rPr>
        <w:t>Blood Reviews</w:t>
      </w:r>
      <w:r w:rsidRPr="005D6FCC">
        <w:rPr>
          <w:rFonts w:cs="Times New Roman"/>
        </w:rPr>
        <w:t xml:space="preserve"> </w:t>
      </w:r>
      <w:proofErr w:type="gramStart"/>
      <w:r w:rsidRPr="005D6FCC">
        <w:rPr>
          <w:rFonts w:cs="Times New Roman"/>
        </w:rPr>
        <w:t>2009;</w:t>
      </w:r>
      <w:r w:rsidRPr="005D6FCC">
        <w:rPr>
          <w:rFonts w:cs="Times New Roman"/>
          <w:b/>
          <w:bCs/>
        </w:rPr>
        <w:t>23</w:t>
      </w:r>
      <w:r w:rsidRPr="005D6FCC">
        <w:rPr>
          <w:rFonts w:cs="Times New Roman"/>
        </w:rPr>
        <w:t>:231</w:t>
      </w:r>
      <w:proofErr w:type="gramEnd"/>
      <w:r w:rsidRPr="005D6FCC">
        <w:rPr>
          <w:rFonts w:cs="Times New Roman"/>
        </w:rPr>
        <w:t>–40. https://doi.org/10.1016/j.blre.2009.07.003.</w:t>
      </w:r>
    </w:p>
    <w:p w14:paraId="56C3F27A" w14:textId="77777777" w:rsidR="005D6FCC" w:rsidRPr="005D6FCC" w:rsidRDefault="005D6FCC" w:rsidP="005D6FCC">
      <w:pPr>
        <w:pStyle w:val="Bibliography"/>
        <w:rPr>
          <w:rFonts w:cs="Times New Roman"/>
        </w:rPr>
      </w:pPr>
      <w:r w:rsidRPr="005D6FCC">
        <w:rPr>
          <w:rFonts w:cs="Times New Roman"/>
        </w:rPr>
        <w:t>19</w:t>
      </w:r>
      <w:r w:rsidRPr="005D6FCC">
        <w:rPr>
          <w:rFonts w:cs="Times New Roman"/>
        </w:rPr>
        <w:tab/>
      </w:r>
      <w:proofErr w:type="spellStart"/>
      <w:r w:rsidRPr="005D6FCC">
        <w:rPr>
          <w:rFonts w:cs="Times New Roman"/>
        </w:rPr>
        <w:t>Ursino</w:t>
      </w:r>
      <w:proofErr w:type="spellEnd"/>
      <w:r w:rsidRPr="005D6FCC">
        <w:rPr>
          <w:rFonts w:cs="Times New Roman"/>
        </w:rPr>
        <w:t xml:space="preserve"> M, Lodi CA. Interaction among autoregulation, CO2 reactivity, and intracranial pressure: a mathematical model. </w:t>
      </w:r>
      <w:r w:rsidRPr="005D6FCC">
        <w:rPr>
          <w:rFonts w:cs="Times New Roman"/>
          <w:i/>
          <w:iCs/>
        </w:rPr>
        <w:t>American Journal of Physiology-Heart and Circulatory Physiology</w:t>
      </w:r>
      <w:r w:rsidRPr="005D6FCC">
        <w:rPr>
          <w:rFonts w:cs="Times New Roman"/>
        </w:rPr>
        <w:t xml:space="preserve"> 1998;</w:t>
      </w:r>
      <w:r w:rsidRPr="005D6FCC">
        <w:rPr>
          <w:rFonts w:cs="Times New Roman"/>
          <w:b/>
          <w:bCs/>
        </w:rPr>
        <w:t>274</w:t>
      </w:r>
      <w:r w:rsidRPr="005D6FCC">
        <w:rPr>
          <w:rFonts w:cs="Times New Roman"/>
        </w:rPr>
        <w:t>:H1715–28. https://doi.org/10.1152/ajpheart.1998.274.5.H1715.</w:t>
      </w:r>
    </w:p>
    <w:p w14:paraId="363A1A06" w14:textId="77777777" w:rsidR="005D6FCC" w:rsidRPr="005D6FCC" w:rsidRDefault="005D6FCC" w:rsidP="005D6FCC">
      <w:pPr>
        <w:pStyle w:val="Bibliography"/>
        <w:rPr>
          <w:rFonts w:cs="Times New Roman"/>
        </w:rPr>
      </w:pPr>
      <w:r w:rsidRPr="005D6FCC">
        <w:rPr>
          <w:rFonts w:cs="Times New Roman"/>
        </w:rPr>
        <w:t>20</w:t>
      </w:r>
      <w:r w:rsidRPr="005D6FCC">
        <w:rPr>
          <w:rFonts w:cs="Times New Roman"/>
        </w:rPr>
        <w:tab/>
        <w:t xml:space="preserve">Albanese A, Cheng L, </w:t>
      </w:r>
      <w:proofErr w:type="spellStart"/>
      <w:r w:rsidRPr="005D6FCC">
        <w:rPr>
          <w:rFonts w:cs="Times New Roman"/>
        </w:rPr>
        <w:t>Ursino</w:t>
      </w:r>
      <w:proofErr w:type="spellEnd"/>
      <w:r w:rsidRPr="005D6FCC">
        <w:rPr>
          <w:rFonts w:cs="Times New Roman"/>
        </w:rPr>
        <w:t xml:space="preserve"> M, </w:t>
      </w:r>
      <w:proofErr w:type="spellStart"/>
      <w:r w:rsidRPr="005D6FCC">
        <w:rPr>
          <w:rFonts w:cs="Times New Roman"/>
        </w:rPr>
        <w:t>Chbat</w:t>
      </w:r>
      <w:proofErr w:type="spellEnd"/>
      <w:r w:rsidRPr="005D6FCC">
        <w:rPr>
          <w:rFonts w:cs="Times New Roman"/>
        </w:rPr>
        <w:t xml:space="preserve"> NW. An integrated mathematical model of the human cardiopulmonary system: model development. </w:t>
      </w:r>
      <w:r w:rsidRPr="005D6FCC">
        <w:rPr>
          <w:rFonts w:cs="Times New Roman"/>
          <w:i/>
          <w:iCs/>
        </w:rPr>
        <w:t>American Journal of Physiology-Heart and Circulatory Physiology</w:t>
      </w:r>
      <w:r w:rsidRPr="005D6FCC">
        <w:rPr>
          <w:rFonts w:cs="Times New Roman"/>
        </w:rPr>
        <w:t xml:space="preserve"> 2016;</w:t>
      </w:r>
      <w:r w:rsidRPr="005D6FCC">
        <w:rPr>
          <w:rFonts w:cs="Times New Roman"/>
          <w:b/>
          <w:bCs/>
        </w:rPr>
        <w:t>310</w:t>
      </w:r>
      <w:r w:rsidRPr="005D6FCC">
        <w:rPr>
          <w:rFonts w:cs="Times New Roman"/>
        </w:rPr>
        <w:t>:H899–921. https://doi.org/10.1152/ajpheart.00230.2014.</w:t>
      </w:r>
    </w:p>
    <w:p w14:paraId="6E051AA3" w14:textId="77777777" w:rsidR="005D6FCC" w:rsidRPr="005D6FCC" w:rsidRDefault="005D6FCC" w:rsidP="005D6FCC">
      <w:pPr>
        <w:pStyle w:val="Bibliography"/>
        <w:rPr>
          <w:rFonts w:cs="Times New Roman"/>
        </w:rPr>
      </w:pPr>
      <w:r w:rsidRPr="005D6FCC">
        <w:rPr>
          <w:rFonts w:cs="Times New Roman"/>
        </w:rPr>
        <w:t>21</w:t>
      </w:r>
      <w:r w:rsidRPr="005D6FCC">
        <w:rPr>
          <w:rFonts w:cs="Times New Roman"/>
        </w:rPr>
        <w:tab/>
        <w:t xml:space="preserve">Sarmiento CA, Hernández AM, Serna LY, </w:t>
      </w:r>
      <w:proofErr w:type="spellStart"/>
      <w:r w:rsidRPr="005D6FCC">
        <w:rPr>
          <w:rFonts w:cs="Times New Roman"/>
        </w:rPr>
        <w:t>Mañanas</w:t>
      </w:r>
      <w:proofErr w:type="spellEnd"/>
      <w:r w:rsidRPr="005D6FCC">
        <w:rPr>
          <w:rFonts w:cs="Times New Roman"/>
        </w:rPr>
        <w:t xml:space="preserve"> MÁ. An integrated mathematical model of the cardiovascular and respiratory response to exercise: model-building and comparison with reported models. </w:t>
      </w:r>
      <w:r w:rsidRPr="005D6FCC">
        <w:rPr>
          <w:rFonts w:cs="Times New Roman"/>
          <w:i/>
          <w:iCs/>
        </w:rPr>
        <w:t>American Journal of Physiology-Heart and Circulatory Physiology</w:t>
      </w:r>
      <w:r w:rsidRPr="005D6FCC">
        <w:rPr>
          <w:rFonts w:cs="Times New Roman"/>
        </w:rPr>
        <w:t xml:space="preserve"> 2021;</w:t>
      </w:r>
      <w:r w:rsidRPr="005D6FCC">
        <w:rPr>
          <w:rFonts w:cs="Times New Roman"/>
          <w:b/>
          <w:bCs/>
        </w:rPr>
        <w:t>320</w:t>
      </w:r>
      <w:r w:rsidRPr="005D6FCC">
        <w:rPr>
          <w:rFonts w:cs="Times New Roman"/>
        </w:rPr>
        <w:t>:H1235–60. https://doi.org/10.1152/ajpheart.00074.2020.</w:t>
      </w:r>
    </w:p>
    <w:p w14:paraId="54DBE3D6" w14:textId="77777777" w:rsidR="005D6FCC" w:rsidRPr="005D6FCC" w:rsidRDefault="005D6FCC" w:rsidP="005D6FCC">
      <w:pPr>
        <w:pStyle w:val="Bibliography"/>
        <w:rPr>
          <w:rFonts w:cs="Times New Roman"/>
        </w:rPr>
      </w:pPr>
      <w:r w:rsidRPr="005D6FCC">
        <w:rPr>
          <w:rFonts w:cs="Times New Roman"/>
        </w:rPr>
        <w:t>22</w:t>
      </w:r>
      <w:r w:rsidRPr="005D6FCC">
        <w:rPr>
          <w:rFonts w:cs="Times New Roman"/>
        </w:rPr>
        <w:tab/>
        <w:t xml:space="preserve">Marino M, </w:t>
      </w:r>
      <w:proofErr w:type="spellStart"/>
      <w:r w:rsidRPr="005D6FCC">
        <w:rPr>
          <w:rFonts w:cs="Times New Roman"/>
        </w:rPr>
        <w:t>Sauty</w:t>
      </w:r>
      <w:proofErr w:type="spellEnd"/>
      <w:r w:rsidRPr="005D6FCC">
        <w:rPr>
          <w:rFonts w:cs="Times New Roman"/>
        </w:rPr>
        <w:t xml:space="preserve"> B, Vairo G. Unraveling the complexity of vascular tone regulation: a multiscale computational approach to integrating chemo-mechano-biological pathways with cardiovascular biomechanics. </w:t>
      </w:r>
      <w:proofErr w:type="spellStart"/>
      <w:r w:rsidRPr="005D6FCC">
        <w:rPr>
          <w:rFonts w:cs="Times New Roman"/>
          <w:i/>
          <w:iCs/>
        </w:rPr>
        <w:t>Biomech</w:t>
      </w:r>
      <w:proofErr w:type="spellEnd"/>
      <w:r w:rsidRPr="005D6FCC">
        <w:rPr>
          <w:rFonts w:cs="Times New Roman"/>
          <w:i/>
          <w:iCs/>
        </w:rPr>
        <w:t xml:space="preserve"> Model </w:t>
      </w:r>
      <w:proofErr w:type="spellStart"/>
      <w:r w:rsidRPr="005D6FCC">
        <w:rPr>
          <w:rFonts w:cs="Times New Roman"/>
          <w:i/>
          <w:iCs/>
        </w:rPr>
        <w:t>Mechanobiol</w:t>
      </w:r>
      <w:proofErr w:type="spellEnd"/>
      <w:r w:rsidRPr="005D6FCC">
        <w:rPr>
          <w:rFonts w:cs="Times New Roman"/>
        </w:rPr>
        <w:t xml:space="preserve"> 2024. https://doi.org/10.1007/s10237-024-01826-6.</w:t>
      </w:r>
    </w:p>
    <w:p w14:paraId="12C07611" w14:textId="77777777" w:rsidR="005D6FCC" w:rsidRPr="005D6FCC" w:rsidRDefault="005D6FCC" w:rsidP="005D6FCC">
      <w:pPr>
        <w:pStyle w:val="Bibliography"/>
        <w:rPr>
          <w:rFonts w:cs="Times New Roman"/>
        </w:rPr>
      </w:pPr>
      <w:r w:rsidRPr="005D6FCC">
        <w:rPr>
          <w:rFonts w:cs="Times New Roman"/>
        </w:rPr>
        <w:t>23</w:t>
      </w:r>
      <w:r w:rsidRPr="005D6FCC">
        <w:rPr>
          <w:rFonts w:cs="Times New Roman"/>
        </w:rPr>
        <w:tab/>
        <w:t xml:space="preserve">Baird A, McDaniel M, White SA, Tatum N, Marin L. </w:t>
      </w:r>
      <w:proofErr w:type="spellStart"/>
      <w:r w:rsidRPr="005D6FCC">
        <w:rPr>
          <w:rFonts w:cs="Times New Roman"/>
        </w:rPr>
        <w:t>BioGears</w:t>
      </w:r>
      <w:proofErr w:type="spellEnd"/>
      <w:r w:rsidRPr="005D6FCC">
        <w:rPr>
          <w:rFonts w:cs="Times New Roman"/>
        </w:rPr>
        <w:t xml:space="preserve">: A C++ library for whole body physiology simulations. </w:t>
      </w:r>
      <w:r w:rsidRPr="005D6FCC">
        <w:rPr>
          <w:rFonts w:cs="Times New Roman"/>
          <w:i/>
          <w:iCs/>
        </w:rPr>
        <w:t>Journal of Open Source Software</w:t>
      </w:r>
      <w:r w:rsidRPr="005D6FCC">
        <w:rPr>
          <w:rFonts w:cs="Times New Roman"/>
        </w:rPr>
        <w:t xml:space="preserve"> </w:t>
      </w:r>
      <w:proofErr w:type="gramStart"/>
      <w:r w:rsidRPr="005D6FCC">
        <w:rPr>
          <w:rFonts w:cs="Times New Roman"/>
        </w:rPr>
        <w:t>2020;</w:t>
      </w:r>
      <w:r w:rsidRPr="005D6FCC">
        <w:rPr>
          <w:rFonts w:cs="Times New Roman"/>
          <w:b/>
          <w:bCs/>
        </w:rPr>
        <w:t>5</w:t>
      </w:r>
      <w:r w:rsidRPr="005D6FCC">
        <w:rPr>
          <w:rFonts w:cs="Times New Roman"/>
        </w:rPr>
        <w:t>:2645</w:t>
      </w:r>
      <w:proofErr w:type="gramEnd"/>
      <w:r w:rsidRPr="005D6FCC">
        <w:rPr>
          <w:rFonts w:cs="Times New Roman"/>
        </w:rPr>
        <w:t>. https://doi.org/10.21105/joss.02645.</w:t>
      </w:r>
    </w:p>
    <w:p w14:paraId="7C7E1E2C" w14:textId="77777777" w:rsidR="005D6FCC" w:rsidRPr="005D6FCC" w:rsidRDefault="005D6FCC" w:rsidP="005D6FCC">
      <w:pPr>
        <w:pStyle w:val="Bibliography"/>
        <w:rPr>
          <w:rFonts w:cs="Times New Roman"/>
        </w:rPr>
      </w:pPr>
      <w:r w:rsidRPr="005D6FCC">
        <w:rPr>
          <w:rFonts w:cs="Times New Roman"/>
        </w:rPr>
        <w:t>24</w:t>
      </w:r>
      <w:r w:rsidRPr="005D6FCC">
        <w:rPr>
          <w:rFonts w:cs="Times New Roman"/>
        </w:rPr>
        <w:tab/>
        <w:t xml:space="preserve">McDaniel M, Keller JM, White S, Baird A. A Whole-Body Mathematical Model of Sepsis Progression and Treatment Designed in the </w:t>
      </w:r>
      <w:proofErr w:type="spellStart"/>
      <w:r w:rsidRPr="005D6FCC">
        <w:rPr>
          <w:rFonts w:cs="Times New Roman"/>
        </w:rPr>
        <w:t>BioGears</w:t>
      </w:r>
      <w:proofErr w:type="spellEnd"/>
      <w:r w:rsidRPr="005D6FCC">
        <w:rPr>
          <w:rFonts w:cs="Times New Roman"/>
        </w:rPr>
        <w:t xml:space="preserve"> Physiology Engine. </w:t>
      </w:r>
      <w:r w:rsidRPr="005D6FCC">
        <w:rPr>
          <w:rFonts w:cs="Times New Roman"/>
          <w:i/>
          <w:iCs/>
        </w:rPr>
        <w:t xml:space="preserve">Front </w:t>
      </w:r>
      <w:proofErr w:type="spellStart"/>
      <w:r w:rsidRPr="005D6FCC">
        <w:rPr>
          <w:rFonts w:cs="Times New Roman"/>
          <w:i/>
          <w:iCs/>
        </w:rPr>
        <w:t>Physiol</w:t>
      </w:r>
      <w:proofErr w:type="spellEnd"/>
      <w:r w:rsidRPr="005D6FCC">
        <w:rPr>
          <w:rFonts w:cs="Times New Roman"/>
        </w:rPr>
        <w:t xml:space="preserve"> </w:t>
      </w:r>
      <w:proofErr w:type="gramStart"/>
      <w:r w:rsidRPr="005D6FCC">
        <w:rPr>
          <w:rFonts w:cs="Times New Roman"/>
        </w:rPr>
        <w:t>2019;</w:t>
      </w:r>
      <w:r w:rsidRPr="005D6FCC">
        <w:rPr>
          <w:rFonts w:cs="Times New Roman"/>
          <w:b/>
          <w:bCs/>
        </w:rPr>
        <w:t>10</w:t>
      </w:r>
      <w:r w:rsidRPr="005D6FCC">
        <w:rPr>
          <w:rFonts w:cs="Times New Roman"/>
        </w:rPr>
        <w:t>:.</w:t>
      </w:r>
      <w:proofErr w:type="gramEnd"/>
      <w:r w:rsidRPr="005D6FCC">
        <w:rPr>
          <w:rFonts w:cs="Times New Roman"/>
        </w:rPr>
        <w:t xml:space="preserve"> https://doi.org/10.3389/fphys.2019.01321.</w:t>
      </w:r>
    </w:p>
    <w:p w14:paraId="0D588070" w14:textId="77777777" w:rsidR="005D6FCC" w:rsidRPr="005D6FCC" w:rsidRDefault="005D6FCC" w:rsidP="005D6FCC">
      <w:pPr>
        <w:pStyle w:val="Bibliography"/>
        <w:rPr>
          <w:rFonts w:cs="Times New Roman"/>
        </w:rPr>
      </w:pPr>
      <w:r w:rsidRPr="005D6FCC">
        <w:rPr>
          <w:rFonts w:cs="Times New Roman"/>
        </w:rPr>
        <w:t>25</w:t>
      </w:r>
      <w:r w:rsidRPr="005D6FCC">
        <w:rPr>
          <w:rFonts w:cs="Times New Roman"/>
        </w:rPr>
        <w:tab/>
        <w:t xml:space="preserve">McDaniel M, Baird A. A Full-Body Model of Burn Pathophysiology and Treatment Using the </w:t>
      </w:r>
      <w:proofErr w:type="spellStart"/>
      <w:r w:rsidRPr="005D6FCC">
        <w:rPr>
          <w:rFonts w:cs="Times New Roman"/>
        </w:rPr>
        <w:t>BioGears</w:t>
      </w:r>
      <w:proofErr w:type="spellEnd"/>
      <w:r w:rsidRPr="005D6FCC">
        <w:rPr>
          <w:rFonts w:cs="Times New Roman"/>
        </w:rPr>
        <w:t xml:space="preserve"> Engine. Presented at the 2019 41st Annual International Conference of the IEEE Engineering in Medicine and Biology Society (EMBC).</w:t>
      </w:r>
    </w:p>
    <w:p w14:paraId="1744054F" w14:textId="77777777" w:rsidR="005D6FCC" w:rsidRPr="005D6FCC" w:rsidRDefault="005D6FCC" w:rsidP="005D6FCC">
      <w:pPr>
        <w:pStyle w:val="Bibliography"/>
        <w:rPr>
          <w:rFonts w:cs="Times New Roman"/>
        </w:rPr>
      </w:pPr>
      <w:r w:rsidRPr="005D6FCC">
        <w:rPr>
          <w:rFonts w:cs="Times New Roman"/>
        </w:rPr>
        <w:t>26</w:t>
      </w:r>
      <w:r w:rsidRPr="005D6FCC">
        <w:rPr>
          <w:rFonts w:cs="Times New Roman"/>
        </w:rPr>
        <w:tab/>
        <w:t xml:space="preserve">Barnes JJI, </w:t>
      </w:r>
      <w:proofErr w:type="spellStart"/>
      <w:r w:rsidRPr="005D6FCC">
        <w:rPr>
          <w:rFonts w:cs="Times New Roman"/>
        </w:rPr>
        <w:t>Kiberenge</w:t>
      </w:r>
      <w:proofErr w:type="spellEnd"/>
      <w:r w:rsidRPr="005D6FCC">
        <w:rPr>
          <w:rFonts w:cs="Times New Roman"/>
        </w:rPr>
        <w:t xml:space="preserve"> K, Sweet R, Keller J, Konia MR. Comparing Hemorrhage in Human Physiology Simulation Tools: How They Compare </w:t>
      </w:r>
      <w:proofErr w:type="gramStart"/>
      <w:r w:rsidRPr="005D6FCC">
        <w:rPr>
          <w:rFonts w:cs="Times New Roman"/>
        </w:rPr>
        <w:t>With</w:t>
      </w:r>
      <w:proofErr w:type="gramEnd"/>
      <w:r w:rsidRPr="005D6FCC">
        <w:rPr>
          <w:rFonts w:cs="Times New Roman"/>
        </w:rPr>
        <w:t xml:space="preserve"> Expected Human Physiology and Each Other. </w:t>
      </w:r>
      <w:r w:rsidRPr="005D6FCC">
        <w:rPr>
          <w:rFonts w:cs="Times New Roman"/>
          <w:i/>
          <w:iCs/>
        </w:rPr>
        <w:t>Simulation in Healthcare</w:t>
      </w:r>
      <w:r w:rsidRPr="005D6FCC">
        <w:rPr>
          <w:rFonts w:cs="Times New Roman"/>
        </w:rPr>
        <w:t xml:space="preserve"> </w:t>
      </w:r>
      <w:proofErr w:type="gramStart"/>
      <w:r w:rsidRPr="005D6FCC">
        <w:rPr>
          <w:rFonts w:cs="Times New Roman"/>
        </w:rPr>
        <w:t>2020;</w:t>
      </w:r>
      <w:r w:rsidRPr="005D6FCC">
        <w:rPr>
          <w:rFonts w:cs="Times New Roman"/>
          <w:b/>
          <w:bCs/>
        </w:rPr>
        <w:t>15</w:t>
      </w:r>
      <w:r w:rsidRPr="005D6FCC">
        <w:rPr>
          <w:rFonts w:cs="Times New Roman"/>
        </w:rPr>
        <w:t>:310</w:t>
      </w:r>
      <w:proofErr w:type="gramEnd"/>
      <w:r w:rsidRPr="005D6FCC">
        <w:rPr>
          <w:rFonts w:cs="Times New Roman"/>
        </w:rPr>
        <w:t>. https://doi.org/10.1097/SIH.0000000000000427.</w:t>
      </w:r>
    </w:p>
    <w:p w14:paraId="278C5927" w14:textId="77777777" w:rsidR="005D6FCC" w:rsidRPr="005D6FCC" w:rsidRDefault="005D6FCC" w:rsidP="005D6FCC">
      <w:pPr>
        <w:pStyle w:val="Bibliography"/>
        <w:rPr>
          <w:rFonts w:cs="Times New Roman"/>
        </w:rPr>
      </w:pPr>
      <w:r w:rsidRPr="005D6FCC">
        <w:rPr>
          <w:rFonts w:cs="Times New Roman"/>
        </w:rPr>
        <w:t>27</w:t>
      </w:r>
      <w:r w:rsidRPr="005D6FCC">
        <w:rPr>
          <w:rFonts w:cs="Times New Roman"/>
        </w:rPr>
        <w:tab/>
        <w:t xml:space="preserve">Baird A, Serio-Melvin M, Hackett M, Clover M, McDaniel M, Rowland M, </w:t>
      </w:r>
      <w:r w:rsidRPr="005D6FCC">
        <w:rPr>
          <w:rFonts w:cs="Times New Roman"/>
          <w:i/>
          <w:iCs/>
        </w:rPr>
        <w:t>et al.</w:t>
      </w:r>
      <w:r w:rsidRPr="005D6FCC">
        <w:rPr>
          <w:rFonts w:cs="Times New Roman"/>
        </w:rPr>
        <w:t xml:space="preserve"> </w:t>
      </w:r>
      <w:proofErr w:type="spellStart"/>
      <w:r w:rsidRPr="005D6FCC">
        <w:rPr>
          <w:rFonts w:cs="Times New Roman"/>
        </w:rPr>
        <w:t>BurnCare</w:t>
      </w:r>
      <w:proofErr w:type="spellEnd"/>
      <w:r w:rsidRPr="005D6FCC">
        <w:rPr>
          <w:rFonts w:cs="Times New Roman"/>
        </w:rPr>
        <w:t xml:space="preserve"> tablet trainer to enhance burn injury care and treatment. </w:t>
      </w:r>
      <w:r w:rsidRPr="005D6FCC">
        <w:rPr>
          <w:rFonts w:cs="Times New Roman"/>
          <w:i/>
          <w:iCs/>
        </w:rPr>
        <w:t xml:space="preserve">BMC </w:t>
      </w:r>
      <w:proofErr w:type="spellStart"/>
      <w:r w:rsidRPr="005D6FCC">
        <w:rPr>
          <w:rFonts w:cs="Times New Roman"/>
          <w:i/>
          <w:iCs/>
        </w:rPr>
        <w:t>Emerg</w:t>
      </w:r>
      <w:proofErr w:type="spellEnd"/>
      <w:r w:rsidRPr="005D6FCC">
        <w:rPr>
          <w:rFonts w:cs="Times New Roman"/>
          <w:i/>
          <w:iCs/>
        </w:rPr>
        <w:t xml:space="preserve"> Med</w:t>
      </w:r>
      <w:r w:rsidRPr="005D6FCC">
        <w:rPr>
          <w:rFonts w:cs="Times New Roman"/>
        </w:rPr>
        <w:t xml:space="preserve"> </w:t>
      </w:r>
      <w:proofErr w:type="gramStart"/>
      <w:r w:rsidRPr="005D6FCC">
        <w:rPr>
          <w:rFonts w:cs="Times New Roman"/>
        </w:rPr>
        <w:t>2020;</w:t>
      </w:r>
      <w:r w:rsidRPr="005D6FCC">
        <w:rPr>
          <w:rFonts w:cs="Times New Roman"/>
          <w:b/>
          <w:bCs/>
        </w:rPr>
        <w:t>20</w:t>
      </w:r>
      <w:r w:rsidRPr="005D6FCC">
        <w:rPr>
          <w:rFonts w:cs="Times New Roman"/>
        </w:rPr>
        <w:t>:84</w:t>
      </w:r>
      <w:proofErr w:type="gramEnd"/>
      <w:r w:rsidRPr="005D6FCC">
        <w:rPr>
          <w:rFonts w:cs="Times New Roman"/>
        </w:rPr>
        <w:t>. https://doi.org/10.1186/s12873-020-00378-z.</w:t>
      </w:r>
    </w:p>
    <w:p w14:paraId="4E450283" w14:textId="77777777" w:rsidR="005D6FCC" w:rsidRPr="005D6FCC" w:rsidRDefault="005D6FCC" w:rsidP="005D6FCC">
      <w:pPr>
        <w:pStyle w:val="Bibliography"/>
        <w:rPr>
          <w:rFonts w:cs="Times New Roman"/>
        </w:rPr>
      </w:pPr>
      <w:r w:rsidRPr="005D6FCC">
        <w:rPr>
          <w:rFonts w:cs="Times New Roman"/>
        </w:rPr>
        <w:t>28</w:t>
      </w:r>
      <w:r w:rsidRPr="005D6FCC">
        <w:rPr>
          <w:rFonts w:cs="Times New Roman"/>
        </w:rPr>
        <w:tab/>
      </w:r>
      <w:proofErr w:type="spellStart"/>
      <w:r w:rsidRPr="005D6FCC">
        <w:rPr>
          <w:rFonts w:cs="Times New Roman"/>
        </w:rPr>
        <w:t>Stefanidis</w:t>
      </w:r>
      <w:proofErr w:type="spellEnd"/>
      <w:r w:rsidRPr="005D6FCC">
        <w:rPr>
          <w:rFonts w:cs="Times New Roman"/>
        </w:rPr>
        <w:t xml:space="preserve"> D, Aggarwal R, Rush RM, Lee G, Blair PG, Hananel D, </w:t>
      </w:r>
      <w:r w:rsidRPr="005D6FCC">
        <w:rPr>
          <w:rFonts w:cs="Times New Roman"/>
          <w:i/>
          <w:iCs/>
        </w:rPr>
        <w:t>et al.</w:t>
      </w:r>
      <w:r w:rsidRPr="005D6FCC">
        <w:rPr>
          <w:rFonts w:cs="Times New Roman"/>
        </w:rPr>
        <w:t xml:space="preserve"> Advanced Modular Manikin and Surgical Team Experience During a Trauma Simulation: Results of a Single-Blinded Randomized Trial. </w:t>
      </w:r>
      <w:r w:rsidRPr="005D6FCC">
        <w:rPr>
          <w:rFonts w:cs="Times New Roman"/>
          <w:i/>
          <w:iCs/>
        </w:rPr>
        <w:t>Journal of the American College of Surgeons</w:t>
      </w:r>
      <w:r w:rsidRPr="005D6FCC">
        <w:rPr>
          <w:rFonts w:cs="Times New Roman"/>
        </w:rPr>
        <w:t xml:space="preserve"> </w:t>
      </w:r>
      <w:proofErr w:type="gramStart"/>
      <w:r w:rsidRPr="005D6FCC">
        <w:rPr>
          <w:rFonts w:cs="Times New Roman"/>
        </w:rPr>
        <w:t>2021;</w:t>
      </w:r>
      <w:r w:rsidRPr="005D6FCC">
        <w:rPr>
          <w:rFonts w:cs="Times New Roman"/>
          <w:b/>
          <w:bCs/>
        </w:rPr>
        <w:t>233</w:t>
      </w:r>
      <w:r w:rsidRPr="005D6FCC">
        <w:rPr>
          <w:rFonts w:cs="Times New Roman"/>
        </w:rPr>
        <w:t>:249</w:t>
      </w:r>
      <w:proofErr w:type="gramEnd"/>
      <w:r w:rsidRPr="005D6FCC">
        <w:rPr>
          <w:rFonts w:cs="Times New Roman"/>
        </w:rPr>
        <w:t>-260.e2. https://doi.org/10.1016/j.jamcollsurg.2021.04.029.</w:t>
      </w:r>
    </w:p>
    <w:p w14:paraId="487E3128" w14:textId="77777777" w:rsidR="005D6FCC" w:rsidRPr="005D6FCC" w:rsidRDefault="005D6FCC" w:rsidP="005D6FCC">
      <w:pPr>
        <w:pStyle w:val="Bibliography"/>
        <w:rPr>
          <w:rFonts w:cs="Times New Roman"/>
        </w:rPr>
      </w:pPr>
      <w:r w:rsidRPr="005D6FCC">
        <w:rPr>
          <w:rFonts w:cs="Times New Roman"/>
        </w:rPr>
        <w:t>29</w:t>
      </w:r>
      <w:r w:rsidRPr="005D6FCC">
        <w:rPr>
          <w:rFonts w:cs="Times New Roman"/>
        </w:rPr>
        <w:tab/>
        <w:t xml:space="preserve">Olufsen MS, </w:t>
      </w:r>
      <w:proofErr w:type="spellStart"/>
      <w:r w:rsidRPr="005D6FCC">
        <w:rPr>
          <w:rFonts w:cs="Times New Roman"/>
        </w:rPr>
        <w:t>Peskin</w:t>
      </w:r>
      <w:proofErr w:type="spellEnd"/>
      <w:r w:rsidRPr="005D6FCC">
        <w:rPr>
          <w:rFonts w:cs="Times New Roman"/>
        </w:rPr>
        <w:t xml:space="preserve"> CS, Kim WY, Pedersen EM, Nadim A, Larsen J. Numerical Simulation and Experimental Validation of Blood Flow in Arteries with Structured-Tree Outflow Conditions. </w:t>
      </w:r>
      <w:r w:rsidRPr="005D6FCC">
        <w:rPr>
          <w:rFonts w:cs="Times New Roman"/>
          <w:i/>
          <w:iCs/>
        </w:rPr>
        <w:t>Annals of Biomedical Engineering</w:t>
      </w:r>
      <w:r w:rsidRPr="005D6FCC">
        <w:rPr>
          <w:rFonts w:cs="Times New Roman"/>
        </w:rPr>
        <w:t xml:space="preserve"> </w:t>
      </w:r>
      <w:proofErr w:type="gramStart"/>
      <w:r w:rsidRPr="005D6FCC">
        <w:rPr>
          <w:rFonts w:cs="Times New Roman"/>
        </w:rPr>
        <w:t>2000;</w:t>
      </w:r>
      <w:r w:rsidRPr="005D6FCC">
        <w:rPr>
          <w:rFonts w:cs="Times New Roman"/>
          <w:b/>
          <w:bCs/>
        </w:rPr>
        <w:t>28</w:t>
      </w:r>
      <w:r w:rsidRPr="005D6FCC">
        <w:rPr>
          <w:rFonts w:cs="Times New Roman"/>
        </w:rPr>
        <w:t>:1281</w:t>
      </w:r>
      <w:proofErr w:type="gramEnd"/>
      <w:r w:rsidRPr="005D6FCC">
        <w:rPr>
          <w:rFonts w:cs="Times New Roman"/>
        </w:rPr>
        <w:t>–99. https://doi.org/10.1114/1.1326031.</w:t>
      </w:r>
    </w:p>
    <w:p w14:paraId="2C30B602" w14:textId="77777777" w:rsidR="005D6FCC" w:rsidRPr="005D6FCC" w:rsidRDefault="005D6FCC" w:rsidP="005D6FCC">
      <w:pPr>
        <w:pStyle w:val="Bibliography"/>
        <w:rPr>
          <w:rFonts w:cs="Times New Roman"/>
        </w:rPr>
      </w:pPr>
      <w:r w:rsidRPr="005D6FCC">
        <w:rPr>
          <w:rFonts w:cs="Times New Roman"/>
        </w:rPr>
        <w:t>30</w:t>
      </w:r>
      <w:r w:rsidRPr="005D6FCC">
        <w:rPr>
          <w:rFonts w:cs="Times New Roman"/>
        </w:rPr>
        <w:tab/>
        <w:t xml:space="preserve">Ottesen JT. Modelling of the baroreflex-feedback mechanism with time-delay. </w:t>
      </w:r>
      <w:r w:rsidRPr="005D6FCC">
        <w:rPr>
          <w:rFonts w:cs="Times New Roman"/>
          <w:i/>
          <w:iCs/>
        </w:rPr>
        <w:t>J Math Biol</w:t>
      </w:r>
      <w:r w:rsidRPr="005D6FCC">
        <w:rPr>
          <w:rFonts w:cs="Times New Roman"/>
        </w:rPr>
        <w:t xml:space="preserve"> </w:t>
      </w:r>
      <w:proofErr w:type="gramStart"/>
      <w:r w:rsidRPr="005D6FCC">
        <w:rPr>
          <w:rFonts w:cs="Times New Roman"/>
        </w:rPr>
        <w:t>1997;</w:t>
      </w:r>
      <w:r w:rsidRPr="005D6FCC">
        <w:rPr>
          <w:rFonts w:cs="Times New Roman"/>
          <w:b/>
          <w:bCs/>
        </w:rPr>
        <w:t>36</w:t>
      </w:r>
      <w:r w:rsidRPr="005D6FCC">
        <w:rPr>
          <w:rFonts w:cs="Times New Roman"/>
        </w:rPr>
        <w:t>:41</w:t>
      </w:r>
      <w:proofErr w:type="gramEnd"/>
      <w:r w:rsidRPr="005D6FCC">
        <w:rPr>
          <w:rFonts w:cs="Times New Roman"/>
        </w:rPr>
        <w:t>–63. https://doi.org/10.1007/s002850050089.</w:t>
      </w:r>
    </w:p>
    <w:p w14:paraId="63C32279" w14:textId="77777777" w:rsidR="005D6FCC" w:rsidRPr="005D6FCC" w:rsidRDefault="005D6FCC" w:rsidP="005D6FCC">
      <w:pPr>
        <w:pStyle w:val="Bibliography"/>
        <w:rPr>
          <w:rFonts w:cs="Times New Roman"/>
        </w:rPr>
      </w:pPr>
      <w:r w:rsidRPr="005D6FCC">
        <w:rPr>
          <w:rFonts w:cs="Times New Roman"/>
        </w:rPr>
        <w:lastRenderedPageBreak/>
        <w:t>31</w:t>
      </w:r>
      <w:r w:rsidRPr="005D6FCC">
        <w:rPr>
          <w:rFonts w:cs="Times New Roman"/>
        </w:rPr>
        <w:tab/>
      </w:r>
      <w:proofErr w:type="spellStart"/>
      <w:r w:rsidRPr="005D6FCC">
        <w:rPr>
          <w:rFonts w:cs="Times New Roman"/>
        </w:rPr>
        <w:t>Stergiopulos</w:t>
      </w:r>
      <w:proofErr w:type="spellEnd"/>
      <w:r w:rsidRPr="005D6FCC">
        <w:rPr>
          <w:rFonts w:cs="Times New Roman"/>
        </w:rPr>
        <w:t xml:space="preserve"> N, </w:t>
      </w:r>
      <w:proofErr w:type="spellStart"/>
      <w:r w:rsidRPr="005D6FCC">
        <w:rPr>
          <w:rFonts w:cs="Times New Roman"/>
        </w:rPr>
        <w:t>Westerhof</w:t>
      </w:r>
      <w:proofErr w:type="spellEnd"/>
      <w:r w:rsidRPr="005D6FCC">
        <w:rPr>
          <w:rFonts w:cs="Times New Roman"/>
        </w:rPr>
        <w:t xml:space="preserve"> BE, </w:t>
      </w:r>
      <w:proofErr w:type="spellStart"/>
      <w:r w:rsidRPr="005D6FCC">
        <w:rPr>
          <w:rFonts w:cs="Times New Roman"/>
        </w:rPr>
        <w:t>Westerhof</w:t>
      </w:r>
      <w:proofErr w:type="spellEnd"/>
      <w:r w:rsidRPr="005D6FCC">
        <w:rPr>
          <w:rFonts w:cs="Times New Roman"/>
        </w:rPr>
        <w:t xml:space="preserve"> N. Total arterial inertance as the fourth </w:t>
      </w:r>
      <w:proofErr w:type="gramStart"/>
      <w:r w:rsidRPr="005D6FCC">
        <w:rPr>
          <w:rFonts w:cs="Times New Roman"/>
        </w:rPr>
        <w:t>element  of</w:t>
      </w:r>
      <w:proofErr w:type="gramEnd"/>
      <w:r w:rsidRPr="005D6FCC">
        <w:rPr>
          <w:rFonts w:cs="Times New Roman"/>
        </w:rPr>
        <w:t xml:space="preserve"> the </w:t>
      </w:r>
      <w:proofErr w:type="spellStart"/>
      <w:r w:rsidRPr="005D6FCC">
        <w:rPr>
          <w:rFonts w:cs="Times New Roman"/>
        </w:rPr>
        <w:t>windkessel</w:t>
      </w:r>
      <w:proofErr w:type="spellEnd"/>
      <w:r w:rsidRPr="005D6FCC">
        <w:rPr>
          <w:rFonts w:cs="Times New Roman"/>
        </w:rPr>
        <w:t xml:space="preserve"> model. </w:t>
      </w:r>
      <w:r w:rsidRPr="005D6FCC">
        <w:rPr>
          <w:rFonts w:cs="Times New Roman"/>
          <w:i/>
          <w:iCs/>
        </w:rPr>
        <w:t>American Journal of Physiology-Heart and Circulatory Physiology</w:t>
      </w:r>
      <w:r w:rsidRPr="005D6FCC">
        <w:rPr>
          <w:rFonts w:cs="Times New Roman"/>
        </w:rPr>
        <w:t xml:space="preserve"> 1999;</w:t>
      </w:r>
      <w:r w:rsidRPr="005D6FCC">
        <w:rPr>
          <w:rFonts w:cs="Times New Roman"/>
          <w:b/>
          <w:bCs/>
        </w:rPr>
        <w:t>276</w:t>
      </w:r>
      <w:r w:rsidRPr="005D6FCC">
        <w:rPr>
          <w:rFonts w:cs="Times New Roman"/>
        </w:rPr>
        <w:t>:H81–8. https://doi.org/10.1152/ajpheart.1999.276.1.H81.</w:t>
      </w:r>
    </w:p>
    <w:p w14:paraId="500E5B31" w14:textId="77777777" w:rsidR="005D6FCC" w:rsidRPr="005D6FCC" w:rsidRDefault="005D6FCC" w:rsidP="005D6FCC">
      <w:pPr>
        <w:pStyle w:val="Bibliography"/>
        <w:rPr>
          <w:rFonts w:cs="Times New Roman"/>
        </w:rPr>
      </w:pPr>
      <w:r w:rsidRPr="005D6FCC">
        <w:rPr>
          <w:rFonts w:cs="Times New Roman"/>
        </w:rPr>
        <w:t>32</w:t>
      </w:r>
      <w:r w:rsidRPr="005D6FCC">
        <w:rPr>
          <w:rFonts w:cs="Times New Roman"/>
        </w:rPr>
        <w:tab/>
      </w:r>
      <w:proofErr w:type="spellStart"/>
      <w:r w:rsidRPr="005D6FCC">
        <w:rPr>
          <w:rFonts w:cs="Times New Roman"/>
        </w:rPr>
        <w:t>Westerhof</w:t>
      </w:r>
      <w:proofErr w:type="spellEnd"/>
      <w:r w:rsidRPr="005D6FCC">
        <w:rPr>
          <w:rFonts w:cs="Times New Roman"/>
        </w:rPr>
        <w:t xml:space="preserve"> N, </w:t>
      </w:r>
      <w:proofErr w:type="spellStart"/>
      <w:r w:rsidRPr="005D6FCC">
        <w:rPr>
          <w:rFonts w:cs="Times New Roman"/>
        </w:rPr>
        <w:t>Lankhaar</w:t>
      </w:r>
      <w:proofErr w:type="spellEnd"/>
      <w:r w:rsidRPr="005D6FCC">
        <w:rPr>
          <w:rFonts w:cs="Times New Roman"/>
        </w:rPr>
        <w:t xml:space="preserve"> J-W, </w:t>
      </w:r>
      <w:proofErr w:type="spellStart"/>
      <w:r w:rsidRPr="005D6FCC">
        <w:rPr>
          <w:rFonts w:cs="Times New Roman"/>
        </w:rPr>
        <w:t>Westerhof</w:t>
      </w:r>
      <w:proofErr w:type="spellEnd"/>
      <w:r w:rsidRPr="005D6FCC">
        <w:rPr>
          <w:rFonts w:cs="Times New Roman"/>
        </w:rPr>
        <w:t xml:space="preserve"> BE. The arterial </w:t>
      </w:r>
      <w:proofErr w:type="spellStart"/>
      <w:r w:rsidRPr="005D6FCC">
        <w:rPr>
          <w:rFonts w:cs="Times New Roman"/>
        </w:rPr>
        <w:t>Windkessel</w:t>
      </w:r>
      <w:proofErr w:type="spellEnd"/>
      <w:r w:rsidRPr="005D6FCC">
        <w:rPr>
          <w:rFonts w:cs="Times New Roman"/>
        </w:rPr>
        <w:t xml:space="preserve">. </w:t>
      </w:r>
      <w:r w:rsidRPr="005D6FCC">
        <w:rPr>
          <w:rFonts w:cs="Times New Roman"/>
          <w:i/>
          <w:iCs/>
        </w:rPr>
        <w:t xml:space="preserve">Med Biol Eng </w:t>
      </w:r>
      <w:proofErr w:type="spellStart"/>
      <w:r w:rsidRPr="005D6FCC">
        <w:rPr>
          <w:rFonts w:cs="Times New Roman"/>
          <w:i/>
          <w:iCs/>
        </w:rPr>
        <w:t>Comput</w:t>
      </w:r>
      <w:proofErr w:type="spellEnd"/>
      <w:r w:rsidRPr="005D6FCC">
        <w:rPr>
          <w:rFonts w:cs="Times New Roman"/>
        </w:rPr>
        <w:t xml:space="preserve"> </w:t>
      </w:r>
      <w:proofErr w:type="gramStart"/>
      <w:r w:rsidRPr="005D6FCC">
        <w:rPr>
          <w:rFonts w:cs="Times New Roman"/>
        </w:rPr>
        <w:t>2009;</w:t>
      </w:r>
      <w:r w:rsidRPr="005D6FCC">
        <w:rPr>
          <w:rFonts w:cs="Times New Roman"/>
          <w:b/>
          <w:bCs/>
        </w:rPr>
        <w:t>47</w:t>
      </w:r>
      <w:r w:rsidRPr="005D6FCC">
        <w:rPr>
          <w:rFonts w:cs="Times New Roman"/>
        </w:rPr>
        <w:t>:131</w:t>
      </w:r>
      <w:proofErr w:type="gramEnd"/>
      <w:r w:rsidRPr="005D6FCC">
        <w:rPr>
          <w:rFonts w:cs="Times New Roman"/>
        </w:rPr>
        <w:t>–41. https://doi.org/10.1007/s11517-008-0359-2.</w:t>
      </w:r>
    </w:p>
    <w:p w14:paraId="51CD3B78" w14:textId="77777777" w:rsidR="005D6FCC" w:rsidRPr="005D6FCC" w:rsidRDefault="005D6FCC" w:rsidP="005D6FCC">
      <w:pPr>
        <w:pStyle w:val="Bibliography"/>
        <w:rPr>
          <w:rFonts w:cs="Times New Roman"/>
        </w:rPr>
      </w:pPr>
      <w:r w:rsidRPr="005D6FCC">
        <w:rPr>
          <w:rFonts w:cs="Times New Roman"/>
        </w:rPr>
        <w:t>33</w:t>
      </w:r>
      <w:r w:rsidRPr="005D6FCC">
        <w:rPr>
          <w:rFonts w:cs="Times New Roman"/>
        </w:rPr>
        <w:tab/>
        <w:t xml:space="preserve">Valentin J. Basic anatomical and physiological data for use in radiological protection: reference values: ICRP Publication 89. </w:t>
      </w:r>
      <w:r w:rsidRPr="005D6FCC">
        <w:rPr>
          <w:rFonts w:cs="Times New Roman"/>
          <w:i/>
          <w:iCs/>
        </w:rPr>
        <w:t>Annals of the ICRP</w:t>
      </w:r>
      <w:r w:rsidRPr="005D6FCC">
        <w:rPr>
          <w:rFonts w:cs="Times New Roman"/>
        </w:rPr>
        <w:t xml:space="preserve"> </w:t>
      </w:r>
      <w:proofErr w:type="gramStart"/>
      <w:r w:rsidRPr="005D6FCC">
        <w:rPr>
          <w:rFonts w:cs="Times New Roman"/>
        </w:rPr>
        <w:t>2002;</w:t>
      </w:r>
      <w:r w:rsidRPr="005D6FCC">
        <w:rPr>
          <w:rFonts w:cs="Times New Roman"/>
          <w:b/>
          <w:bCs/>
        </w:rPr>
        <w:t>32</w:t>
      </w:r>
      <w:r w:rsidRPr="005D6FCC">
        <w:rPr>
          <w:rFonts w:cs="Times New Roman"/>
        </w:rPr>
        <w:t>:1</w:t>
      </w:r>
      <w:proofErr w:type="gramEnd"/>
      <w:r w:rsidRPr="005D6FCC">
        <w:rPr>
          <w:rFonts w:cs="Times New Roman"/>
        </w:rPr>
        <w:t>–277. https://doi.org/10.1016/S0146-6453(03)00002-2.</w:t>
      </w:r>
    </w:p>
    <w:p w14:paraId="496F4E2C" w14:textId="77777777" w:rsidR="005D6FCC" w:rsidRPr="005D6FCC" w:rsidRDefault="005D6FCC" w:rsidP="005D6FCC">
      <w:pPr>
        <w:pStyle w:val="Bibliography"/>
        <w:rPr>
          <w:rFonts w:cs="Times New Roman"/>
        </w:rPr>
      </w:pPr>
      <w:r w:rsidRPr="005D6FCC">
        <w:rPr>
          <w:rFonts w:cs="Times New Roman"/>
        </w:rPr>
        <w:t>34</w:t>
      </w:r>
      <w:r w:rsidRPr="005D6FCC">
        <w:rPr>
          <w:rFonts w:cs="Times New Roman"/>
        </w:rPr>
        <w:tab/>
        <w:t xml:space="preserve">Olufsen MS, Nadim A. - On deriving lumped models for blood flow and pressure in the systemic arteries. In: Bathe KJ, editor. </w:t>
      </w:r>
      <w:r w:rsidRPr="005D6FCC">
        <w:rPr>
          <w:rFonts w:cs="Times New Roman"/>
          <w:i/>
          <w:iCs/>
        </w:rPr>
        <w:t>Computational Fluid and Solid Mechanics 2003</w:t>
      </w:r>
      <w:r w:rsidRPr="005D6FCC">
        <w:rPr>
          <w:rFonts w:cs="Times New Roman"/>
        </w:rPr>
        <w:t>. Oxford: Elsevier Science Ltd; 2003. p. 1786–9.</w:t>
      </w:r>
    </w:p>
    <w:p w14:paraId="4E16D72F" w14:textId="77777777" w:rsidR="005D6FCC" w:rsidRPr="005D6FCC" w:rsidRDefault="005D6FCC" w:rsidP="005D6FCC">
      <w:pPr>
        <w:pStyle w:val="Bibliography"/>
        <w:rPr>
          <w:rFonts w:cs="Times New Roman"/>
        </w:rPr>
      </w:pPr>
      <w:r w:rsidRPr="005D6FCC">
        <w:rPr>
          <w:rFonts w:cs="Times New Roman"/>
        </w:rPr>
        <w:t>35</w:t>
      </w:r>
      <w:r w:rsidRPr="005D6FCC">
        <w:rPr>
          <w:rFonts w:cs="Times New Roman"/>
        </w:rPr>
        <w:tab/>
        <w:t xml:space="preserve">Ho C-W, </w:t>
      </w:r>
      <w:proofErr w:type="spellStart"/>
      <w:r w:rsidRPr="005D6FCC">
        <w:rPr>
          <w:rFonts w:cs="Times New Roman"/>
        </w:rPr>
        <w:t>Ruehli</w:t>
      </w:r>
      <w:proofErr w:type="spellEnd"/>
      <w:r w:rsidRPr="005D6FCC">
        <w:rPr>
          <w:rFonts w:cs="Times New Roman"/>
        </w:rPr>
        <w:t xml:space="preserve"> A, Brennan P. The modified nodal approach to network analysis. </w:t>
      </w:r>
      <w:r w:rsidRPr="005D6FCC">
        <w:rPr>
          <w:rFonts w:cs="Times New Roman"/>
          <w:i/>
          <w:iCs/>
        </w:rPr>
        <w:t>IEEE Transactions on Circuits and Systems</w:t>
      </w:r>
      <w:r w:rsidRPr="005D6FCC">
        <w:rPr>
          <w:rFonts w:cs="Times New Roman"/>
        </w:rPr>
        <w:t xml:space="preserve"> </w:t>
      </w:r>
      <w:proofErr w:type="gramStart"/>
      <w:r w:rsidRPr="005D6FCC">
        <w:rPr>
          <w:rFonts w:cs="Times New Roman"/>
        </w:rPr>
        <w:t>1975;</w:t>
      </w:r>
      <w:r w:rsidRPr="005D6FCC">
        <w:rPr>
          <w:rFonts w:cs="Times New Roman"/>
          <w:b/>
          <w:bCs/>
        </w:rPr>
        <w:t>22</w:t>
      </w:r>
      <w:r w:rsidRPr="005D6FCC">
        <w:rPr>
          <w:rFonts w:cs="Times New Roman"/>
        </w:rPr>
        <w:t>:504</w:t>
      </w:r>
      <w:proofErr w:type="gramEnd"/>
      <w:r w:rsidRPr="005D6FCC">
        <w:rPr>
          <w:rFonts w:cs="Times New Roman"/>
        </w:rPr>
        <w:t>–9. https://doi.org/10.1109/TCS.1975.1084079.</w:t>
      </w:r>
    </w:p>
    <w:p w14:paraId="5D4A00D0" w14:textId="77777777" w:rsidR="005D6FCC" w:rsidRPr="005D6FCC" w:rsidRDefault="005D6FCC" w:rsidP="005D6FCC">
      <w:pPr>
        <w:pStyle w:val="Bibliography"/>
        <w:rPr>
          <w:rFonts w:cs="Times New Roman"/>
        </w:rPr>
      </w:pPr>
      <w:r w:rsidRPr="005D6FCC">
        <w:rPr>
          <w:rFonts w:cs="Times New Roman"/>
        </w:rPr>
        <w:t>36</w:t>
      </w:r>
      <w:r w:rsidRPr="005D6FCC">
        <w:rPr>
          <w:rFonts w:cs="Times New Roman"/>
        </w:rPr>
        <w:tab/>
      </w:r>
      <w:proofErr w:type="spellStart"/>
      <w:r w:rsidRPr="005D6FCC">
        <w:rPr>
          <w:rFonts w:cs="Times New Roman"/>
        </w:rPr>
        <w:t>Stergiopulos</w:t>
      </w:r>
      <w:proofErr w:type="spellEnd"/>
      <w:r w:rsidRPr="005D6FCC">
        <w:rPr>
          <w:rFonts w:cs="Times New Roman"/>
        </w:rPr>
        <w:t xml:space="preserve"> N, Meister JJ, </w:t>
      </w:r>
      <w:proofErr w:type="spellStart"/>
      <w:r w:rsidRPr="005D6FCC">
        <w:rPr>
          <w:rFonts w:cs="Times New Roman"/>
        </w:rPr>
        <w:t>Westerhof</w:t>
      </w:r>
      <w:proofErr w:type="spellEnd"/>
      <w:r w:rsidRPr="005D6FCC">
        <w:rPr>
          <w:rFonts w:cs="Times New Roman"/>
        </w:rPr>
        <w:t xml:space="preserve"> N. Determinants of stroke volume and systolic and diastolic aortic pressure. </w:t>
      </w:r>
      <w:r w:rsidRPr="005D6FCC">
        <w:rPr>
          <w:rFonts w:cs="Times New Roman"/>
          <w:i/>
          <w:iCs/>
        </w:rPr>
        <w:t>American Journal of Physiology-Heart and Circulatory Physiology</w:t>
      </w:r>
      <w:r w:rsidRPr="005D6FCC">
        <w:rPr>
          <w:rFonts w:cs="Times New Roman"/>
        </w:rPr>
        <w:t xml:space="preserve"> 1996;</w:t>
      </w:r>
      <w:r w:rsidRPr="005D6FCC">
        <w:rPr>
          <w:rFonts w:cs="Times New Roman"/>
          <w:b/>
          <w:bCs/>
        </w:rPr>
        <w:t>270</w:t>
      </w:r>
      <w:r w:rsidRPr="005D6FCC">
        <w:rPr>
          <w:rFonts w:cs="Times New Roman"/>
        </w:rPr>
        <w:t>:H2050–9. https://doi.org/10.1152/ajpheart.1996.270.6.H2050.</w:t>
      </w:r>
    </w:p>
    <w:p w14:paraId="7B0E0420" w14:textId="77777777" w:rsidR="005D6FCC" w:rsidRPr="005D6FCC" w:rsidRDefault="005D6FCC" w:rsidP="005D6FCC">
      <w:pPr>
        <w:pStyle w:val="Bibliography"/>
        <w:rPr>
          <w:rFonts w:cs="Times New Roman"/>
        </w:rPr>
      </w:pPr>
      <w:r w:rsidRPr="005D6FCC">
        <w:rPr>
          <w:rFonts w:cs="Times New Roman"/>
        </w:rPr>
        <w:t>37</w:t>
      </w:r>
      <w:r w:rsidRPr="005D6FCC">
        <w:rPr>
          <w:rFonts w:cs="Times New Roman"/>
        </w:rPr>
        <w:tab/>
      </w:r>
      <w:r w:rsidRPr="005D6FCC">
        <w:rPr>
          <w:rFonts w:cs="Times New Roman"/>
          <w:i/>
          <w:iCs/>
        </w:rPr>
        <w:t>A model-based analysis of autonomic nervous function in response to the Valsalva maneuver | Journal of Applied Physiology</w:t>
      </w:r>
      <w:r w:rsidRPr="005D6FCC">
        <w:rPr>
          <w:rFonts w:cs="Times New Roman"/>
        </w:rPr>
        <w:t>. n.d. URL: https://journals.physiology.org/doi/full/10.1152/japplphysiol.00015.2019 (Accessed 3 June 2024).</w:t>
      </w:r>
    </w:p>
    <w:p w14:paraId="63C13449" w14:textId="77777777" w:rsidR="005D6FCC" w:rsidRPr="005D6FCC" w:rsidRDefault="005D6FCC" w:rsidP="005D6FCC">
      <w:pPr>
        <w:pStyle w:val="Bibliography"/>
        <w:rPr>
          <w:rFonts w:cs="Times New Roman"/>
        </w:rPr>
      </w:pPr>
      <w:r w:rsidRPr="005D6FCC">
        <w:rPr>
          <w:rFonts w:cs="Times New Roman"/>
        </w:rPr>
        <w:t>38</w:t>
      </w:r>
      <w:r w:rsidRPr="005D6FCC">
        <w:rPr>
          <w:rFonts w:cs="Times New Roman"/>
        </w:rPr>
        <w:tab/>
        <w:t xml:space="preserve">Lim E, Chan GSH, </w:t>
      </w:r>
      <w:proofErr w:type="spellStart"/>
      <w:r w:rsidRPr="005D6FCC">
        <w:rPr>
          <w:rFonts w:cs="Times New Roman"/>
        </w:rPr>
        <w:t>Dokos</w:t>
      </w:r>
      <w:proofErr w:type="spellEnd"/>
      <w:r w:rsidRPr="005D6FCC">
        <w:rPr>
          <w:rFonts w:cs="Times New Roman"/>
        </w:rPr>
        <w:t xml:space="preserve"> S, Ng SC, Latif LA, </w:t>
      </w:r>
      <w:proofErr w:type="spellStart"/>
      <w:r w:rsidRPr="005D6FCC">
        <w:rPr>
          <w:rFonts w:cs="Times New Roman"/>
        </w:rPr>
        <w:t>Vandenberghe</w:t>
      </w:r>
      <w:proofErr w:type="spellEnd"/>
      <w:r w:rsidRPr="005D6FCC">
        <w:rPr>
          <w:rFonts w:cs="Times New Roman"/>
        </w:rPr>
        <w:t xml:space="preserve"> S, </w:t>
      </w:r>
      <w:r w:rsidRPr="005D6FCC">
        <w:rPr>
          <w:rFonts w:cs="Times New Roman"/>
          <w:i/>
          <w:iCs/>
        </w:rPr>
        <w:t>et al.</w:t>
      </w:r>
      <w:r w:rsidRPr="005D6FCC">
        <w:rPr>
          <w:rFonts w:cs="Times New Roman"/>
        </w:rPr>
        <w:t xml:space="preserve"> A Cardiovascular Mathematical Model of Graded Head-Up Tilt. </w:t>
      </w:r>
      <w:r w:rsidRPr="005D6FCC">
        <w:rPr>
          <w:rFonts w:cs="Times New Roman"/>
          <w:i/>
          <w:iCs/>
        </w:rPr>
        <w:t>PLOS ONE</w:t>
      </w:r>
      <w:r w:rsidRPr="005D6FCC">
        <w:rPr>
          <w:rFonts w:cs="Times New Roman"/>
        </w:rPr>
        <w:t xml:space="preserve"> 2013;</w:t>
      </w:r>
      <w:proofErr w:type="gramStart"/>
      <w:r w:rsidRPr="005D6FCC">
        <w:rPr>
          <w:rFonts w:cs="Times New Roman"/>
          <w:b/>
          <w:bCs/>
        </w:rPr>
        <w:t>8</w:t>
      </w:r>
      <w:r w:rsidRPr="005D6FCC">
        <w:rPr>
          <w:rFonts w:cs="Times New Roman"/>
        </w:rPr>
        <w:t>:e</w:t>
      </w:r>
      <w:proofErr w:type="gramEnd"/>
      <w:r w:rsidRPr="005D6FCC">
        <w:rPr>
          <w:rFonts w:cs="Times New Roman"/>
        </w:rPr>
        <w:t>77357. https://doi.org/10.1371/journal.pone.0077357.</w:t>
      </w:r>
    </w:p>
    <w:p w14:paraId="05FFCDAF" w14:textId="77777777" w:rsidR="005D6FCC" w:rsidRPr="005D6FCC" w:rsidRDefault="005D6FCC" w:rsidP="005D6FCC">
      <w:pPr>
        <w:pStyle w:val="Bibliography"/>
        <w:rPr>
          <w:rFonts w:cs="Times New Roman"/>
        </w:rPr>
      </w:pPr>
      <w:r w:rsidRPr="005D6FCC">
        <w:rPr>
          <w:rFonts w:cs="Times New Roman"/>
        </w:rPr>
        <w:t>39</w:t>
      </w:r>
      <w:r w:rsidRPr="005D6FCC">
        <w:rPr>
          <w:rFonts w:cs="Times New Roman"/>
        </w:rPr>
        <w:tab/>
        <w:t xml:space="preserve">Eckberg DL. Adaptation of the human carotid baroreceptor-cardiac reflex. </w:t>
      </w:r>
      <w:r w:rsidRPr="005D6FCC">
        <w:rPr>
          <w:rFonts w:cs="Times New Roman"/>
          <w:i/>
          <w:iCs/>
        </w:rPr>
        <w:t>The Journal of Physiology</w:t>
      </w:r>
      <w:r w:rsidRPr="005D6FCC">
        <w:rPr>
          <w:rFonts w:cs="Times New Roman"/>
        </w:rPr>
        <w:t xml:space="preserve"> </w:t>
      </w:r>
      <w:proofErr w:type="gramStart"/>
      <w:r w:rsidRPr="005D6FCC">
        <w:rPr>
          <w:rFonts w:cs="Times New Roman"/>
        </w:rPr>
        <w:t>1977;</w:t>
      </w:r>
      <w:r w:rsidRPr="005D6FCC">
        <w:rPr>
          <w:rFonts w:cs="Times New Roman"/>
          <w:b/>
          <w:bCs/>
        </w:rPr>
        <w:t>269</w:t>
      </w:r>
      <w:r w:rsidRPr="005D6FCC">
        <w:rPr>
          <w:rFonts w:cs="Times New Roman"/>
        </w:rPr>
        <w:t>:579</w:t>
      </w:r>
      <w:proofErr w:type="gramEnd"/>
      <w:r w:rsidRPr="005D6FCC">
        <w:rPr>
          <w:rFonts w:cs="Times New Roman"/>
        </w:rPr>
        <w:t>–89. https://doi.org/10.1113/jphysiol.1977.sp011916.</w:t>
      </w:r>
    </w:p>
    <w:p w14:paraId="41825B09" w14:textId="77777777" w:rsidR="005D6FCC" w:rsidRPr="005D6FCC" w:rsidRDefault="005D6FCC" w:rsidP="005D6FCC">
      <w:pPr>
        <w:pStyle w:val="Bibliography"/>
        <w:rPr>
          <w:rFonts w:cs="Times New Roman"/>
        </w:rPr>
      </w:pPr>
      <w:r w:rsidRPr="005D6FCC">
        <w:rPr>
          <w:rFonts w:cs="Times New Roman"/>
        </w:rPr>
        <w:t>40</w:t>
      </w:r>
      <w:r w:rsidRPr="005D6FCC">
        <w:rPr>
          <w:rFonts w:cs="Times New Roman"/>
        </w:rPr>
        <w:tab/>
        <w:t xml:space="preserve">Pruett WA, Husband LD, Husband G, </w:t>
      </w:r>
      <w:proofErr w:type="spellStart"/>
      <w:r w:rsidRPr="005D6FCC">
        <w:rPr>
          <w:rFonts w:cs="Times New Roman"/>
        </w:rPr>
        <w:t>Dakhlalla</w:t>
      </w:r>
      <w:proofErr w:type="spellEnd"/>
      <w:r w:rsidRPr="005D6FCC">
        <w:rPr>
          <w:rFonts w:cs="Times New Roman"/>
        </w:rPr>
        <w:t xml:space="preserve"> M, Bellamy K, Coleman TG, </w:t>
      </w:r>
      <w:r w:rsidRPr="005D6FCC">
        <w:rPr>
          <w:rFonts w:cs="Times New Roman"/>
          <w:i/>
          <w:iCs/>
        </w:rPr>
        <w:t>et al.</w:t>
      </w:r>
      <w:r w:rsidRPr="005D6FCC">
        <w:rPr>
          <w:rFonts w:cs="Times New Roman"/>
        </w:rPr>
        <w:t xml:space="preserve"> A Population Model of Integrative Cardiovascular Physiology. </w:t>
      </w:r>
      <w:r w:rsidRPr="005D6FCC">
        <w:rPr>
          <w:rFonts w:cs="Times New Roman"/>
          <w:i/>
          <w:iCs/>
        </w:rPr>
        <w:t>PLOS ONE</w:t>
      </w:r>
      <w:r w:rsidRPr="005D6FCC">
        <w:rPr>
          <w:rFonts w:cs="Times New Roman"/>
        </w:rPr>
        <w:t xml:space="preserve"> 2013;</w:t>
      </w:r>
      <w:proofErr w:type="gramStart"/>
      <w:r w:rsidRPr="005D6FCC">
        <w:rPr>
          <w:rFonts w:cs="Times New Roman"/>
          <w:b/>
          <w:bCs/>
        </w:rPr>
        <w:t>8</w:t>
      </w:r>
      <w:r w:rsidRPr="005D6FCC">
        <w:rPr>
          <w:rFonts w:cs="Times New Roman"/>
        </w:rPr>
        <w:t>:e</w:t>
      </w:r>
      <w:proofErr w:type="gramEnd"/>
      <w:r w:rsidRPr="005D6FCC">
        <w:rPr>
          <w:rFonts w:cs="Times New Roman"/>
        </w:rPr>
        <w:t>74329. https://doi.org/10.1371/journal.pone.0074329.</w:t>
      </w:r>
    </w:p>
    <w:p w14:paraId="40EB4568" w14:textId="77777777" w:rsidR="005D6FCC" w:rsidRPr="005D6FCC" w:rsidRDefault="005D6FCC" w:rsidP="005D6FCC">
      <w:pPr>
        <w:pStyle w:val="Bibliography"/>
        <w:rPr>
          <w:rFonts w:cs="Times New Roman"/>
        </w:rPr>
      </w:pPr>
      <w:r w:rsidRPr="005D6FCC">
        <w:rPr>
          <w:rFonts w:cs="Times New Roman"/>
        </w:rPr>
        <w:t>41</w:t>
      </w:r>
      <w:r w:rsidRPr="005D6FCC">
        <w:rPr>
          <w:rFonts w:cs="Times New Roman"/>
        </w:rPr>
        <w:tab/>
      </w:r>
      <w:proofErr w:type="spellStart"/>
      <w:r w:rsidRPr="005D6FCC">
        <w:rPr>
          <w:rFonts w:cs="Times New Roman"/>
        </w:rPr>
        <w:t>Magosso</w:t>
      </w:r>
      <w:proofErr w:type="spellEnd"/>
      <w:r w:rsidRPr="005D6FCC">
        <w:rPr>
          <w:rFonts w:cs="Times New Roman"/>
        </w:rPr>
        <w:t xml:space="preserve"> E, Cavalcanti S, </w:t>
      </w:r>
      <w:proofErr w:type="spellStart"/>
      <w:r w:rsidRPr="005D6FCC">
        <w:rPr>
          <w:rFonts w:cs="Times New Roman"/>
        </w:rPr>
        <w:t>Ursino</w:t>
      </w:r>
      <w:proofErr w:type="spellEnd"/>
      <w:r w:rsidRPr="005D6FCC">
        <w:rPr>
          <w:rFonts w:cs="Times New Roman"/>
        </w:rPr>
        <w:t xml:space="preserve"> M. Theoretical analysis of rest and exercise </w:t>
      </w:r>
      <w:proofErr w:type="gramStart"/>
      <w:r w:rsidRPr="005D6FCC">
        <w:rPr>
          <w:rFonts w:cs="Times New Roman"/>
        </w:rPr>
        <w:t>hemodynamics  in</w:t>
      </w:r>
      <w:proofErr w:type="gramEnd"/>
      <w:r w:rsidRPr="005D6FCC">
        <w:rPr>
          <w:rFonts w:cs="Times New Roman"/>
        </w:rPr>
        <w:t xml:space="preserve"> patients with total </w:t>
      </w:r>
      <w:proofErr w:type="spellStart"/>
      <w:r w:rsidRPr="005D6FCC">
        <w:rPr>
          <w:rFonts w:cs="Times New Roman"/>
        </w:rPr>
        <w:t>cavopulmonary</w:t>
      </w:r>
      <w:proofErr w:type="spellEnd"/>
      <w:r w:rsidRPr="005D6FCC">
        <w:rPr>
          <w:rFonts w:cs="Times New Roman"/>
        </w:rPr>
        <w:t xml:space="preserve"> connection. </w:t>
      </w:r>
      <w:r w:rsidRPr="005D6FCC">
        <w:rPr>
          <w:rFonts w:cs="Times New Roman"/>
          <w:i/>
          <w:iCs/>
        </w:rPr>
        <w:t>American Journal of Physiology-Heart and Circulatory Physiology</w:t>
      </w:r>
      <w:r w:rsidRPr="005D6FCC">
        <w:rPr>
          <w:rFonts w:cs="Times New Roman"/>
        </w:rPr>
        <w:t xml:space="preserve"> 2002;</w:t>
      </w:r>
      <w:r w:rsidRPr="005D6FCC">
        <w:rPr>
          <w:rFonts w:cs="Times New Roman"/>
          <w:b/>
          <w:bCs/>
        </w:rPr>
        <w:t>282</w:t>
      </w:r>
      <w:r w:rsidRPr="005D6FCC">
        <w:rPr>
          <w:rFonts w:cs="Times New Roman"/>
        </w:rPr>
        <w:t>:H1018–34. https://doi.org/10.1152/ajpheart.00231.2001.</w:t>
      </w:r>
    </w:p>
    <w:p w14:paraId="1CD27828" w14:textId="77777777" w:rsidR="005D6FCC" w:rsidRPr="005D6FCC" w:rsidRDefault="005D6FCC" w:rsidP="005D6FCC">
      <w:pPr>
        <w:pStyle w:val="Bibliography"/>
        <w:rPr>
          <w:rFonts w:cs="Times New Roman"/>
        </w:rPr>
      </w:pPr>
      <w:r w:rsidRPr="005D6FCC">
        <w:rPr>
          <w:rFonts w:cs="Times New Roman"/>
        </w:rPr>
        <w:t>42</w:t>
      </w:r>
      <w:r w:rsidRPr="005D6FCC">
        <w:rPr>
          <w:rFonts w:cs="Times New Roman"/>
        </w:rPr>
        <w:tab/>
        <w:t xml:space="preserve">Liang F, Liu H. Simulation of Hemodynamic Responses to the Valsalva Maneuver: An Integrative Computational Model of the Cardiovascular System and the Autonomic Nervous System. </w:t>
      </w:r>
      <w:r w:rsidRPr="005D6FCC">
        <w:rPr>
          <w:rFonts w:cs="Times New Roman"/>
          <w:i/>
          <w:iCs/>
        </w:rPr>
        <w:t>The Journal of Physiological Sciences</w:t>
      </w:r>
      <w:r w:rsidRPr="005D6FCC">
        <w:rPr>
          <w:rFonts w:cs="Times New Roman"/>
        </w:rPr>
        <w:t xml:space="preserve"> </w:t>
      </w:r>
      <w:proofErr w:type="gramStart"/>
      <w:r w:rsidRPr="005D6FCC">
        <w:rPr>
          <w:rFonts w:cs="Times New Roman"/>
        </w:rPr>
        <w:t>2006;</w:t>
      </w:r>
      <w:r w:rsidRPr="005D6FCC">
        <w:rPr>
          <w:rFonts w:cs="Times New Roman"/>
          <w:b/>
          <w:bCs/>
        </w:rPr>
        <w:t>56</w:t>
      </w:r>
      <w:r w:rsidRPr="005D6FCC">
        <w:rPr>
          <w:rFonts w:cs="Times New Roman"/>
        </w:rPr>
        <w:t>:45</w:t>
      </w:r>
      <w:proofErr w:type="gramEnd"/>
      <w:r w:rsidRPr="005D6FCC">
        <w:rPr>
          <w:rFonts w:cs="Times New Roman"/>
        </w:rPr>
        <w:t>–65. https://doi.org/10.2170/physiolsci.RP001305.</w:t>
      </w:r>
    </w:p>
    <w:p w14:paraId="5158540C" w14:textId="77777777" w:rsidR="005D6FCC" w:rsidRPr="005D6FCC" w:rsidRDefault="005D6FCC" w:rsidP="005D6FCC">
      <w:pPr>
        <w:pStyle w:val="Bibliography"/>
        <w:rPr>
          <w:rFonts w:cs="Times New Roman"/>
        </w:rPr>
      </w:pPr>
      <w:r w:rsidRPr="005D6FCC">
        <w:rPr>
          <w:rFonts w:cs="Times New Roman"/>
        </w:rPr>
        <w:t>43</w:t>
      </w:r>
      <w:r w:rsidRPr="005D6FCC">
        <w:rPr>
          <w:rFonts w:cs="Times New Roman"/>
        </w:rPr>
        <w:tab/>
        <w:t xml:space="preserve">Dash RK, </w:t>
      </w:r>
      <w:proofErr w:type="spellStart"/>
      <w:r w:rsidRPr="005D6FCC">
        <w:rPr>
          <w:rFonts w:cs="Times New Roman"/>
        </w:rPr>
        <w:t>Korman</w:t>
      </w:r>
      <w:proofErr w:type="spellEnd"/>
      <w:r w:rsidRPr="005D6FCC">
        <w:rPr>
          <w:rFonts w:cs="Times New Roman"/>
        </w:rPr>
        <w:t xml:space="preserve"> B, </w:t>
      </w:r>
      <w:proofErr w:type="spellStart"/>
      <w:r w:rsidRPr="005D6FCC">
        <w:rPr>
          <w:rFonts w:cs="Times New Roman"/>
        </w:rPr>
        <w:t>Bassingthwaighte</w:t>
      </w:r>
      <w:proofErr w:type="spellEnd"/>
      <w:r w:rsidRPr="005D6FCC">
        <w:rPr>
          <w:rFonts w:cs="Times New Roman"/>
        </w:rPr>
        <w:t xml:space="preserve"> JB. Simple accurate mathematical models of blood HbO2 and HbCO2 dissociation curves at varied physiological conditions: evaluation and comparison with other models. </w:t>
      </w:r>
      <w:proofErr w:type="spellStart"/>
      <w:r w:rsidRPr="005D6FCC">
        <w:rPr>
          <w:rFonts w:cs="Times New Roman"/>
          <w:i/>
          <w:iCs/>
        </w:rPr>
        <w:t>Eur</w:t>
      </w:r>
      <w:proofErr w:type="spellEnd"/>
      <w:r w:rsidRPr="005D6FCC">
        <w:rPr>
          <w:rFonts w:cs="Times New Roman"/>
          <w:i/>
          <w:iCs/>
        </w:rPr>
        <w:t xml:space="preserve"> J Appl </w:t>
      </w:r>
      <w:proofErr w:type="spellStart"/>
      <w:r w:rsidRPr="005D6FCC">
        <w:rPr>
          <w:rFonts w:cs="Times New Roman"/>
          <w:i/>
          <w:iCs/>
        </w:rPr>
        <w:t>Physiol</w:t>
      </w:r>
      <w:proofErr w:type="spellEnd"/>
      <w:r w:rsidRPr="005D6FCC">
        <w:rPr>
          <w:rFonts w:cs="Times New Roman"/>
        </w:rPr>
        <w:t xml:space="preserve"> </w:t>
      </w:r>
      <w:proofErr w:type="gramStart"/>
      <w:r w:rsidRPr="005D6FCC">
        <w:rPr>
          <w:rFonts w:cs="Times New Roman"/>
        </w:rPr>
        <w:t>2016;</w:t>
      </w:r>
      <w:r w:rsidRPr="005D6FCC">
        <w:rPr>
          <w:rFonts w:cs="Times New Roman"/>
          <w:b/>
          <w:bCs/>
        </w:rPr>
        <w:t>116</w:t>
      </w:r>
      <w:r w:rsidRPr="005D6FCC">
        <w:rPr>
          <w:rFonts w:cs="Times New Roman"/>
        </w:rPr>
        <w:t>:97</w:t>
      </w:r>
      <w:proofErr w:type="gramEnd"/>
      <w:r w:rsidRPr="005D6FCC">
        <w:rPr>
          <w:rFonts w:cs="Times New Roman"/>
        </w:rPr>
        <w:t>–113. https://doi.org/10.1007/s00421-015-3228-3.</w:t>
      </w:r>
    </w:p>
    <w:p w14:paraId="449D2F12" w14:textId="77777777" w:rsidR="005D6FCC" w:rsidRPr="005D6FCC" w:rsidRDefault="005D6FCC" w:rsidP="005D6FCC">
      <w:pPr>
        <w:pStyle w:val="Bibliography"/>
        <w:rPr>
          <w:rFonts w:cs="Times New Roman"/>
        </w:rPr>
      </w:pPr>
      <w:r w:rsidRPr="005D6FCC">
        <w:rPr>
          <w:rFonts w:cs="Times New Roman"/>
        </w:rPr>
        <w:t>44</w:t>
      </w:r>
      <w:r w:rsidRPr="005D6FCC">
        <w:rPr>
          <w:rFonts w:cs="Times New Roman"/>
        </w:rPr>
        <w:tab/>
      </w:r>
      <w:proofErr w:type="spellStart"/>
      <w:r w:rsidRPr="005D6FCC">
        <w:rPr>
          <w:rFonts w:cs="Times New Roman"/>
        </w:rPr>
        <w:t>Bellomo</w:t>
      </w:r>
      <w:proofErr w:type="spellEnd"/>
      <w:r w:rsidRPr="005D6FCC">
        <w:rPr>
          <w:rFonts w:cs="Times New Roman"/>
        </w:rPr>
        <w:t xml:space="preserve"> R. Bench-to-bedside review: Lactate and the kidney. </w:t>
      </w:r>
      <w:r w:rsidRPr="005D6FCC">
        <w:rPr>
          <w:rFonts w:cs="Times New Roman"/>
          <w:i/>
          <w:iCs/>
        </w:rPr>
        <w:t>Crit Care</w:t>
      </w:r>
      <w:r w:rsidRPr="005D6FCC">
        <w:rPr>
          <w:rFonts w:cs="Times New Roman"/>
        </w:rPr>
        <w:t xml:space="preserve"> </w:t>
      </w:r>
      <w:proofErr w:type="gramStart"/>
      <w:r w:rsidRPr="005D6FCC">
        <w:rPr>
          <w:rFonts w:cs="Times New Roman"/>
        </w:rPr>
        <w:t>2002;</w:t>
      </w:r>
      <w:r w:rsidRPr="005D6FCC">
        <w:rPr>
          <w:rFonts w:cs="Times New Roman"/>
          <w:b/>
          <w:bCs/>
        </w:rPr>
        <w:t>6</w:t>
      </w:r>
      <w:r w:rsidRPr="005D6FCC">
        <w:rPr>
          <w:rFonts w:cs="Times New Roman"/>
        </w:rPr>
        <w:t>:322</w:t>
      </w:r>
      <w:proofErr w:type="gramEnd"/>
      <w:r w:rsidRPr="005D6FCC">
        <w:rPr>
          <w:rFonts w:cs="Times New Roman"/>
        </w:rPr>
        <w:t>. https://doi.org/10.1186/cc1518.</w:t>
      </w:r>
    </w:p>
    <w:p w14:paraId="5D238FCB" w14:textId="77777777" w:rsidR="005D6FCC" w:rsidRPr="005D6FCC" w:rsidRDefault="005D6FCC" w:rsidP="005D6FCC">
      <w:pPr>
        <w:pStyle w:val="Bibliography"/>
        <w:rPr>
          <w:rFonts w:cs="Times New Roman"/>
        </w:rPr>
      </w:pPr>
      <w:r w:rsidRPr="005D6FCC">
        <w:rPr>
          <w:rFonts w:cs="Times New Roman"/>
        </w:rPr>
        <w:t>45</w:t>
      </w:r>
      <w:r w:rsidRPr="005D6FCC">
        <w:rPr>
          <w:rFonts w:cs="Times New Roman"/>
        </w:rPr>
        <w:tab/>
        <w:t xml:space="preserve">Jennings LK, Watson S. Massive Transfusion. </w:t>
      </w:r>
      <w:proofErr w:type="spellStart"/>
      <w:r w:rsidRPr="005D6FCC">
        <w:rPr>
          <w:rFonts w:cs="Times New Roman"/>
          <w:i/>
          <w:iCs/>
        </w:rPr>
        <w:t>StatPearls</w:t>
      </w:r>
      <w:proofErr w:type="spellEnd"/>
      <w:r w:rsidRPr="005D6FCC">
        <w:rPr>
          <w:rFonts w:cs="Times New Roman"/>
        </w:rPr>
        <w:t xml:space="preserve">. Treasure Island (FL): </w:t>
      </w:r>
      <w:proofErr w:type="spellStart"/>
      <w:r w:rsidRPr="005D6FCC">
        <w:rPr>
          <w:rFonts w:cs="Times New Roman"/>
        </w:rPr>
        <w:t>StatPearls</w:t>
      </w:r>
      <w:proofErr w:type="spellEnd"/>
      <w:r w:rsidRPr="005D6FCC">
        <w:rPr>
          <w:rFonts w:cs="Times New Roman"/>
        </w:rPr>
        <w:t xml:space="preserve"> Publishing; 2023.</w:t>
      </w:r>
    </w:p>
    <w:p w14:paraId="385038D0" w14:textId="77777777" w:rsidR="005D6FCC" w:rsidRPr="005D6FCC" w:rsidRDefault="005D6FCC" w:rsidP="005D6FCC">
      <w:pPr>
        <w:pStyle w:val="Bibliography"/>
        <w:rPr>
          <w:rFonts w:cs="Times New Roman"/>
        </w:rPr>
      </w:pPr>
      <w:r w:rsidRPr="005D6FCC">
        <w:rPr>
          <w:rFonts w:cs="Times New Roman"/>
        </w:rPr>
        <w:lastRenderedPageBreak/>
        <w:t>46</w:t>
      </w:r>
      <w:r w:rsidRPr="005D6FCC">
        <w:rPr>
          <w:rFonts w:cs="Times New Roman"/>
        </w:rPr>
        <w:tab/>
      </w:r>
      <w:proofErr w:type="spellStart"/>
      <w:r w:rsidRPr="005D6FCC">
        <w:rPr>
          <w:rFonts w:cs="Times New Roman"/>
        </w:rPr>
        <w:t>Petrosoniak</w:t>
      </w:r>
      <w:proofErr w:type="spellEnd"/>
      <w:r w:rsidRPr="005D6FCC">
        <w:rPr>
          <w:rFonts w:cs="Times New Roman"/>
        </w:rPr>
        <w:t xml:space="preserve"> A, Hicks C. Resuscitation </w:t>
      </w:r>
      <w:proofErr w:type="spellStart"/>
      <w:r w:rsidRPr="005D6FCC">
        <w:rPr>
          <w:rFonts w:cs="Times New Roman"/>
        </w:rPr>
        <w:t>Resequenced</w:t>
      </w:r>
      <w:proofErr w:type="spellEnd"/>
      <w:r w:rsidRPr="005D6FCC">
        <w:rPr>
          <w:rFonts w:cs="Times New Roman"/>
        </w:rPr>
        <w:t xml:space="preserve">: A Rational Approach to Patients with Trauma in Shock. </w:t>
      </w:r>
      <w:r w:rsidRPr="005D6FCC">
        <w:rPr>
          <w:rFonts w:cs="Times New Roman"/>
          <w:i/>
          <w:iCs/>
        </w:rPr>
        <w:t>Emergency Medicine Clinics</w:t>
      </w:r>
      <w:r w:rsidRPr="005D6FCC">
        <w:rPr>
          <w:rFonts w:cs="Times New Roman"/>
        </w:rPr>
        <w:t xml:space="preserve"> </w:t>
      </w:r>
      <w:proofErr w:type="gramStart"/>
      <w:r w:rsidRPr="005D6FCC">
        <w:rPr>
          <w:rFonts w:cs="Times New Roman"/>
        </w:rPr>
        <w:t>2018;</w:t>
      </w:r>
      <w:r w:rsidRPr="005D6FCC">
        <w:rPr>
          <w:rFonts w:cs="Times New Roman"/>
          <w:b/>
          <w:bCs/>
        </w:rPr>
        <w:t>36</w:t>
      </w:r>
      <w:r w:rsidRPr="005D6FCC">
        <w:rPr>
          <w:rFonts w:cs="Times New Roman"/>
        </w:rPr>
        <w:t>:41</w:t>
      </w:r>
      <w:proofErr w:type="gramEnd"/>
      <w:r w:rsidRPr="005D6FCC">
        <w:rPr>
          <w:rFonts w:cs="Times New Roman"/>
        </w:rPr>
        <w:t>–60. https://doi.org/10.1016/j.emc.2017.08.005.</w:t>
      </w:r>
    </w:p>
    <w:p w14:paraId="78A043C6" w14:textId="77777777" w:rsidR="005D6FCC" w:rsidRPr="005D6FCC" w:rsidRDefault="005D6FCC" w:rsidP="005D6FCC">
      <w:pPr>
        <w:pStyle w:val="Bibliography"/>
        <w:rPr>
          <w:rFonts w:cs="Times New Roman"/>
        </w:rPr>
      </w:pPr>
      <w:r w:rsidRPr="005D6FCC">
        <w:rPr>
          <w:rFonts w:cs="Times New Roman"/>
        </w:rPr>
        <w:t>47</w:t>
      </w:r>
      <w:r w:rsidRPr="005D6FCC">
        <w:rPr>
          <w:rFonts w:cs="Times New Roman"/>
        </w:rPr>
        <w:tab/>
      </w:r>
      <w:proofErr w:type="spellStart"/>
      <w:r w:rsidRPr="005D6FCC">
        <w:rPr>
          <w:rFonts w:cs="Times New Roman"/>
        </w:rPr>
        <w:t>Newgard</w:t>
      </w:r>
      <w:proofErr w:type="spellEnd"/>
      <w:r w:rsidRPr="005D6FCC">
        <w:rPr>
          <w:rFonts w:cs="Times New Roman"/>
        </w:rPr>
        <w:t xml:space="preserve"> CD, Cheney TP, Chou R, Fu R, Daya MR, O’Neil ME, </w:t>
      </w:r>
      <w:r w:rsidRPr="005D6FCC">
        <w:rPr>
          <w:rFonts w:cs="Times New Roman"/>
          <w:i/>
          <w:iCs/>
        </w:rPr>
        <w:t>et al.</w:t>
      </w:r>
      <w:r w:rsidRPr="005D6FCC">
        <w:rPr>
          <w:rFonts w:cs="Times New Roman"/>
        </w:rPr>
        <w:t xml:space="preserve"> Out-of-hospital Circulatory Measures to Identify Patients </w:t>
      </w:r>
      <w:proofErr w:type="gramStart"/>
      <w:r w:rsidRPr="005D6FCC">
        <w:rPr>
          <w:rFonts w:cs="Times New Roman"/>
        </w:rPr>
        <w:t>With</w:t>
      </w:r>
      <w:proofErr w:type="gramEnd"/>
      <w:r w:rsidRPr="005D6FCC">
        <w:rPr>
          <w:rFonts w:cs="Times New Roman"/>
        </w:rPr>
        <w:t xml:space="preserve"> Serious Injury: A Systematic Review. </w:t>
      </w:r>
      <w:r w:rsidRPr="005D6FCC">
        <w:rPr>
          <w:rFonts w:cs="Times New Roman"/>
          <w:i/>
          <w:iCs/>
        </w:rPr>
        <w:t>Academic Emergency Medicine</w:t>
      </w:r>
      <w:r w:rsidRPr="005D6FCC">
        <w:rPr>
          <w:rFonts w:cs="Times New Roman"/>
        </w:rPr>
        <w:t xml:space="preserve"> </w:t>
      </w:r>
      <w:proofErr w:type="gramStart"/>
      <w:r w:rsidRPr="005D6FCC">
        <w:rPr>
          <w:rFonts w:cs="Times New Roman"/>
        </w:rPr>
        <w:t>2020;</w:t>
      </w:r>
      <w:r w:rsidRPr="005D6FCC">
        <w:rPr>
          <w:rFonts w:cs="Times New Roman"/>
          <w:b/>
          <w:bCs/>
        </w:rPr>
        <w:t>27</w:t>
      </w:r>
      <w:r w:rsidRPr="005D6FCC">
        <w:rPr>
          <w:rFonts w:cs="Times New Roman"/>
        </w:rPr>
        <w:t>:1323</w:t>
      </w:r>
      <w:proofErr w:type="gramEnd"/>
      <w:r w:rsidRPr="005D6FCC">
        <w:rPr>
          <w:rFonts w:cs="Times New Roman"/>
        </w:rPr>
        <w:t>–39. https://doi.org/10.1111/acem.14056.</w:t>
      </w:r>
    </w:p>
    <w:p w14:paraId="3754F652" w14:textId="77777777" w:rsidR="005D6FCC" w:rsidRPr="005D6FCC" w:rsidRDefault="005D6FCC" w:rsidP="005D6FCC">
      <w:pPr>
        <w:pStyle w:val="Bibliography"/>
        <w:rPr>
          <w:rFonts w:cs="Times New Roman"/>
        </w:rPr>
      </w:pPr>
      <w:r w:rsidRPr="005D6FCC">
        <w:rPr>
          <w:rFonts w:cs="Times New Roman"/>
        </w:rPr>
        <w:t>48</w:t>
      </w:r>
      <w:r w:rsidRPr="005D6FCC">
        <w:rPr>
          <w:rFonts w:cs="Times New Roman"/>
        </w:rPr>
        <w:tab/>
        <w:t xml:space="preserve">Broder G, Weil MH. Excess Lactate: An Index of Reversibility of Shock in Human Patients. </w:t>
      </w:r>
      <w:r w:rsidRPr="005D6FCC">
        <w:rPr>
          <w:rFonts w:cs="Times New Roman"/>
          <w:i/>
          <w:iCs/>
        </w:rPr>
        <w:t>Science</w:t>
      </w:r>
      <w:r w:rsidRPr="005D6FCC">
        <w:rPr>
          <w:rFonts w:cs="Times New Roman"/>
        </w:rPr>
        <w:t xml:space="preserve"> </w:t>
      </w:r>
      <w:proofErr w:type="gramStart"/>
      <w:r w:rsidRPr="005D6FCC">
        <w:rPr>
          <w:rFonts w:cs="Times New Roman"/>
        </w:rPr>
        <w:t>1964;</w:t>
      </w:r>
      <w:r w:rsidRPr="005D6FCC">
        <w:rPr>
          <w:rFonts w:cs="Times New Roman"/>
          <w:b/>
          <w:bCs/>
        </w:rPr>
        <w:t>143</w:t>
      </w:r>
      <w:r w:rsidRPr="005D6FCC">
        <w:rPr>
          <w:rFonts w:cs="Times New Roman"/>
        </w:rPr>
        <w:t>:1457</w:t>
      </w:r>
      <w:proofErr w:type="gramEnd"/>
      <w:r w:rsidRPr="005D6FCC">
        <w:rPr>
          <w:rFonts w:cs="Times New Roman"/>
        </w:rPr>
        <w:t>–9. https://doi.org/10.1126/science.143.3613.1457.</w:t>
      </w:r>
    </w:p>
    <w:p w14:paraId="1067F4C5" w14:textId="62396144" w:rsidR="009B6A6A" w:rsidRPr="009B6A6A" w:rsidRDefault="009D793F" w:rsidP="00A94F13">
      <w:pPr>
        <w:pStyle w:val="Heading1"/>
        <w:numPr>
          <w:ilvl w:val="0"/>
          <w:numId w:val="0"/>
        </w:numPr>
        <w:ind w:left="567" w:hanging="567"/>
      </w:pPr>
      <w:r>
        <w:fldChar w:fldCharType="end"/>
      </w:r>
    </w:p>
    <w:sectPr w:rsidR="009B6A6A" w:rsidRPr="009B6A6A" w:rsidSect="00D537FA">
      <w:headerReference w:type="even" r:id="rId12"/>
      <w:headerReference w:type="default" r:id="rId13"/>
      <w:footerReference w:type="even" r:id="rId14"/>
      <w:footerReference w:type="default" r:id="rId15"/>
      <w:headerReference w:type="first" r:id="rId16"/>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45F55" w14:textId="77777777" w:rsidR="00AA3732" w:rsidRDefault="00AA3732" w:rsidP="00117666">
      <w:pPr>
        <w:spacing w:after="0"/>
      </w:pPr>
      <w:r>
        <w:separator/>
      </w:r>
    </w:p>
  </w:endnote>
  <w:endnote w:type="continuationSeparator" w:id="0">
    <w:p w14:paraId="74E4A820" w14:textId="77777777" w:rsidR="00AA3732" w:rsidRDefault="00AA3732"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Cambria"/>
    <w:charset w:val="00"/>
    <w:family w:val="roman"/>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980A587" w:rsidR="00686C9D" w:rsidRPr="00577C4C" w:rsidRDefault="00C52A7B">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0E86D" w14:textId="77777777" w:rsidR="00AA3732" w:rsidRDefault="00AA3732" w:rsidP="00117666">
      <w:pPr>
        <w:spacing w:after="0"/>
      </w:pPr>
      <w:r>
        <w:separator/>
      </w:r>
    </w:p>
  </w:footnote>
  <w:footnote w:type="continuationSeparator" w:id="0">
    <w:p w14:paraId="4BB58AB3" w14:textId="77777777" w:rsidR="00AA3732" w:rsidRDefault="00AA3732"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7A741CBA"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0ED89E7D" w:rsidR="00686C9D" w:rsidRDefault="00C52A7B"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5167CAE"/>
    <w:multiLevelType w:val="hybridMultilevel"/>
    <w:tmpl w:val="A1EA40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76320908">
    <w:abstractNumId w:val="0"/>
  </w:num>
  <w:num w:numId="2" w16cid:durableId="1153378170">
    <w:abstractNumId w:val="14"/>
  </w:num>
  <w:num w:numId="3" w16cid:durableId="1744714301">
    <w:abstractNumId w:val="1"/>
  </w:num>
  <w:num w:numId="4" w16cid:durableId="757596473">
    <w:abstractNumId w:val="16"/>
  </w:num>
  <w:num w:numId="5" w16cid:durableId="1119182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4793349">
    <w:abstractNumId w:val="11"/>
  </w:num>
  <w:num w:numId="7" w16cid:durableId="2047411065">
    <w:abstractNumId w:val="9"/>
  </w:num>
  <w:num w:numId="8" w16cid:durableId="518859578">
    <w:abstractNumId w:val="7"/>
  </w:num>
  <w:num w:numId="9" w16cid:durableId="2126188287">
    <w:abstractNumId w:val="10"/>
  </w:num>
  <w:num w:numId="10" w16cid:durableId="2042825382">
    <w:abstractNumId w:val="8"/>
  </w:num>
  <w:num w:numId="11" w16cid:durableId="627517335">
    <w:abstractNumId w:val="2"/>
  </w:num>
  <w:num w:numId="12" w16cid:durableId="1437600889">
    <w:abstractNumId w:val="18"/>
  </w:num>
  <w:num w:numId="13" w16cid:durableId="1406292875">
    <w:abstractNumId w:val="13"/>
  </w:num>
  <w:num w:numId="14" w16cid:durableId="1267232707">
    <w:abstractNumId w:val="4"/>
  </w:num>
  <w:num w:numId="15" w16cid:durableId="94523808">
    <w:abstractNumId w:val="12"/>
  </w:num>
  <w:num w:numId="16" w16cid:durableId="201938381">
    <w:abstractNumId w:val="15"/>
  </w:num>
  <w:num w:numId="17" w16cid:durableId="1654211959">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2724455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4188498">
    <w:abstractNumId w:val="6"/>
  </w:num>
  <w:num w:numId="20" w16cid:durableId="1592592350">
    <w:abstractNumId w:val="17"/>
  </w:num>
  <w:num w:numId="21" w16cid:durableId="577520931">
    <w:abstractNumId w:val="3"/>
  </w:num>
  <w:num w:numId="22" w16cid:durableId="185098527">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1978872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zMLcwMTCzNDM0NjdQ0lEKTi0uzszPAykwNKkFAEjvGbctAAAA"/>
  </w:docVars>
  <w:rsids>
    <w:rsidRoot w:val="00681821"/>
    <w:rsid w:val="00004AC0"/>
    <w:rsid w:val="00005717"/>
    <w:rsid w:val="00006C1D"/>
    <w:rsid w:val="00034304"/>
    <w:rsid w:val="00035434"/>
    <w:rsid w:val="0004555F"/>
    <w:rsid w:val="00045678"/>
    <w:rsid w:val="000458E4"/>
    <w:rsid w:val="00054562"/>
    <w:rsid w:val="00060B24"/>
    <w:rsid w:val="00063D84"/>
    <w:rsid w:val="0006636D"/>
    <w:rsid w:val="000667EF"/>
    <w:rsid w:val="00072973"/>
    <w:rsid w:val="00073071"/>
    <w:rsid w:val="00077D53"/>
    <w:rsid w:val="00080388"/>
    <w:rsid w:val="00081394"/>
    <w:rsid w:val="0009446A"/>
    <w:rsid w:val="00094AE0"/>
    <w:rsid w:val="000A3B0E"/>
    <w:rsid w:val="000A49CE"/>
    <w:rsid w:val="000B13DC"/>
    <w:rsid w:val="000B34BD"/>
    <w:rsid w:val="000C7470"/>
    <w:rsid w:val="000C7E2A"/>
    <w:rsid w:val="000F13AC"/>
    <w:rsid w:val="000F4CFB"/>
    <w:rsid w:val="00102E37"/>
    <w:rsid w:val="0010487D"/>
    <w:rsid w:val="00117666"/>
    <w:rsid w:val="001223A7"/>
    <w:rsid w:val="00134100"/>
    <w:rsid w:val="00134256"/>
    <w:rsid w:val="0013695D"/>
    <w:rsid w:val="00137A99"/>
    <w:rsid w:val="00147395"/>
    <w:rsid w:val="001552C9"/>
    <w:rsid w:val="0016574D"/>
    <w:rsid w:val="001700EC"/>
    <w:rsid w:val="001746A2"/>
    <w:rsid w:val="00177D84"/>
    <w:rsid w:val="00191A00"/>
    <w:rsid w:val="00194E55"/>
    <w:rsid w:val="001964EF"/>
    <w:rsid w:val="001A0DDD"/>
    <w:rsid w:val="001A5829"/>
    <w:rsid w:val="001A763B"/>
    <w:rsid w:val="001B1A2C"/>
    <w:rsid w:val="001D4382"/>
    <w:rsid w:val="001D5C23"/>
    <w:rsid w:val="001D7962"/>
    <w:rsid w:val="001F319E"/>
    <w:rsid w:val="001F4C07"/>
    <w:rsid w:val="001F4D78"/>
    <w:rsid w:val="00201660"/>
    <w:rsid w:val="0020567E"/>
    <w:rsid w:val="002147E1"/>
    <w:rsid w:val="00216013"/>
    <w:rsid w:val="00216AFC"/>
    <w:rsid w:val="00220952"/>
    <w:rsid w:val="00220AEA"/>
    <w:rsid w:val="00225337"/>
    <w:rsid w:val="00226954"/>
    <w:rsid w:val="00226D0F"/>
    <w:rsid w:val="0023175D"/>
    <w:rsid w:val="00231966"/>
    <w:rsid w:val="00240D78"/>
    <w:rsid w:val="00242773"/>
    <w:rsid w:val="00242C94"/>
    <w:rsid w:val="00244214"/>
    <w:rsid w:val="002457B9"/>
    <w:rsid w:val="00252BC9"/>
    <w:rsid w:val="002629A3"/>
    <w:rsid w:val="00265630"/>
    <w:rsid w:val="00265660"/>
    <w:rsid w:val="002672EB"/>
    <w:rsid w:val="00267D18"/>
    <w:rsid w:val="00274AA3"/>
    <w:rsid w:val="00276C50"/>
    <w:rsid w:val="002868E2"/>
    <w:rsid w:val="002869C3"/>
    <w:rsid w:val="00287873"/>
    <w:rsid w:val="002905FD"/>
    <w:rsid w:val="00291D09"/>
    <w:rsid w:val="002936E4"/>
    <w:rsid w:val="00296B88"/>
    <w:rsid w:val="002A2AF1"/>
    <w:rsid w:val="002B2B2F"/>
    <w:rsid w:val="002B3972"/>
    <w:rsid w:val="002B4F9A"/>
    <w:rsid w:val="002C4AFB"/>
    <w:rsid w:val="002C67FC"/>
    <w:rsid w:val="002C74CA"/>
    <w:rsid w:val="002D4797"/>
    <w:rsid w:val="002D7DFB"/>
    <w:rsid w:val="002F40C1"/>
    <w:rsid w:val="002F744D"/>
    <w:rsid w:val="00303DE6"/>
    <w:rsid w:val="003063CF"/>
    <w:rsid w:val="00307179"/>
    <w:rsid w:val="00310124"/>
    <w:rsid w:val="00317F32"/>
    <w:rsid w:val="0033196D"/>
    <w:rsid w:val="0033360D"/>
    <w:rsid w:val="0033436C"/>
    <w:rsid w:val="0033689F"/>
    <w:rsid w:val="00337ABB"/>
    <w:rsid w:val="00340386"/>
    <w:rsid w:val="0034421B"/>
    <w:rsid w:val="003544FB"/>
    <w:rsid w:val="00356E84"/>
    <w:rsid w:val="00365D63"/>
    <w:rsid w:val="0036793B"/>
    <w:rsid w:val="00372682"/>
    <w:rsid w:val="00376CC5"/>
    <w:rsid w:val="00380729"/>
    <w:rsid w:val="00385899"/>
    <w:rsid w:val="003956DF"/>
    <w:rsid w:val="0039693B"/>
    <w:rsid w:val="00396D5C"/>
    <w:rsid w:val="003A4CC6"/>
    <w:rsid w:val="003B5813"/>
    <w:rsid w:val="003B5FB2"/>
    <w:rsid w:val="003C2A69"/>
    <w:rsid w:val="003D2F2D"/>
    <w:rsid w:val="003E4844"/>
    <w:rsid w:val="003F558B"/>
    <w:rsid w:val="00401590"/>
    <w:rsid w:val="00407681"/>
    <w:rsid w:val="00411A2C"/>
    <w:rsid w:val="004158A1"/>
    <w:rsid w:val="00422C94"/>
    <w:rsid w:val="00431001"/>
    <w:rsid w:val="004366C8"/>
    <w:rsid w:val="00436E5D"/>
    <w:rsid w:val="00441491"/>
    <w:rsid w:val="0044760D"/>
    <w:rsid w:val="00454482"/>
    <w:rsid w:val="004550B9"/>
    <w:rsid w:val="00463E3D"/>
    <w:rsid w:val="004645AE"/>
    <w:rsid w:val="00494678"/>
    <w:rsid w:val="004952F7"/>
    <w:rsid w:val="004959E7"/>
    <w:rsid w:val="00496F2E"/>
    <w:rsid w:val="004A21C7"/>
    <w:rsid w:val="004A290B"/>
    <w:rsid w:val="004B5616"/>
    <w:rsid w:val="004B7D56"/>
    <w:rsid w:val="004D3E33"/>
    <w:rsid w:val="004D53CF"/>
    <w:rsid w:val="004E0191"/>
    <w:rsid w:val="004F5017"/>
    <w:rsid w:val="00507185"/>
    <w:rsid w:val="00513F7C"/>
    <w:rsid w:val="00517354"/>
    <w:rsid w:val="00517B7C"/>
    <w:rsid w:val="0052449A"/>
    <w:rsid w:val="005250F2"/>
    <w:rsid w:val="00527F87"/>
    <w:rsid w:val="005326B3"/>
    <w:rsid w:val="00541338"/>
    <w:rsid w:val="00551281"/>
    <w:rsid w:val="00553318"/>
    <w:rsid w:val="00572ECB"/>
    <w:rsid w:val="00573D9B"/>
    <w:rsid w:val="00585430"/>
    <w:rsid w:val="00594165"/>
    <w:rsid w:val="005955C0"/>
    <w:rsid w:val="0059686C"/>
    <w:rsid w:val="005A0D02"/>
    <w:rsid w:val="005A18FC"/>
    <w:rsid w:val="005A1D84"/>
    <w:rsid w:val="005A70EA"/>
    <w:rsid w:val="005B70D4"/>
    <w:rsid w:val="005C0A2B"/>
    <w:rsid w:val="005C3963"/>
    <w:rsid w:val="005D1840"/>
    <w:rsid w:val="005D35E4"/>
    <w:rsid w:val="005D5026"/>
    <w:rsid w:val="005D6FCC"/>
    <w:rsid w:val="005D7910"/>
    <w:rsid w:val="005E35A9"/>
    <w:rsid w:val="005F172D"/>
    <w:rsid w:val="005F72EB"/>
    <w:rsid w:val="00617FA5"/>
    <w:rsid w:val="0062154F"/>
    <w:rsid w:val="006251FC"/>
    <w:rsid w:val="00627BBE"/>
    <w:rsid w:val="00631A8C"/>
    <w:rsid w:val="00632179"/>
    <w:rsid w:val="00643CD5"/>
    <w:rsid w:val="00651CA2"/>
    <w:rsid w:val="00653D60"/>
    <w:rsid w:val="00660D05"/>
    <w:rsid w:val="006719FC"/>
    <w:rsid w:val="00671D9A"/>
    <w:rsid w:val="00673952"/>
    <w:rsid w:val="00681821"/>
    <w:rsid w:val="00686C9D"/>
    <w:rsid w:val="006A5831"/>
    <w:rsid w:val="006B2D5B"/>
    <w:rsid w:val="006B361D"/>
    <w:rsid w:val="006B7D14"/>
    <w:rsid w:val="006D3504"/>
    <w:rsid w:val="006D5B93"/>
    <w:rsid w:val="006E0821"/>
    <w:rsid w:val="007049AF"/>
    <w:rsid w:val="00715E9B"/>
    <w:rsid w:val="00725A7D"/>
    <w:rsid w:val="007270C6"/>
    <w:rsid w:val="0073085C"/>
    <w:rsid w:val="00733784"/>
    <w:rsid w:val="00746505"/>
    <w:rsid w:val="00753C5D"/>
    <w:rsid w:val="00754549"/>
    <w:rsid w:val="007569D0"/>
    <w:rsid w:val="007702B9"/>
    <w:rsid w:val="00776052"/>
    <w:rsid w:val="00781F48"/>
    <w:rsid w:val="00785C3C"/>
    <w:rsid w:val="00790BB3"/>
    <w:rsid w:val="00792043"/>
    <w:rsid w:val="00796DC4"/>
    <w:rsid w:val="00797EDD"/>
    <w:rsid w:val="007A6AF4"/>
    <w:rsid w:val="007B0322"/>
    <w:rsid w:val="007B65BF"/>
    <w:rsid w:val="007C035C"/>
    <w:rsid w:val="007C0E3F"/>
    <w:rsid w:val="007C206C"/>
    <w:rsid w:val="007C5729"/>
    <w:rsid w:val="007D455A"/>
    <w:rsid w:val="007E06D8"/>
    <w:rsid w:val="007E1706"/>
    <w:rsid w:val="007E17DD"/>
    <w:rsid w:val="007F14DF"/>
    <w:rsid w:val="00801EA7"/>
    <w:rsid w:val="008111E4"/>
    <w:rsid w:val="0081301C"/>
    <w:rsid w:val="00817DD6"/>
    <w:rsid w:val="008221AC"/>
    <w:rsid w:val="00825E25"/>
    <w:rsid w:val="008352BA"/>
    <w:rsid w:val="00851B9E"/>
    <w:rsid w:val="008629A9"/>
    <w:rsid w:val="00872614"/>
    <w:rsid w:val="008834B2"/>
    <w:rsid w:val="00883C71"/>
    <w:rsid w:val="0088513A"/>
    <w:rsid w:val="00887D66"/>
    <w:rsid w:val="00893C19"/>
    <w:rsid w:val="008A421B"/>
    <w:rsid w:val="008A47D2"/>
    <w:rsid w:val="008A72CE"/>
    <w:rsid w:val="008B3F91"/>
    <w:rsid w:val="008D6964"/>
    <w:rsid w:val="008D6C8D"/>
    <w:rsid w:val="008E070F"/>
    <w:rsid w:val="008E2B54"/>
    <w:rsid w:val="008E4404"/>
    <w:rsid w:val="008E58C7"/>
    <w:rsid w:val="008F5021"/>
    <w:rsid w:val="008F66C7"/>
    <w:rsid w:val="008F680A"/>
    <w:rsid w:val="00915544"/>
    <w:rsid w:val="00915F72"/>
    <w:rsid w:val="00921006"/>
    <w:rsid w:val="0092726F"/>
    <w:rsid w:val="00930A1A"/>
    <w:rsid w:val="00943573"/>
    <w:rsid w:val="0096031D"/>
    <w:rsid w:val="00960ADD"/>
    <w:rsid w:val="009618AE"/>
    <w:rsid w:val="009623FF"/>
    <w:rsid w:val="00963415"/>
    <w:rsid w:val="00964E94"/>
    <w:rsid w:val="00971B61"/>
    <w:rsid w:val="00974B43"/>
    <w:rsid w:val="009772F5"/>
    <w:rsid w:val="00980C31"/>
    <w:rsid w:val="009813B8"/>
    <w:rsid w:val="0098745C"/>
    <w:rsid w:val="00987487"/>
    <w:rsid w:val="009955FF"/>
    <w:rsid w:val="00997293"/>
    <w:rsid w:val="009A44C0"/>
    <w:rsid w:val="009B6A6A"/>
    <w:rsid w:val="009C31D3"/>
    <w:rsid w:val="009C394E"/>
    <w:rsid w:val="009C517A"/>
    <w:rsid w:val="009D259D"/>
    <w:rsid w:val="009D793F"/>
    <w:rsid w:val="009E0AF0"/>
    <w:rsid w:val="009E240C"/>
    <w:rsid w:val="009F1863"/>
    <w:rsid w:val="009F1E18"/>
    <w:rsid w:val="009F2F90"/>
    <w:rsid w:val="009F3274"/>
    <w:rsid w:val="009F43DB"/>
    <w:rsid w:val="00A00CAE"/>
    <w:rsid w:val="00A016B6"/>
    <w:rsid w:val="00A07FDE"/>
    <w:rsid w:val="00A12FAF"/>
    <w:rsid w:val="00A153CD"/>
    <w:rsid w:val="00A17B22"/>
    <w:rsid w:val="00A17B2E"/>
    <w:rsid w:val="00A2250B"/>
    <w:rsid w:val="00A269BC"/>
    <w:rsid w:val="00A435BC"/>
    <w:rsid w:val="00A44146"/>
    <w:rsid w:val="00A50D9D"/>
    <w:rsid w:val="00A52184"/>
    <w:rsid w:val="00A53000"/>
    <w:rsid w:val="00A543ED"/>
    <w:rsid w:val="00A545C6"/>
    <w:rsid w:val="00A57F2D"/>
    <w:rsid w:val="00A6017F"/>
    <w:rsid w:val="00A6355C"/>
    <w:rsid w:val="00A652D0"/>
    <w:rsid w:val="00A67701"/>
    <w:rsid w:val="00A67ABE"/>
    <w:rsid w:val="00A707BD"/>
    <w:rsid w:val="00A75F87"/>
    <w:rsid w:val="00A76CBB"/>
    <w:rsid w:val="00A94F13"/>
    <w:rsid w:val="00A95D8B"/>
    <w:rsid w:val="00AA3732"/>
    <w:rsid w:val="00AB0CF6"/>
    <w:rsid w:val="00AB3BBA"/>
    <w:rsid w:val="00AC0270"/>
    <w:rsid w:val="00AC198F"/>
    <w:rsid w:val="00AC3EA3"/>
    <w:rsid w:val="00AC792D"/>
    <w:rsid w:val="00AD02C5"/>
    <w:rsid w:val="00AD1B90"/>
    <w:rsid w:val="00AD220E"/>
    <w:rsid w:val="00AD7D73"/>
    <w:rsid w:val="00AE6056"/>
    <w:rsid w:val="00B00099"/>
    <w:rsid w:val="00B1274F"/>
    <w:rsid w:val="00B23A95"/>
    <w:rsid w:val="00B26688"/>
    <w:rsid w:val="00B3199A"/>
    <w:rsid w:val="00B3301E"/>
    <w:rsid w:val="00B45C16"/>
    <w:rsid w:val="00B45D4C"/>
    <w:rsid w:val="00B62823"/>
    <w:rsid w:val="00B657B8"/>
    <w:rsid w:val="00B6685D"/>
    <w:rsid w:val="00B742DD"/>
    <w:rsid w:val="00B7628D"/>
    <w:rsid w:val="00B81054"/>
    <w:rsid w:val="00B82F1B"/>
    <w:rsid w:val="00B84920"/>
    <w:rsid w:val="00B8556A"/>
    <w:rsid w:val="00B97F79"/>
    <w:rsid w:val="00BA5E06"/>
    <w:rsid w:val="00BC3BED"/>
    <w:rsid w:val="00BC3C32"/>
    <w:rsid w:val="00BD6EB0"/>
    <w:rsid w:val="00BE4DA2"/>
    <w:rsid w:val="00C012A3"/>
    <w:rsid w:val="00C020FD"/>
    <w:rsid w:val="00C04F12"/>
    <w:rsid w:val="00C06300"/>
    <w:rsid w:val="00C06DF7"/>
    <w:rsid w:val="00C16F19"/>
    <w:rsid w:val="00C24769"/>
    <w:rsid w:val="00C32F86"/>
    <w:rsid w:val="00C52A7B"/>
    <w:rsid w:val="00C6324C"/>
    <w:rsid w:val="00C679AA"/>
    <w:rsid w:val="00C721C5"/>
    <w:rsid w:val="00C724CF"/>
    <w:rsid w:val="00C75972"/>
    <w:rsid w:val="00C76812"/>
    <w:rsid w:val="00C82792"/>
    <w:rsid w:val="00C86145"/>
    <w:rsid w:val="00C948FD"/>
    <w:rsid w:val="00CB43D5"/>
    <w:rsid w:val="00CB57A5"/>
    <w:rsid w:val="00CB7A05"/>
    <w:rsid w:val="00CC204B"/>
    <w:rsid w:val="00CC76F9"/>
    <w:rsid w:val="00CD066B"/>
    <w:rsid w:val="00CD46E2"/>
    <w:rsid w:val="00CE3ECF"/>
    <w:rsid w:val="00D00D0B"/>
    <w:rsid w:val="00D04B69"/>
    <w:rsid w:val="00D04CEA"/>
    <w:rsid w:val="00D25CA9"/>
    <w:rsid w:val="00D3585A"/>
    <w:rsid w:val="00D45415"/>
    <w:rsid w:val="00D45E1E"/>
    <w:rsid w:val="00D4705C"/>
    <w:rsid w:val="00D50828"/>
    <w:rsid w:val="00D517DE"/>
    <w:rsid w:val="00D537FA"/>
    <w:rsid w:val="00D5547D"/>
    <w:rsid w:val="00D57F20"/>
    <w:rsid w:val="00D66F34"/>
    <w:rsid w:val="00D757A9"/>
    <w:rsid w:val="00D80D99"/>
    <w:rsid w:val="00D9006D"/>
    <w:rsid w:val="00D92F98"/>
    <w:rsid w:val="00D94834"/>
    <w:rsid w:val="00D9503C"/>
    <w:rsid w:val="00D97F6C"/>
    <w:rsid w:val="00DA0193"/>
    <w:rsid w:val="00DD6084"/>
    <w:rsid w:val="00DD73EF"/>
    <w:rsid w:val="00DE09D3"/>
    <w:rsid w:val="00DE115F"/>
    <w:rsid w:val="00DE23E8"/>
    <w:rsid w:val="00DE61F2"/>
    <w:rsid w:val="00E0128B"/>
    <w:rsid w:val="00E038CD"/>
    <w:rsid w:val="00E21F3B"/>
    <w:rsid w:val="00E57D32"/>
    <w:rsid w:val="00E6358F"/>
    <w:rsid w:val="00E64E17"/>
    <w:rsid w:val="00E7579B"/>
    <w:rsid w:val="00E82299"/>
    <w:rsid w:val="00E87634"/>
    <w:rsid w:val="00E91D8C"/>
    <w:rsid w:val="00E938B9"/>
    <w:rsid w:val="00EA3D3C"/>
    <w:rsid w:val="00EA6D1C"/>
    <w:rsid w:val="00EC32C7"/>
    <w:rsid w:val="00EC356B"/>
    <w:rsid w:val="00EC7CC3"/>
    <w:rsid w:val="00EE00F1"/>
    <w:rsid w:val="00EE2D69"/>
    <w:rsid w:val="00EE6445"/>
    <w:rsid w:val="00EE6504"/>
    <w:rsid w:val="00EE6B86"/>
    <w:rsid w:val="00F02947"/>
    <w:rsid w:val="00F16B72"/>
    <w:rsid w:val="00F211ED"/>
    <w:rsid w:val="00F21761"/>
    <w:rsid w:val="00F326B5"/>
    <w:rsid w:val="00F40990"/>
    <w:rsid w:val="00F46494"/>
    <w:rsid w:val="00F558AB"/>
    <w:rsid w:val="00F610BB"/>
    <w:rsid w:val="00F61C10"/>
    <w:rsid w:val="00F61D89"/>
    <w:rsid w:val="00F67C99"/>
    <w:rsid w:val="00F747C5"/>
    <w:rsid w:val="00F775B9"/>
    <w:rsid w:val="00F86ABB"/>
    <w:rsid w:val="00F870A2"/>
    <w:rsid w:val="00F97D9A"/>
    <w:rsid w:val="00FB1EDB"/>
    <w:rsid w:val="00FB5587"/>
    <w:rsid w:val="00FC2CA6"/>
    <w:rsid w:val="00FD5042"/>
    <w:rsid w:val="00FD7648"/>
    <w:rsid w:val="00FD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887D66"/>
    <w:pPr>
      <w:keepNext/>
    </w:pPr>
    <w:rPr>
      <w:rFonts w:cs="Times New Roman"/>
      <w:b/>
      <w:bCs/>
      <w:i/>
      <w:color w:val="4F81BD" w:themeColor="accent1"/>
      <w:sz w:val="20"/>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uiPriority w:val="10"/>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uiPriority w:val="10"/>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6B361D"/>
    <w:rPr>
      <w:color w:val="605E5C"/>
      <w:shd w:val="clear" w:color="auto" w:fill="E1DFDD"/>
    </w:rPr>
  </w:style>
  <w:style w:type="paragraph" w:customStyle="1" w:styleId="MTDisplayEquation">
    <w:name w:val="MTDisplayEquation"/>
    <w:basedOn w:val="ListParagraph"/>
    <w:next w:val="Normal"/>
    <w:link w:val="MTDisplayEquationChar"/>
    <w:rsid w:val="003B5FB2"/>
    <w:pPr>
      <w:numPr>
        <w:numId w:val="0"/>
      </w:numPr>
      <w:tabs>
        <w:tab w:val="center" w:pos="4680"/>
        <w:tab w:val="right" w:pos="9360"/>
      </w:tabs>
      <w:spacing w:before="0" w:after="120" w:line="276" w:lineRule="auto"/>
    </w:pPr>
    <w:rPr>
      <w:rFonts w:asciiTheme="minorHAnsi" w:eastAsiaTheme="minorEastAsia" w:hAnsiTheme="minorHAnsi" w:cstheme="minorBidi"/>
      <w:sz w:val="22"/>
      <w:szCs w:val="22"/>
    </w:rPr>
  </w:style>
  <w:style w:type="character" w:customStyle="1" w:styleId="MTDisplayEquationChar">
    <w:name w:val="MTDisplayEquation Char"/>
    <w:basedOn w:val="DefaultParagraphFont"/>
    <w:link w:val="MTDisplayEquation"/>
    <w:rsid w:val="003B5FB2"/>
    <w:rPr>
      <w:rFonts w:asciiTheme="minorHAnsi" w:eastAsiaTheme="minorEastAsia" w:hAnsiTheme="minorHAnsi"/>
    </w:rPr>
  </w:style>
  <w:style w:type="table" w:styleId="GridTable4-Accent1">
    <w:name w:val="Grid Table 4 Accent 1"/>
    <w:basedOn w:val="TableNormal"/>
    <w:uiPriority w:val="49"/>
    <w:rsid w:val="003B5FB2"/>
    <w:pPr>
      <w:spacing w:after="0" w:line="240" w:lineRule="auto"/>
      <w:ind w:firstLine="360"/>
    </w:pPr>
    <w:rPr>
      <w:rFonts w:asciiTheme="minorHAnsi" w:eastAsiaTheme="minorEastAsia" w:hAnsiTheme="minorHAns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y">
    <w:name w:val="Bibliography"/>
    <w:basedOn w:val="Normal"/>
    <w:next w:val="Normal"/>
    <w:uiPriority w:val="37"/>
    <w:unhideWhenUsed/>
    <w:rsid w:val="00A6355C"/>
    <w:pPr>
      <w:tabs>
        <w:tab w:val="left" w:pos="264"/>
      </w:tabs>
      <w:spacing w:after="0"/>
      <w:ind w:left="264" w:hanging="264"/>
    </w:pPr>
  </w:style>
  <w:style w:type="character" w:customStyle="1" w:styleId="MTEquationSection">
    <w:name w:val="MTEquationSection"/>
    <w:basedOn w:val="DefaultParagraphFont"/>
    <w:rsid w:val="002C4AFB"/>
    <w:rPr>
      <w:vanish/>
      <w:color w:val="FF0000"/>
      <w:sz w:val="32"/>
      <w:szCs w:val="32"/>
    </w:rPr>
  </w:style>
  <w:style w:type="table" w:styleId="GridTable5Dark-Accent5">
    <w:name w:val="Grid Table 5 Dark Accent 5"/>
    <w:basedOn w:val="TableNormal"/>
    <w:uiPriority w:val="50"/>
    <w:rsid w:val="00B762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B7628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BasicParagraph">
    <w:name w:val="[Basic Paragraph]"/>
    <w:basedOn w:val="Normal"/>
    <w:uiPriority w:val="99"/>
    <w:rsid w:val="0059686C"/>
    <w:pPr>
      <w:autoSpaceDE w:val="0"/>
      <w:autoSpaceDN w:val="0"/>
      <w:adjustRightInd w:val="0"/>
      <w:spacing w:before="0" w:after="0" w:line="288" w:lineRule="auto"/>
      <w:textAlignment w:val="center"/>
    </w:pPr>
    <w:rPr>
      <w:rFonts w:ascii="Minion Pro" w:hAnsi="Minion Pro" w:cs="Minion Pro"/>
      <w:color w:val="000000"/>
      <w:szCs w:val="24"/>
    </w:rPr>
  </w:style>
  <w:style w:type="character" w:styleId="PlaceholderText">
    <w:name w:val="Placeholder Text"/>
    <w:basedOn w:val="DefaultParagraphFont"/>
    <w:uiPriority w:val="99"/>
    <w:semiHidden/>
    <w:rsid w:val="00242C94"/>
    <w:rPr>
      <w:color w:val="808080"/>
    </w:rPr>
  </w:style>
  <w:style w:type="character" w:customStyle="1" w:styleId="mord">
    <w:name w:val="mord"/>
    <w:basedOn w:val="DefaultParagraphFont"/>
    <w:rsid w:val="00AD1B90"/>
  </w:style>
  <w:style w:type="character" w:customStyle="1" w:styleId="vlist-s">
    <w:name w:val="vlist-s"/>
    <w:basedOn w:val="DefaultParagraphFont"/>
    <w:rsid w:val="00AD1B90"/>
  </w:style>
  <w:style w:type="character" w:customStyle="1" w:styleId="mopen">
    <w:name w:val="mopen"/>
    <w:basedOn w:val="DefaultParagraphFont"/>
    <w:rsid w:val="00AD1B90"/>
  </w:style>
  <w:style w:type="character" w:customStyle="1" w:styleId="mbin">
    <w:name w:val="mbin"/>
    <w:basedOn w:val="DefaultParagraphFont"/>
    <w:rsid w:val="00AD1B90"/>
  </w:style>
  <w:style w:type="character" w:customStyle="1" w:styleId="mclose">
    <w:name w:val="mclose"/>
    <w:basedOn w:val="DefaultParagraphFont"/>
    <w:rsid w:val="00AD1B90"/>
  </w:style>
  <w:style w:type="character" w:customStyle="1" w:styleId="mrel">
    <w:name w:val="mrel"/>
    <w:basedOn w:val="DefaultParagraphFont"/>
    <w:rsid w:val="00AD1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93553955">
      <w:bodyDiv w:val="1"/>
      <w:marLeft w:val="0"/>
      <w:marRight w:val="0"/>
      <w:marTop w:val="0"/>
      <w:marBottom w:val="0"/>
      <w:divBdr>
        <w:top w:val="none" w:sz="0" w:space="0" w:color="auto"/>
        <w:left w:val="none" w:sz="0" w:space="0" w:color="auto"/>
        <w:bottom w:val="none" w:sz="0" w:space="0" w:color="auto"/>
        <w:right w:val="none" w:sz="0" w:space="0" w:color="auto"/>
      </w:divBdr>
    </w:div>
    <w:div w:id="1251355304">
      <w:bodyDiv w:val="1"/>
      <w:marLeft w:val="0"/>
      <w:marRight w:val="0"/>
      <w:marTop w:val="0"/>
      <w:marBottom w:val="0"/>
      <w:divBdr>
        <w:top w:val="none" w:sz="0" w:space="0" w:color="auto"/>
        <w:left w:val="none" w:sz="0" w:space="0" w:color="auto"/>
        <w:bottom w:val="none" w:sz="0" w:space="0" w:color="auto"/>
        <w:right w:val="none" w:sz="0" w:space="0" w:color="auto"/>
      </w:divBdr>
    </w:div>
    <w:div w:id="1280065831">
      <w:bodyDiv w:val="1"/>
      <w:marLeft w:val="0"/>
      <w:marRight w:val="0"/>
      <w:marTop w:val="0"/>
      <w:marBottom w:val="0"/>
      <w:divBdr>
        <w:top w:val="none" w:sz="0" w:space="0" w:color="auto"/>
        <w:left w:val="none" w:sz="0" w:space="0" w:color="auto"/>
        <w:bottom w:val="none" w:sz="0" w:space="0" w:color="auto"/>
        <w:right w:val="none" w:sz="0" w:space="0" w:color="auto"/>
      </w:divBdr>
    </w:div>
    <w:div w:id="1298729568">
      <w:bodyDiv w:val="1"/>
      <w:marLeft w:val="0"/>
      <w:marRight w:val="0"/>
      <w:marTop w:val="0"/>
      <w:marBottom w:val="0"/>
      <w:divBdr>
        <w:top w:val="none" w:sz="0" w:space="0" w:color="auto"/>
        <w:left w:val="none" w:sz="0" w:space="0" w:color="auto"/>
        <w:bottom w:val="none" w:sz="0" w:space="0" w:color="auto"/>
        <w:right w:val="none" w:sz="0" w:space="0" w:color="auto"/>
      </w:divBdr>
    </w:div>
    <w:div w:id="170717056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frontiersin.org/about/author-guidelin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13100</TotalTime>
  <Pages>14</Pages>
  <Words>23911</Words>
  <Characters>136294</Characters>
  <Application>Microsoft Office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cp:keywords/>
  <dc:description/>
  <cp:lastModifiedBy>Austin J Baird</cp:lastModifiedBy>
  <cp:revision>32</cp:revision>
  <cp:lastPrinted>2013-10-03T12:51:00Z</cp:lastPrinted>
  <dcterms:created xsi:type="dcterms:W3CDTF">2024-02-28T18:41:00Z</dcterms:created>
  <dcterms:modified xsi:type="dcterms:W3CDTF">2024-06-07T21:56:00Z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id="7tFK5HJ7"/&gt;&lt;style id="http://www.zotero.org/styles/national-institute-of-health-research" hasBibliography="1" bibliographyStyleHasBeenSet="1"/&gt;&lt;prefs&gt;&lt;pref name="fieldType" value="Field"/&gt;&lt;/prefs</vt:lpwstr>
  </property>
  <property fmtid="{D5CDD505-2E9C-101B-9397-08002B2CF9AE}" pid="3" name="MTEquationSection">
    <vt:lpwstr>1</vt:lpwstr>
  </property>
  <property fmtid="{D5CDD505-2E9C-101B-9397-08002B2CF9AE}" pid="4" name="MTWinEqns">
    <vt:bool>true</vt:bool>
  </property>
  <property fmtid="{D5CDD505-2E9C-101B-9397-08002B2CF9AE}" pid="5" name="MTEquationNumber2">
    <vt:lpwstr>(#E1)</vt:lpwstr>
  </property>
  <property fmtid="{D5CDD505-2E9C-101B-9397-08002B2CF9AE}" pid="6" name="MTEqnNumsOnRight">
    <vt:bool>true</vt:bool>
  </property>
  <property fmtid="{D5CDD505-2E9C-101B-9397-08002B2CF9AE}" pid="7" name="ZOTERO_PREF_2">
    <vt:lpwstr>&gt;&lt;/data&gt;</vt:lpwstr>
  </property>
</Properties>
</file>