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11A33" w14:textId="39ADBB34" w:rsidR="0057040C" w:rsidRDefault="009A7C1A" w:rsidP="009A7C1A">
      <w:pPr>
        <w:jc w:val="center"/>
      </w:pPr>
      <w:r>
        <w:t>Supplement to:</w:t>
      </w:r>
    </w:p>
    <w:p w14:paraId="10D0DD21" w14:textId="5E2FC909" w:rsidR="009A7C1A" w:rsidRDefault="009A7C1A" w:rsidP="009A7C1A">
      <w:pPr>
        <w:jc w:val="center"/>
      </w:pPr>
      <w:r>
        <w:t>Smoking reduction trajectories and their association with smoking cessation: A secondary analysis of longitudinal RCT data</w:t>
      </w:r>
    </w:p>
    <w:p w14:paraId="3D36C17D" w14:textId="77777777" w:rsidR="009A7C1A" w:rsidRDefault="009A7C1A" w:rsidP="009A7C1A">
      <w:pPr>
        <w:jc w:val="center"/>
      </w:pPr>
    </w:p>
    <w:p w14:paraId="20D7968C" w14:textId="380F8007" w:rsidR="009A7C1A" w:rsidRDefault="009A7C1A" w:rsidP="009A7C1A">
      <w:pPr>
        <w:jc w:val="center"/>
      </w:pPr>
      <w:r>
        <w:t>Anthony Barrows</w:t>
      </w:r>
      <w:r w:rsidR="00406A02">
        <w:t>, MS</w:t>
      </w:r>
      <w:r>
        <w:t xml:space="preserve">, </w:t>
      </w:r>
      <w:r w:rsidR="00EC1A72">
        <w:t>Elias Klemperer</w:t>
      </w:r>
      <w:r w:rsidR="00406A02">
        <w:t>, PhD</w:t>
      </w:r>
      <w:r w:rsidR="00EC1A72">
        <w:t xml:space="preserve">, Hugh </w:t>
      </w:r>
      <w:proofErr w:type="spellStart"/>
      <w:r w:rsidR="00EC1A72">
        <w:t>Garavan</w:t>
      </w:r>
      <w:proofErr w:type="spellEnd"/>
      <w:r w:rsidR="00406A02">
        <w:t>, PhD</w:t>
      </w:r>
      <w:r w:rsidR="00EC1A72">
        <w:t xml:space="preserve">, Nicholas </w:t>
      </w:r>
      <w:proofErr w:type="spellStart"/>
      <w:r w:rsidR="00EC1A72">
        <w:t>Allgaier</w:t>
      </w:r>
      <w:proofErr w:type="spellEnd"/>
      <w:r w:rsidR="00406A02">
        <w:t>, PhD</w:t>
      </w:r>
      <w:r>
        <w:t>,</w:t>
      </w:r>
      <w:r w:rsidR="00EC1A72">
        <w:t xml:space="preserve"> Nicola </w:t>
      </w:r>
      <w:proofErr w:type="spellStart"/>
      <w:r w:rsidR="00EC1A72">
        <w:t>Lindson</w:t>
      </w:r>
      <w:proofErr w:type="spellEnd"/>
      <w:r w:rsidR="00406A02">
        <w:t>, PhD</w:t>
      </w:r>
      <w:r w:rsidR="00EC1A72">
        <w:t>, Gemma Taylor</w:t>
      </w:r>
      <w:r w:rsidR="00406A02">
        <w:t>, PhD</w:t>
      </w:r>
      <w:r>
        <w:t xml:space="preserve"> </w:t>
      </w:r>
    </w:p>
    <w:p w14:paraId="79B405D4" w14:textId="2C4FE699" w:rsidR="008049F9" w:rsidRDefault="008049F9">
      <w:r>
        <w:br w:type="page"/>
      </w:r>
    </w:p>
    <w:p w14:paraId="104E37C1" w14:textId="77777777" w:rsidR="008049F9" w:rsidRDefault="008049F9" w:rsidP="00AD0ECA"/>
    <w:p w14:paraId="38FD0C3D" w14:textId="561AA42C" w:rsidR="00FB7BBA" w:rsidRDefault="00FB7BBA" w:rsidP="00FB7BBA">
      <w:pPr>
        <w:pStyle w:val="Heading2"/>
      </w:pPr>
      <w:r>
        <w:t>Latent Class Analysis Model Fit Information</w:t>
      </w:r>
    </w:p>
    <w:p w14:paraId="280BE985" w14:textId="65655D06" w:rsidR="00FB7BBA" w:rsidRDefault="00FB7BBA" w:rsidP="00FB7BBA"/>
    <w:p w14:paraId="51DEF30D" w14:textId="18CF6BF4" w:rsidR="00FB7BBA" w:rsidRPr="00FB7BBA" w:rsidRDefault="00FB7BBA" w:rsidP="00FB7BBA">
      <w:r>
        <w:t xml:space="preserve">Smoking trajectories were </w:t>
      </w:r>
      <w:r w:rsidR="000D4853">
        <w:t>fit to</w:t>
      </w:r>
      <w:r w:rsidR="00456E16">
        <w:t xml:space="preserve"> </w:t>
      </w:r>
      <w:r w:rsidR="000D4853">
        <w:t xml:space="preserve">percent change in </w:t>
      </w:r>
      <w:r w:rsidR="008F4F0A">
        <w:t xml:space="preserve">cigarettes per day (CPD) </w:t>
      </w:r>
      <w:r w:rsidR="000D4853">
        <w:t xml:space="preserve">from baseline using the distributions shown in </w:t>
      </w:r>
      <w:proofErr w:type="spellStart"/>
      <w:r w:rsidR="000D4853">
        <w:t>sFigure</w:t>
      </w:r>
      <w:proofErr w:type="spellEnd"/>
      <w:r w:rsidR="000D4853">
        <w:t xml:space="preserve"> 1 for each trial follow-up point except Week 52, which was reserved </w:t>
      </w:r>
      <w:r w:rsidR="008049F9">
        <w:t xml:space="preserve">for smoking cessation prediction. </w:t>
      </w:r>
    </w:p>
    <w:p w14:paraId="3A2C9CCA" w14:textId="77777777" w:rsidR="001E38B7" w:rsidRDefault="001E38B7" w:rsidP="00AD0ECA"/>
    <w:p w14:paraId="625806AF" w14:textId="77777777" w:rsidR="001E38B7" w:rsidRDefault="001E38B7" w:rsidP="00AD0ECA"/>
    <w:p w14:paraId="23BD951F" w14:textId="77777777" w:rsidR="008049F9" w:rsidRDefault="008049F9" w:rsidP="008049F9">
      <w:pPr>
        <w:pStyle w:val="Heading2"/>
      </w:pPr>
      <w:r>
        <w:t>Updated Smoking Cessation Verification Guidelines</w:t>
      </w:r>
    </w:p>
    <w:p w14:paraId="3B0E8DF8" w14:textId="77777777" w:rsidR="008049F9" w:rsidRPr="00F74964" w:rsidRDefault="008049F9" w:rsidP="008049F9"/>
    <w:p w14:paraId="6291AFB3" w14:textId="6868CF87" w:rsidR="002B24E8" w:rsidRDefault="008049F9" w:rsidP="008049F9">
      <w:r>
        <w:t xml:space="preserve">Using &lt;=11ppm CO as the threshold for biochemically verified smoking cessation, 135/1784 (7.5%) meet abstinence criteria (40.8% of Class 1, 4.7% of Class 2, and 2.6% of Class 3), compared with 122/1784 (6.8%) using &lt;6ppm CO (37.6% of Class 1, 4.2% of Class 2, and 2.3% of Class 3. </w:t>
      </w:r>
      <w:r w:rsidR="007E10D1">
        <w:t xml:space="preserve">Using &lt;11ppm CO as a verification threshold, </w:t>
      </w:r>
      <w:r w:rsidR="002B24E8">
        <w:t xml:space="preserve">participants in Classes 2 and 3 were </w:t>
      </w:r>
      <w:r w:rsidR="007E1ED1">
        <w:t>substantially</w:t>
      </w:r>
      <w:r w:rsidR="002B24E8">
        <w:t xml:space="preserve"> less likely to achieve smoking cessation 6 months following the trial </w:t>
      </w:r>
      <w:r w:rsidR="007E1ED1">
        <w:t xml:space="preserve">compared to those in </w:t>
      </w:r>
      <w:r w:rsidR="002B24E8">
        <w:t>Class 1 (Class 2 OR = 0.11</w:t>
      </w:r>
      <w:r w:rsidR="00610130">
        <w:t>2</w:t>
      </w:r>
      <w:r w:rsidR="002B24E8">
        <w:t xml:space="preserve"> ± 0.0</w:t>
      </w:r>
      <w:r w:rsidR="00283136">
        <w:t>57</w:t>
      </w:r>
      <w:r w:rsidR="002B24E8">
        <w:t>, Class 3 OR = 0.0</w:t>
      </w:r>
      <w:r w:rsidR="007E10D1">
        <w:t>66</w:t>
      </w:r>
      <w:r w:rsidR="002B24E8">
        <w:t xml:space="preserve"> ± 0.00</w:t>
      </w:r>
      <w:r w:rsidR="007E10D1">
        <w:t>7</w:t>
      </w:r>
      <w:r w:rsidR="002B24E8">
        <w:t>).</w:t>
      </w:r>
    </w:p>
    <w:p w14:paraId="628398FD" w14:textId="77777777" w:rsidR="002B24E8" w:rsidRDefault="002B24E8" w:rsidP="008049F9"/>
    <w:p w14:paraId="3869366A" w14:textId="0A0E529A" w:rsidR="008049F9" w:rsidRDefault="008049F9" w:rsidP="008049F9">
      <w:r>
        <w:t>Given the relatively small impact of reducing the verification threshold, we used &lt;6ppm for smoking cessation predictive modeling, which is consistent with the most recent guidance.</w:t>
      </w:r>
      <w:r>
        <w:fldChar w:fldCharType="begin"/>
      </w:r>
      <w:r>
        <w:instrText xml:space="preserve"> ADDIN ZOTERO_ITEM CSL_CITATION {"citationID":"5U77W80e","properties":{"formattedCitation":"(1)","plainCitation":"(1)","noteIndex":0},"citationItems":[{"id":84,"uris":["http://zotero.org/users/10331382/items/BIVSZBJ8"],"itemData":{"id":84,"type":"article-journal","abstract":"Abstract\n            \n              Background\n              The changing prevalence and patterns of tobacco use, the advent of novel nicotine delivery devices, and the development of new biomarkers prompted an update of the 2002 Society for Research on Nicotine and Tobacco (SRNT) report on whether and how to apply biomarker verification for tobacco use and abstinence.\n            \n            \n              Methods\n              The SRNT Treatment Research Network convened a group of investigators with expertise in tobacco biomarkers to update the recommendations of the 2002 SNRT Biochemical Verification Report.\n            \n            \n              Results\n              Biochemical verification of tobacco use and abstinence increases scientific rigor and is recommended in clinical trials of smoking cessation, when feasible. Sources, appropriate biospecimens, cutpoints, time of detection windows and analytic methods for carbon monoxide, cotinine (including over the counter tests), total nicotine equivalents, minor tobacco alkaloids, and 4-(methylnitrosamino)-1-(3-pyridyl)-1-butanol are reviewed, as well as biochemical approaches to distinguishing cigarette smoking from use of electronic nicotine delivery devices (ENDS).\n            \n            \n              Conclusions\n              Recommendations are provided for whether and how to use biochemical verification of tobacco use and abstinence. Guidelines are provided on which biomarkers to use, which biospecimens to use, optimal cutpoints, time windows to detection, and methodology for biochemical verifications. Use of combinations of biomarkers is recommended for assessment of ENDS use.\n            \n            \n              Implications\n              Biochemical verification increases scientific rigor, but there are drawbacks that need to be assessed to determine whether the benefits of biochemical verification outweigh the costs, including the cost of the assays, the feasibility of sample collection, the ability to draw clear conclusions based on the duration of abstinence, and the variability of the assay within the study population. This paper provides updated recommendations from the 2002 SRNT report on whether and how to use biochemical markers in determining tobacco use and abstinence.","container-title":"Nicotine &amp; Tobacco Research","DOI":"10.1093/ntr/ntz132","ISSN":"1469-994X","issue":"7","language":"en","page":"1086-1097","source":"DOI.org (Crossref)","title":"Biochemical Verification of Tobacco Use and Abstinence: 2019 Update","title-short":"Biochemical Verification of Tobacco Use and Abstinence","volume":"22","author":[{"family":"Benowitz","given":"Neal L"},{"family":"Bernert","given":"John T"},{"family":"Foulds","given":"Jonathan"},{"family":"Hecht","given":"Stephen S"},{"family":"Jacob","given":"Peyton"},{"family":"Jarvis","given":"Martin J"},{"family":"Joseph","given":"Anne"},{"family":"Oncken","given":"Cheryl"},{"family":"Piper","given":"Megan E"}],"issued":{"date-parts":[["2020",6,12]]},"citation-key":"benowitzBiochemicalVerificationTobacco2020"}}],"schema":"https://github.com/citation-style-language/schema/raw/master/csl-citation.json"} </w:instrText>
      </w:r>
      <w:r>
        <w:fldChar w:fldCharType="separate"/>
      </w:r>
      <w:r>
        <w:rPr>
          <w:noProof/>
        </w:rPr>
        <w:t>(1)</w:t>
      </w:r>
      <w:r>
        <w:fldChar w:fldCharType="end"/>
      </w:r>
      <w:r w:rsidR="002B24E8">
        <w:t xml:space="preserve"> </w:t>
      </w:r>
    </w:p>
    <w:p w14:paraId="6095A404" w14:textId="77777777" w:rsidR="0045680A" w:rsidRDefault="0045680A" w:rsidP="008049F9"/>
    <w:p w14:paraId="1B1A08D9" w14:textId="77777777" w:rsidR="0045680A" w:rsidRDefault="0045680A" w:rsidP="008049F9"/>
    <w:p w14:paraId="2CD452D5" w14:textId="77777777" w:rsidR="0045680A" w:rsidRDefault="0045680A" w:rsidP="008049F9"/>
    <w:p w14:paraId="04FEDB0E" w14:textId="77777777" w:rsidR="0045680A" w:rsidRDefault="0045680A" w:rsidP="008049F9"/>
    <w:p w14:paraId="1B00B013" w14:textId="77777777" w:rsidR="0045680A" w:rsidRDefault="0045680A" w:rsidP="008049F9"/>
    <w:p w14:paraId="43796D1E" w14:textId="77777777" w:rsidR="0045680A" w:rsidRDefault="0045680A" w:rsidP="008049F9"/>
    <w:p w14:paraId="772A67C2" w14:textId="77777777" w:rsidR="0045680A" w:rsidRDefault="0045680A" w:rsidP="008049F9"/>
    <w:p w14:paraId="6FAACB5E" w14:textId="77777777" w:rsidR="0045680A" w:rsidRDefault="0045680A" w:rsidP="008049F9"/>
    <w:p w14:paraId="334D4DF2" w14:textId="77777777" w:rsidR="0045680A" w:rsidRDefault="0045680A" w:rsidP="008049F9"/>
    <w:p w14:paraId="11BD2897" w14:textId="77777777" w:rsidR="0045680A" w:rsidRDefault="0045680A" w:rsidP="008049F9"/>
    <w:p w14:paraId="2508714C" w14:textId="77777777" w:rsidR="0045680A" w:rsidRDefault="0045680A" w:rsidP="008049F9"/>
    <w:p w14:paraId="286CE1F2" w14:textId="77777777" w:rsidR="0045680A" w:rsidRDefault="0045680A" w:rsidP="008049F9"/>
    <w:p w14:paraId="412BBADA" w14:textId="77777777" w:rsidR="0045680A" w:rsidRDefault="0045680A" w:rsidP="008049F9"/>
    <w:p w14:paraId="749DD5B7" w14:textId="77777777" w:rsidR="0045680A" w:rsidRDefault="0045680A" w:rsidP="008049F9"/>
    <w:p w14:paraId="7A957E1C" w14:textId="77777777" w:rsidR="0045680A" w:rsidRDefault="0045680A" w:rsidP="008049F9"/>
    <w:p w14:paraId="1D406BA5" w14:textId="77777777" w:rsidR="0045680A" w:rsidRDefault="0045680A" w:rsidP="008049F9"/>
    <w:p w14:paraId="62D246E5" w14:textId="77777777" w:rsidR="0045680A" w:rsidRDefault="0045680A" w:rsidP="008049F9"/>
    <w:p w14:paraId="3E0C4917" w14:textId="77777777" w:rsidR="0045680A" w:rsidRDefault="0045680A" w:rsidP="008049F9"/>
    <w:p w14:paraId="19B01569" w14:textId="77777777" w:rsidR="0045680A" w:rsidRDefault="0045680A" w:rsidP="008049F9"/>
    <w:p w14:paraId="0E104773" w14:textId="77777777" w:rsidR="00EB61FF" w:rsidRDefault="00EB61FF" w:rsidP="00EB61FF">
      <w:pPr>
        <w:jc w:val="both"/>
      </w:pPr>
    </w:p>
    <w:p w14:paraId="6D3051F7" w14:textId="779E243F" w:rsidR="00EB61FF" w:rsidRDefault="0045680A" w:rsidP="0045680A">
      <w:pPr>
        <w:pStyle w:val="Heading1"/>
      </w:pPr>
      <w:r>
        <w:lastRenderedPageBreak/>
        <w:t>Supplemental Tables</w:t>
      </w:r>
    </w:p>
    <w:p w14:paraId="0A4B3A3A" w14:textId="77777777" w:rsidR="0045680A" w:rsidRDefault="0045680A" w:rsidP="007B3CC0">
      <w:pPr>
        <w:pStyle w:val="Caption"/>
        <w:keepNext/>
        <w:rPr>
          <w:b/>
          <w:bCs/>
        </w:rPr>
      </w:pPr>
    </w:p>
    <w:p w14:paraId="0B242AF5" w14:textId="37F698A8" w:rsidR="007B3CC0" w:rsidRDefault="007B3CC0" w:rsidP="007B3CC0">
      <w:pPr>
        <w:pStyle w:val="Caption"/>
        <w:keepNext/>
      </w:pPr>
      <w:proofErr w:type="spellStart"/>
      <w:r>
        <w:rPr>
          <w:b/>
          <w:bCs/>
        </w:rPr>
        <w:t>s</w:t>
      </w:r>
      <w:r w:rsidRPr="00F829B7">
        <w:rPr>
          <w:b/>
          <w:bCs/>
        </w:rPr>
        <w:t>Table</w:t>
      </w:r>
      <w:proofErr w:type="spellEnd"/>
      <w:r w:rsidRPr="00F829B7">
        <w:rPr>
          <w:b/>
          <w:bCs/>
        </w:rPr>
        <w:t xml:space="preserve"> </w:t>
      </w:r>
      <w:r>
        <w:rPr>
          <w:b/>
          <w:bCs/>
        </w:rPr>
        <w:t>1</w:t>
      </w:r>
      <w:r>
        <w:t xml:space="preserve"> Latent class model fit comparison (n = 1783). *Selected model. BIC = Bayesian Information Criterion, AIC = Akaike Information Criterion.</w:t>
      </w:r>
    </w:p>
    <w:tbl>
      <w:tblPr>
        <w:tblW w:w="5000" w:type="pct"/>
        <w:tblBorders>
          <w:top w:val="single" w:sz="4" w:space="0" w:color="auto"/>
          <w:bottom w:val="single" w:sz="4" w:space="0" w:color="auto"/>
        </w:tblBorders>
        <w:shd w:val="clear" w:color="auto" w:fill="4F81BD"/>
        <w:tblLook w:val="04A0" w:firstRow="1" w:lastRow="0" w:firstColumn="1" w:lastColumn="0" w:noHBand="0" w:noVBand="1"/>
      </w:tblPr>
      <w:tblGrid>
        <w:gridCol w:w="2340"/>
        <w:gridCol w:w="2340"/>
        <w:gridCol w:w="2340"/>
        <w:gridCol w:w="2340"/>
      </w:tblGrid>
      <w:tr w:rsidR="007B3CC0" w14:paraId="32E8F658" w14:textId="77777777" w:rsidTr="00A077F2">
        <w:trPr>
          <w:trHeight w:val="20"/>
          <w:tblHeader/>
        </w:trPr>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0590BC5E"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Number of Classes</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1C9720F1"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BIC</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6CD77944"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AIC</w:t>
            </w:r>
          </w:p>
        </w:tc>
        <w:tc>
          <w:tcPr>
            <w:tcW w:w="1250" w:type="pct"/>
            <w:tcBorders>
              <w:top w:val="single" w:sz="4" w:space="0" w:color="auto"/>
              <w:bottom w:val="single" w:sz="4" w:space="0" w:color="auto"/>
            </w:tcBorders>
            <w:shd w:val="clear" w:color="auto" w:fill="auto"/>
            <w:tcMar>
              <w:top w:w="80" w:type="dxa"/>
              <w:left w:w="80" w:type="dxa"/>
              <w:bottom w:w="80" w:type="dxa"/>
              <w:right w:w="80" w:type="dxa"/>
            </w:tcMar>
          </w:tcPr>
          <w:p w14:paraId="21541CFE"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Maximum Log-Likelihood</w:t>
            </w:r>
          </w:p>
        </w:tc>
      </w:tr>
      <w:tr w:rsidR="007B3CC0" w14:paraId="26B9E986" w14:textId="77777777" w:rsidTr="00A077F2">
        <w:tblPrEx>
          <w:shd w:val="clear" w:color="auto" w:fill="CED7E7"/>
        </w:tblPrEx>
        <w:trPr>
          <w:trHeight w:val="20"/>
        </w:trPr>
        <w:tc>
          <w:tcPr>
            <w:tcW w:w="1250" w:type="pct"/>
            <w:tcBorders>
              <w:top w:val="single" w:sz="4" w:space="0" w:color="auto"/>
            </w:tcBorders>
            <w:shd w:val="clear" w:color="auto" w:fill="auto"/>
            <w:tcMar>
              <w:top w:w="80" w:type="dxa"/>
              <w:left w:w="80" w:type="dxa"/>
              <w:bottom w:w="80" w:type="dxa"/>
              <w:right w:w="80" w:type="dxa"/>
            </w:tcMar>
          </w:tcPr>
          <w:p w14:paraId="2E3F5F0B"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1</w:t>
            </w:r>
          </w:p>
        </w:tc>
        <w:tc>
          <w:tcPr>
            <w:tcW w:w="1250" w:type="pct"/>
            <w:tcBorders>
              <w:top w:val="single" w:sz="4" w:space="0" w:color="auto"/>
            </w:tcBorders>
            <w:shd w:val="clear" w:color="auto" w:fill="auto"/>
            <w:tcMar>
              <w:top w:w="80" w:type="dxa"/>
              <w:left w:w="80" w:type="dxa"/>
              <w:bottom w:w="80" w:type="dxa"/>
              <w:right w:w="80" w:type="dxa"/>
            </w:tcMar>
          </w:tcPr>
          <w:p w14:paraId="502DF100"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2102.42</w:t>
            </w:r>
          </w:p>
        </w:tc>
        <w:tc>
          <w:tcPr>
            <w:tcW w:w="1250" w:type="pct"/>
            <w:tcBorders>
              <w:top w:val="single" w:sz="4" w:space="0" w:color="auto"/>
            </w:tcBorders>
            <w:shd w:val="clear" w:color="auto" w:fill="auto"/>
            <w:tcMar>
              <w:top w:w="80" w:type="dxa"/>
              <w:left w:w="80" w:type="dxa"/>
              <w:bottom w:w="80" w:type="dxa"/>
              <w:right w:w="80" w:type="dxa"/>
            </w:tcMar>
          </w:tcPr>
          <w:p w14:paraId="0D837C32"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2085.97</w:t>
            </w:r>
          </w:p>
        </w:tc>
        <w:tc>
          <w:tcPr>
            <w:tcW w:w="1250" w:type="pct"/>
            <w:tcBorders>
              <w:top w:val="single" w:sz="4" w:space="0" w:color="auto"/>
            </w:tcBorders>
            <w:shd w:val="clear" w:color="auto" w:fill="auto"/>
            <w:tcMar>
              <w:top w:w="80" w:type="dxa"/>
              <w:left w:w="80" w:type="dxa"/>
              <w:bottom w:w="80" w:type="dxa"/>
              <w:right w:w="80" w:type="dxa"/>
            </w:tcMar>
          </w:tcPr>
          <w:p w14:paraId="084052EC"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-1039.98</w:t>
            </w:r>
          </w:p>
        </w:tc>
      </w:tr>
      <w:tr w:rsidR="007B3CC0" w14:paraId="6D677920" w14:textId="77777777" w:rsidTr="00A077F2">
        <w:tblPrEx>
          <w:shd w:val="clear" w:color="auto" w:fill="CED7E7"/>
        </w:tblPrEx>
        <w:trPr>
          <w:trHeight w:val="20"/>
        </w:trPr>
        <w:tc>
          <w:tcPr>
            <w:tcW w:w="1250" w:type="pct"/>
            <w:shd w:val="clear" w:color="auto" w:fill="auto"/>
            <w:tcMar>
              <w:top w:w="80" w:type="dxa"/>
              <w:left w:w="80" w:type="dxa"/>
              <w:bottom w:w="80" w:type="dxa"/>
              <w:right w:w="80" w:type="dxa"/>
            </w:tcMar>
          </w:tcPr>
          <w:p w14:paraId="45407F96"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2</w:t>
            </w:r>
          </w:p>
        </w:tc>
        <w:tc>
          <w:tcPr>
            <w:tcW w:w="1250" w:type="pct"/>
            <w:shd w:val="clear" w:color="auto" w:fill="auto"/>
            <w:tcMar>
              <w:top w:w="80" w:type="dxa"/>
              <w:left w:w="80" w:type="dxa"/>
              <w:bottom w:w="80" w:type="dxa"/>
              <w:right w:w="80" w:type="dxa"/>
            </w:tcMar>
          </w:tcPr>
          <w:p w14:paraId="566B8963"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577.95</w:t>
            </w:r>
          </w:p>
        </w:tc>
        <w:tc>
          <w:tcPr>
            <w:tcW w:w="1250" w:type="pct"/>
            <w:shd w:val="clear" w:color="auto" w:fill="auto"/>
            <w:tcMar>
              <w:top w:w="80" w:type="dxa"/>
              <w:left w:w="80" w:type="dxa"/>
              <w:bottom w:w="80" w:type="dxa"/>
              <w:right w:w="80" w:type="dxa"/>
            </w:tcMar>
          </w:tcPr>
          <w:p w14:paraId="76828A61"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545.04</w:t>
            </w:r>
          </w:p>
        </w:tc>
        <w:tc>
          <w:tcPr>
            <w:tcW w:w="1250" w:type="pct"/>
            <w:shd w:val="clear" w:color="auto" w:fill="auto"/>
            <w:tcMar>
              <w:top w:w="80" w:type="dxa"/>
              <w:left w:w="80" w:type="dxa"/>
              <w:bottom w:w="80" w:type="dxa"/>
              <w:right w:w="80" w:type="dxa"/>
            </w:tcMar>
          </w:tcPr>
          <w:p w14:paraId="0903AF44"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-266.52</w:t>
            </w:r>
          </w:p>
        </w:tc>
      </w:tr>
      <w:tr w:rsidR="007B3CC0" w14:paraId="2B51DE29" w14:textId="77777777" w:rsidTr="00A077F2">
        <w:tblPrEx>
          <w:shd w:val="clear" w:color="auto" w:fill="CED7E7"/>
        </w:tblPrEx>
        <w:trPr>
          <w:trHeight w:val="20"/>
        </w:trPr>
        <w:tc>
          <w:tcPr>
            <w:tcW w:w="1250" w:type="pct"/>
            <w:shd w:val="clear" w:color="auto" w:fill="auto"/>
            <w:tcMar>
              <w:top w:w="80" w:type="dxa"/>
              <w:left w:w="80" w:type="dxa"/>
              <w:bottom w:w="80" w:type="dxa"/>
              <w:right w:w="80" w:type="dxa"/>
            </w:tcMar>
          </w:tcPr>
          <w:p w14:paraId="359EAE05"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3*</w:t>
            </w:r>
          </w:p>
        </w:tc>
        <w:tc>
          <w:tcPr>
            <w:tcW w:w="1250" w:type="pct"/>
            <w:shd w:val="clear" w:color="auto" w:fill="auto"/>
            <w:tcMar>
              <w:top w:w="80" w:type="dxa"/>
              <w:left w:w="80" w:type="dxa"/>
              <w:bottom w:w="80" w:type="dxa"/>
              <w:right w:w="80" w:type="dxa"/>
            </w:tcMar>
          </w:tcPr>
          <w:p w14:paraId="2386D726"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43.75</w:t>
            </w:r>
          </w:p>
        </w:tc>
        <w:tc>
          <w:tcPr>
            <w:tcW w:w="1250" w:type="pct"/>
            <w:shd w:val="clear" w:color="auto" w:fill="auto"/>
            <w:tcMar>
              <w:top w:w="80" w:type="dxa"/>
              <w:left w:w="80" w:type="dxa"/>
              <w:bottom w:w="80" w:type="dxa"/>
              <w:right w:w="80" w:type="dxa"/>
            </w:tcMar>
          </w:tcPr>
          <w:p w14:paraId="06F8A4C6"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-5.62</w:t>
            </w:r>
          </w:p>
        </w:tc>
        <w:tc>
          <w:tcPr>
            <w:tcW w:w="1250" w:type="pct"/>
            <w:shd w:val="clear" w:color="auto" w:fill="auto"/>
            <w:tcMar>
              <w:top w:w="80" w:type="dxa"/>
              <w:left w:w="80" w:type="dxa"/>
              <w:bottom w:w="80" w:type="dxa"/>
              <w:right w:w="80" w:type="dxa"/>
            </w:tcMar>
          </w:tcPr>
          <w:p w14:paraId="0BD5FCDA"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11.81</w:t>
            </w:r>
          </w:p>
        </w:tc>
      </w:tr>
      <w:tr w:rsidR="007B3CC0" w14:paraId="12BAE0DE" w14:textId="77777777" w:rsidTr="00A077F2">
        <w:tblPrEx>
          <w:shd w:val="clear" w:color="auto" w:fill="CED7E7"/>
        </w:tblPrEx>
        <w:trPr>
          <w:trHeight w:val="20"/>
        </w:trPr>
        <w:tc>
          <w:tcPr>
            <w:tcW w:w="1250" w:type="pct"/>
            <w:shd w:val="clear" w:color="auto" w:fill="auto"/>
            <w:tcMar>
              <w:top w:w="80" w:type="dxa"/>
              <w:left w:w="80" w:type="dxa"/>
              <w:bottom w:w="80" w:type="dxa"/>
              <w:right w:w="80" w:type="dxa"/>
            </w:tcMar>
          </w:tcPr>
          <w:p w14:paraId="7EC48FC0"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4</w:t>
            </w:r>
          </w:p>
        </w:tc>
        <w:tc>
          <w:tcPr>
            <w:tcW w:w="1250" w:type="pct"/>
            <w:shd w:val="clear" w:color="auto" w:fill="auto"/>
            <w:tcMar>
              <w:top w:w="80" w:type="dxa"/>
              <w:left w:w="80" w:type="dxa"/>
              <w:bottom w:w="80" w:type="dxa"/>
              <w:right w:w="80" w:type="dxa"/>
            </w:tcMar>
          </w:tcPr>
          <w:p w14:paraId="55CBB62E"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-36.02</w:t>
            </w:r>
          </w:p>
        </w:tc>
        <w:tc>
          <w:tcPr>
            <w:tcW w:w="1250" w:type="pct"/>
            <w:shd w:val="clear" w:color="auto" w:fill="auto"/>
            <w:tcMar>
              <w:top w:w="80" w:type="dxa"/>
              <w:left w:w="80" w:type="dxa"/>
              <w:bottom w:w="80" w:type="dxa"/>
              <w:right w:w="80" w:type="dxa"/>
            </w:tcMar>
          </w:tcPr>
          <w:p w14:paraId="0318DF1A"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-101.85</w:t>
            </w:r>
          </w:p>
        </w:tc>
        <w:tc>
          <w:tcPr>
            <w:tcW w:w="1250" w:type="pct"/>
            <w:shd w:val="clear" w:color="auto" w:fill="auto"/>
            <w:tcMar>
              <w:top w:w="80" w:type="dxa"/>
              <w:left w:w="80" w:type="dxa"/>
              <w:bottom w:w="80" w:type="dxa"/>
              <w:right w:w="80" w:type="dxa"/>
            </w:tcMar>
          </w:tcPr>
          <w:p w14:paraId="6C339A7F"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62.92</w:t>
            </w:r>
          </w:p>
        </w:tc>
      </w:tr>
      <w:tr w:rsidR="007B3CC0" w14:paraId="0D8105A5" w14:textId="77777777" w:rsidTr="00A077F2">
        <w:tblPrEx>
          <w:shd w:val="clear" w:color="auto" w:fill="CED7E7"/>
        </w:tblPrEx>
        <w:trPr>
          <w:trHeight w:val="20"/>
        </w:trPr>
        <w:tc>
          <w:tcPr>
            <w:tcW w:w="1250" w:type="pct"/>
            <w:shd w:val="clear" w:color="auto" w:fill="auto"/>
            <w:tcMar>
              <w:top w:w="80" w:type="dxa"/>
              <w:left w:w="80" w:type="dxa"/>
              <w:bottom w:w="80" w:type="dxa"/>
              <w:right w:w="80" w:type="dxa"/>
            </w:tcMar>
          </w:tcPr>
          <w:p w14:paraId="26517041"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5</w:t>
            </w:r>
          </w:p>
        </w:tc>
        <w:tc>
          <w:tcPr>
            <w:tcW w:w="1250" w:type="pct"/>
            <w:shd w:val="clear" w:color="auto" w:fill="auto"/>
            <w:tcMar>
              <w:top w:w="80" w:type="dxa"/>
              <w:left w:w="80" w:type="dxa"/>
              <w:bottom w:w="80" w:type="dxa"/>
              <w:right w:w="80" w:type="dxa"/>
            </w:tcMar>
          </w:tcPr>
          <w:p w14:paraId="1D4C2BA8"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-87.61</w:t>
            </w:r>
          </w:p>
        </w:tc>
        <w:tc>
          <w:tcPr>
            <w:tcW w:w="1250" w:type="pct"/>
            <w:shd w:val="clear" w:color="auto" w:fill="auto"/>
            <w:tcMar>
              <w:top w:w="80" w:type="dxa"/>
              <w:left w:w="80" w:type="dxa"/>
              <w:bottom w:w="80" w:type="dxa"/>
              <w:right w:w="80" w:type="dxa"/>
            </w:tcMar>
          </w:tcPr>
          <w:p w14:paraId="0E338ECC"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-169.90</w:t>
            </w:r>
          </w:p>
        </w:tc>
        <w:tc>
          <w:tcPr>
            <w:tcW w:w="1250" w:type="pct"/>
            <w:shd w:val="clear" w:color="auto" w:fill="auto"/>
            <w:tcMar>
              <w:top w:w="80" w:type="dxa"/>
              <w:left w:w="80" w:type="dxa"/>
              <w:bottom w:w="80" w:type="dxa"/>
              <w:right w:w="80" w:type="dxa"/>
            </w:tcMar>
          </w:tcPr>
          <w:p w14:paraId="6AF9D583"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99.95</w:t>
            </w:r>
          </w:p>
        </w:tc>
      </w:tr>
      <w:tr w:rsidR="007B3CC0" w14:paraId="52A164C0" w14:textId="77777777" w:rsidTr="00A077F2">
        <w:tblPrEx>
          <w:shd w:val="clear" w:color="auto" w:fill="CED7E7"/>
        </w:tblPrEx>
        <w:trPr>
          <w:trHeight w:val="20"/>
        </w:trPr>
        <w:tc>
          <w:tcPr>
            <w:tcW w:w="1250" w:type="pct"/>
            <w:shd w:val="clear" w:color="auto" w:fill="auto"/>
            <w:tcMar>
              <w:top w:w="80" w:type="dxa"/>
              <w:left w:w="80" w:type="dxa"/>
              <w:bottom w:w="80" w:type="dxa"/>
              <w:right w:w="80" w:type="dxa"/>
            </w:tcMar>
          </w:tcPr>
          <w:p w14:paraId="29C23295"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6</w:t>
            </w:r>
          </w:p>
        </w:tc>
        <w:tc>
          <w:tcPr>
            <w:tcW w:w="1250" w:type="pct"/>
            <w:shd w:val="clear" w:color="auto" w:fill="auto"/>
            <w:tcMar>
              <w:top w:w="80" w:type="dxa"/>
              <w:left w:w="80" w:type="dxa"/>
              <w:bottom w:w="80" w:type="dxa"/>
              <w:right w:w="80" w:type="dxa"/>
            </w:tcMar>
          </w:tcPr>
          <w:p w14:paraId="1A1B34FB"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-116.79</w:t>
            </w:r>
          </w:p>
        </w:tc>
        <w:tc>
          <w:tcPr>
            <w:tcW w:w="1250" w:type="pct"/>
            <w:shd w:val="clear" w:color="auto" w:fill="auto"/>
            <w:tcMar>
              <w:top w:w="80" w:type="dxa"/>
              <w:left w:w="80" w:type="dxa"/>
              <w:bottom w:w="80" w:type="dxa"/>
              <w:right w:w="80" w:type="dxa"/>
            </w:tcMar>
          </w:tcPr>
          <w:p w14:paraId="20CC332A"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-215.54</w:t>
            </w:r>
          </w:p>
        </w:tc>
        <w:tc>
          <w:tcPr>
            <w:tcW w:w="1250" w:type="pct"/>
            <w:shd w:val="clear" w:color="auto" w:fill="auto"/>
            <w:tcMar>
              <w:top w:w="80" w:type="dxa"/>
              <w:left w:w="80" w:type="dxa"/>
              <w:bottom w:w="80" w:type="dxa"/>
              <w:right w:w="80" w:type="dxa"/>
            </w:tcMar>
          </w:tcPr>
          <w:p w14:paraId="54D38BA7" w14:textId="77777777" w:rsidR="007B3CC0" w:rsidRPr="00E92E3F" w:rsidRDefault="007B3CC0" w:rsidP="00A077F2">
            <w:pPr>
              <w:pStyle w:val="Compact"/>
              <w:rPr>
                <w:rFonts w:asciiTheme="minorHAnsi" w:hAnsiTheme="minorHAnsi" w:cstheme="minorHAnsi"/>
                <w:sz w:val="20"/>
                <w:szCs w:val="20"/>
              </w:rPr>
            </w:pPr>
            <w:r w:rsidRPr="00E92E3F">
              <w:rPr>
                <w:rFonts w:asciiTheme="minorHAnsi" w:hAnsiTheme="minorHAnsi" w:cstheme="minorHAnsi"/>
                <w:sz w:val="20"/>
                <w:szCs w:val="20"/>
              </w:rPr>
              <w:t>125.77</w:t>
            </w:r>
          </w:p>
        </w:tc>
      </w:tr>
    </w:tbl>
    <w:p w14:paraId="5AEBF4D2" w14:textId="77777777" w:rsidR="007B3CC0" w:rsidRDefault="007B3CC0" w:rsidP="00EB61FF">
      <w:pPr>
        <w:jc w:val="both"/>
      </w:pPr>
    </w:p>
    <w:p w14:paraId="306AC569" w14:textId="77777777" w:rsidR="007B3CC0" w:rsidRDefault="007B3CC0" w:rsidP="00EB61FF">
      <w:pPr>
        <w:jc w:val="both"/>
      </w:pPr>
    </w:p>
    <w:p w14:paraId="1ED8B7F5" w14:textId="77777777" w:rsidR="00B56DE5" w:rsidRDefault="00B56DE5" w:rsidP="00EB61FF">
      <w:pPr>
        <w:jc w:val="both"/>
      </w:pPr>
    </w:p>
    <w:p w14:paraId="168C5DC2" w14:textId="77777777" w:rsidR="00B56DE5" w:rsidRDefault="00B56DE5" w:rsidP="00EB61FF">
      <w:pPr>
        <w:jc w:val="both"/>
      </w:pPr>
    </w:p>
    <w:p w14:paraId="6537AFC6" w14:textId="77777777" w:rsidR="00B56DE5" w:rsidRDefault="00B56DE5" w:rsidP="00EB61FF">
      <w:pPr>
        <w:jc w:val="both"/>
      </w:pPr>
    </w:p>
    <w:p w14:paraId="7753C3D5" w14:textId="0E26EE54" w:rsidR="00B56DE5" w:rsidRPr="00362544" w:rsidRDefault="00B56DE5" w:rsidP="00B56DE5">
      <w:pPr>
        <w:pStyle w:val="Caption"/>
        <w:keepNext/>
      </w:pPr>
      <w:proofErr w:type="spellStart"/>
      <w:r>
        <w:rPr>
          <w:b/>
          <w:bCs/>
        </w:rPr>
        <w:t>s</w:t>
      </w:r>
      <w:r w:rsidRPr="00F829B7">
        <w:rPr>
          <w:b/>
          <w:bCs/>
        </w:rPr>
        <w:t>Table</w:t>
      </w:r>
      <w:proofErr w:type="spellEnd"/>
      <w:r w:rsidRPr="00F829B7">
        <w:rPr>
          <w:b/>
          <w:bCs/>
        </w:rPr>
        <w:t xml:space="preserve"> </w:t>
      </w:r>
      <w:r>
        <w:rPr>
          <w:b/>
          <w:bCs/>
        </w:rPr>
        <w:t>2</w:t>
      </w:r>
      <w:r>
        <w:t xml:space="preserve"> *Average AUC across five-fold cross-validation </w:t>
      </w:r>
      <m:oMath>
        <m:r>
          <m:rPr>
            <m:nor/>
          </m:rPr>
          <w:rPr>
            <w:rFonts w:cstheme="minorHAnsi"/>
            <w:sz w:val="20"/>
            <w:szCs w:val="20"/>
          </w:rPr>
          <m:t>±</m:t>
        </m:r>
      </m:oMath>
      <w:r>
        <w:rPr>
          <w:rFonts w:eastAsiaTheme="minorEastAsia"/>
          <w:sz w:val="20"/>
          <w:szCs w:val="20"/>
        </w:rPr>
        <w:t xml:space="preserve"> SEM. **AUC using unseen data. </w:t>
      </w:r>
      <w:r>
        <w:rPr>
          <w:rFonts w:eastAsiaTheme="minorEastAsia"/>
          <w:i w:val="0"/>
          <w:iCs w:val="0"/>
          <w:sz w:val="20"/>
          <w:szCs w:val="20"/>
        </w:rPr>
        <w:t xml:space="preserve">p </w:t>
      </w:r>
      <w:r>
        <w:rPr>
          <w:rFonts w:eastAsiaTheme="minorEastAsia"/>
          <w:sz w:val="20"/>
          <w:szCs w:val="20"/>
        </w:rPr>
        <w:t>values represent the probability that the test AUC value is greater than the average computed null AUC value for the test data.</w:t>
      </w:r>
    </w:p>
    <w:tbl>
      <w:tblPr>
        <w:tblW w:w="5000" w:type="pct"/>
        <w:tblBorders>
          <w:top w:val="single" w:sz="4" w:space="0" w:color="auto"/>
          <w:bottom w:val="single" w:sz="4" w:space="0" w:color="auto"/>
        </w:tblBorders>
        <w:shd w:val="clear" w:color="auto" w:fill="4F81BD"/>
        <w:tblLook w:val="04A0" w:firstRow="1" w:lastRow="0" w:firstColumn="1" w:lastColumn="0" w:noHBand="0" w:noVBand="1"/>
      </w:tblPr>
      <w:tblGrid>
        <w:gridCol w:w="4547"/>
        <w:gridCol w:w="2158"/>
        <w:gridCol w:w="1702"/>
        <w:gridCol w:w="953"/>
      </w:tblGrid>
      <w:tr w:rsidR="00B56DE5" w:rsidRPr="00874072" w14:paraId="43CEF0F8" w14:textId="77777777" w:rsidTr="00A077F2">
        <w:trPr>
          <w:trHeight w:val="294"/>
          <w:tblHeader/>
        </w:trPr>
        <w:tc>
          <w:tcPr>
            <w:tcW w:w="2429" w:type="pct"/>
            <w:tcBorders>
              <w:top w:val="single" w:sz="4" w:space="0" w:color="auto"/>
              <w:bottom w:val="single" w:sz="4" w:space="0" w:color="auto"/>
            </w:tcBorders>
            <w:shd w:val="clear" w:color="auto" w:fill="auto"/>
            <w:tcMar>
              <w:top w:w="80" w:type="dxa"/>
              <w:left w:w="80" w:type="dxa"/>
              <w:bottom w:w="80" w:type="dxa"/>
              <w:right w:w="80" w:type="dxa"/>
            </w:tcMar>
          </w:tcPr>
          <w:p w14:paraId="638CC8CC" w14:textId="77777777" w:rsidR="00B56DE5" w:rsidRPr="00874072" w:rsidRDefault="00B56DE5" w:rsidP="00A077F2">
            <w:pPr>
              <w:rPr>
                <w:rFonts w:cstheme="minorHAnsi"/>
                <w:sz w:val="20"/>
                <w:szCs w:val="20"/>
              </w:rPr>
            </w:pPr>
          </w:p>
        </w:tc>
        <w:tc>
          <w:tcPr>
            <w:tcW w:w="1153" w:type="pct"/>
            <w:tcBorders>
              <w:top w:val="single" w:sz="4" w:space="0" w:color="auto"/>
              <w:bottom w:val="single" w:sz="4" w:space="0" w:color="auto"/>
            </w:tcBorders>
            <w:shd w:val="clear" w:color="auto" w:fill="auto"/>
            <w:tcMar>
              <w:top w:w="80" w:type="dxa"/>
              <w:left w:w="80" w:type="dxa"/>
              <w:bottom w:w="80" w:type="dxa"/>
              <w:right w:w="80" w:type="dxa"/>
            </w:tcMar>
            <w:vAlign w:val="center"/>
          </w:tcPr>
          <w:p w14:paraId="2B003511"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Mean CV AUC*</w:t>
            </w:r>
          </w:p>
        </w:tc>
        <w:tc>
          <w:tcPr>
            <w:tcW w:w="909" w:type="pct"/>
            <w:tcBorders>
              <w:top w:val="single" w:sz="4" w:space="0" w:color="auto"/>
              <w:bottom w:val="single" w:sz="4" w:space="0" w:color="auto"/>
            </w:tcBorders>
            <w:shd w:val="clear" w:color="auto" w:fill="auto"/>
            <w:tcMar>
              <w:top w:w="80" w:type="dxa"/>
              <w:left w:w="80" w:type="dxa"/>
              <w:bottom w:w="80" w:type="dxa"/>
              <w:right w:w="80" w:type="dxa"/>
            </w:tcMar>
          </w:tcPr>
          <w:p w14:paraId="4200A9CA"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Test AUC**</w:t>
            </w:r>
          </w:p>
        </w:tc>
        <w:tc>
          <w:tcPr>
            <w:tcW w:w="509" w:type="pct"/>
            <w:tcBorders>
              <w:top w:val="single" w:sz="4" w:space="0" w:color="auto"/>
              <w:bottom w:val="single" w:sz="4" w:space="0" w:color="auto"/>
            </w:tcBorders>
            <w:shd w:val="clear" w:color="auto" w:fill="auto"/>
            <w:tcMar>
              <w:top w:w="80" w:type="dxa"/>
              <w:left w:w="80" w:type="dxa"/>
              <w:bottom w:w="80" w:type="dxa"/>
              <w:right w:w="80" w:type="dxa"/>
            </w:tcMar>
          </w:tcPr>
          <w:p w14:paraId="2E7E7157" w14:textId="77777777" w:rsidR="00B56DE5" w:rsidRPr="0029525E" w:rsidRDefault="00B56DE5" w:rsidP="00A077F2">
            <w:pPr>
              <w:pStyle w:val="Compact"/>
              <w:jc w:val="center"/>
              <w:rPr>
                <w:rFonts w:asciiTheme="minorHAnsi" w:hAnsiTheme="minorHAnsi" w:cstheme="minorHAnsi"/>
                <w:i/>
                <w:iCs/>
                <w:sz w:val="20"/>
                <w:szCs w:val="20"/>
              </w:rPr>
            </w:pPr>
            <m:oMathPara>
              <m:oMathParaPr>
                <m:jc m:val="center"/>
              </m:oMathParaPr>
              <m:oMath>
                <m:r>
                  <m:rPr>
                    <m:nor/>
                  </m:rPr>
                  <w:rPr>
                    <w:rFonts w:asciiTheme="minorHAnsi" w:hAnsiTheme="minorHAnsi" w:cstheme="minorHAnsi"/>
                    <w:i/>
                    <w:iCs/>
                    <w:sz w:val="20"/>
                    <w:szCs w:val="20"/>
                  </w:rPr>
                  <m:t>p</m:t>
                </m:r>
              </m:oMath>
            </m:oMathPara>
          </w:p>
        </w:tc>
      </w:tr>
      <w:tr w:rsidR="00B56DE5" w:rsidRPr="00874072" w14:paraId="76CEFAD5" w14:textId="77777777" w:rsidTr="00A077F2">
        <w:tblPrEx>
          <w:shd w:val="clear" w:color="auto" w:fill="CED7E7"/>
        </w:tblPrEx>
        <w:trPr>
          <w:trHeight w:val="294"/>
        </w:trPr>
        <w:tc>
          <w:tcPr>
            <w:tcW w:w="2429" w:type="pct"/>
            <w:tcBorders>
              <w:top w:val="single" w:sz="4" w:space="0" w:color="auto"/>
            </w:tcBorders>
            <w:shd w:val="clear" w:color="auto" w:fill="auto"/>
            <w:tcMar>
              <w:top w:w="80" w:type="dxa"/>
              <w:left w:w="80" w:type="dxa"/>
              <w:bottom w:w="80" w:type="dxa"/>
              <w:right w:w="80" w:type="dxa"/>
            </w:tcMar>
          </w:tcPr>
          <w:p w14:paraId="74FF362D"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Class 1 vs. All</w:t>
            </w:r>
          </w:p>
        </w:tc>
        <w:tc>
          <w:tcPr>
            <w:tcW w:w="1153" w:type="pct"/>
            <w:tcBorders>
              <w:top w:val="single" w:sz="4" w:space="0" w:color="auto"/>
            </w:tcBorders>
            <w:shd w:val="clear" w:color="auto" w:fill="auto"/>
            <w:tcMar>
              <w:top w:w="80" w:type="dxa"/>
              <w:left w:w="80" w:type="dxa"/>
              <w:bottom w:w="80" w:type="dxa"/>
              <w:right w:w="80" w:type="dxa"/>
            </w:tcMar>
            <w:vAlign w:val="center"/>
          </w:tcPr>
          <w:p w14:paraId="7DCE659D" w14:textId="77777777" w:rsidR="00B56DE5" w:rsidRPr="00874072" w:rsidRDefault="00B56DE5" w:rsidP="00A077F2">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m:t>
                </m:r>
                <m:r>
                  <m:rPr>
                    <m:nor/>
                  </m:rPr>
                  <w:rPr>
                    <w:rFonts w:ascii="Cambria Math" w:hAnsiTheme="minorHAnsi" w:cstheme="minorHAnsi"/>
                    <w:sz w:val="20"/>
                    <w:szCs w:val="20"/>
                  </w:rPr>
                  <m:t>57</m:t>
                </m:r>
                <m:r>
                  <m:rPr>
                    <m:nor/>
                  </m:rPr>
                  <w:rPr>
                    <w:rFonts w:asciiTheme="minorHAnsi" w:hAnsiTheme="minorHAnsi" w:cstheme="minorHAnsi"/>
                    <w:sz w:val="20"/>
                    <w:szCs w:val="20"/>
                  </w:rPr>
                  <m:t>±0.0</m:t>
                </m:r>
                <m:r>
                  <m:rPr>
                    <m:nor/>
                  </m:rPr>
                  <w:rPr>
                    <w:rFonts w:ascii="Cambria Math" w:hAnsiTheme="minorHAnsi" w:cstheme="minorHAnsi"/>
                    <w:sz w:val="20"/>
                    <w:szCs w:val="20"/>
                  </w:rPr>
                  <m:t>27</m:t>
                </m:r>
              </m:oMath>
            </m:oMathPara>
          </w:p>
        </w:tc>
        <w:tc>
          <w:tcPr>
            <w:tcW w:w="909" w:type="pct"/>
            <w:tcBorders>
              <w:top w:val="single" w:sz="4" w:space="0" w:color="auto"/>
            </w:tcBorders>
            <w:shd w:val="clear" w:color="auto" w:fill="auto"/>
            <w:tcMar>
              <w:top w:w="80" w:type="dxa"/>
              <w:left w:w="80" w:type="dxa"/>
              <w:bottom w:w="80" w:type="dxa"/>
              <w:right w:w="80" w:type="dxa"/>
            </w:tcMar>
          </w:tcPr>
          <w:p w14:paraId="721D2F3E"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0.</w:t>
            </w:r>
            <w:r>
              <w:rPr>
                <w:rFonts w:asciiTheme="minorHAnsi" w:hAnsiTheme="minorHAnsi" w:cstheme="minorHAnsi"/>
                <w:sz w:val="20"/>
                <w:szCs w:val="20"/>
              </w:rPr>
              <w:t>766</w:t>
            </w:r>
          </w:p>
        </w:tc>
        <w:tc>
          <w:tcPr>
            <w:tcW w:w="509" w:type="pct"/>
            <w:tcBorders>
              <w:top w:val="single" w:sz="4" w:space="0" w:color="auto"/>
            </w:tcBorders>
            <w:shd w:val="clear" w:color="auto" w:fill="auto"/>
            <w:tcMar>
              <w:top w:w="80" w:type="dxa"/>
              <w:left w:w="80" w:type="dxa"/>
              <w:bottom w:w="80" w:type="dxa"/>
              <w:right w:w="80" w:type="dxa"/>
            </w:tcMar>
          </w:tcPr>
          <w:p w14:paraId="64AA5D6D" w14:textId="77777777" w:rsidR="00B56DE5" w:rsidRPr="00874072" w:rsidRDefault="00B56DE5" w:rsidP="00A077F2">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B56DE5" w:rsidRPr="00F97E02" w14:paraId="2098FB97" w14:textId="77777777" w:rsidTr="00A077F2">
        <w:tblPrEx>
          <w:shd w:val="clear" w:color="auto" w:fill="CED7E7"/>
        </w:tblPrEx>
        <w:trPr>
          <w:trHeight w:val="294"/>
        </w:trPr>
        <w:tc>
          <w:tcPr>
            <w:tcW w:w="2429" w:type="pct"/>
            <w:shd w:val="clear" w:color="auto" w:fill="auto"/>
            <w:tcMar>
              <w:top w:w="80" w:type="dxa"/>
              <w:left w:w="80" w:type="dxa"/>
              <w:bottom w:w="80" w:type="dxa"/>
              <w:right w:w="80" w:type="dxa"/>
            </w:tcMar>
          </w:tcPr>
          <w:p w14:paraId="7D79AE38"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Class 2 vs. All</w:t>
            </w:r>
          </w:p>
        </w:tc>
        <w:tc>
          <w:tcPr>
            <w:tcW w:w="1153" w:type="pct"/>
            <w:shd w:val="clear" w:color="auto" w:fill="auto"/>
            <w:tcMar>
              <w:top w:w="80" w:type="dxa"/>
              <w:left w:w="80" w:type="dxa"/>
              <w:bottom w:w="80" w:type="dxa"/>
              <w:right w:w="80" w:type="dxa"/>
            </w:tcMar>
            <w:vAlign w:val="center"/>
          </w:tcPr>
          <w:p w14:paraId="401D8950" w14:textId="77777777" w:rsidR="00B56DE5" w:rsidRPr="00874072" w:rsidRDefault="00B56DE5" w:rsidP="00A077F2">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35</m:t>
                </m:r>
                <m:r>
                  <m:rPr>
                    <m:nor/>
                  </m:rPr>
                  <w:rPr>
                    <w:rFonts w:asciiTheme="minorHAnsi" w:hAnsiTheme="minorHAnsi" w:cstheme="minorHAnsi"/>
                    <w:sz w:val="20"/>
                    <w:szCs w:val="20"/>
                  </w:rPr>
                  <m:t>±0.01</m:t>
                </m:r>
                <m:r>
                  <m:rPr>
                    <m:nor/>
                  </m:rPr>
                  <w:rPr>
                    <w:rFonts w:ascii="Cambria Math" w:hAnsiTheme="minorHAnsi" w:cstheme="minorHAnsi"/>
                    <w:sz w:val="20"/>
                    <w:szCs w:val="20"/>
                  </w:rPr>
                  <m:t>5</m:t>
                </m:r>
              </m:oMath>
            </m:oMathPara>
          </w:p>
        </w:tc>
        <w:tc>
          <w:tcPr>
            <w:tcW w:w="909" w:type="pct"/>
            <w:shd w:val="clear" w:color="auto" w:fill="auto"/>
            <w:tcMar>
              <w:top w:w="80" w:type="dxa"/>
              <w:left w:w="80" w:type="dxa"/>
              <w:bottom w:w="80" w:type="dxa"/>
              <w:right w:w="80" w:type="dxa"/>
            </w:tcMar>
          </w:tcPr>
          <w:p w14:paraId="48299C5A"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0.5</w:t>
            </w:r>
            <w:r>
              <w:rPr>
                <w:rFonts w:asciiTheme="minorHAnsi" w:hAnsiTheme="minorHAnsi" w:cstheme="minorHAnsi"/>
                <w:sz w:val="20"/>
                <w:szCs w:val="20"/>
              </w:rPr>
              <w:t>69</w:t>
            </w:r>
          </w:p>
        </w:tc>
        <w:tc>
          <w:tcPr>
            <w:tcW w:w="509" w:type="pct"/>
            <w:shd w:val="clear" w:color="auto" w:fill="auto"/>
            <w:tcMar>
              <w:top w:w="80" w:type="dxa"/>
              <w:left w:w="80" w:type="dxa"/>
              <w:bottom w:w="80" w:type="dxa"/>
              <w:right w:w="80" w:type="dxa"/>
            </w:tcMar>
          </w:tcPr>
          <w:p w14:paraId="7F5FFDCF" w14:textId="77777777" w:rsidR="00B56DE5" w:rsidRPr="00F97E02" w:rsidRDefault="00B56DE5" w:rsidP="00A077F2">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.008</m:t>
                </m:r>
              </m:oMath>
            </m:oMathPara>
          </w:p>
        </w:tc>
      </w:tr>
      <w:tr w:rsidR="00B56DE5" w:rsidRPr="00874072" w14:paraId="57F52543" w14:textId="77777777" w:rsidTr="00A077F2">
        <w:tblPrEx>
          <w:shd w:val="clear" w:color="auto" w:fill="CED7E7"/>
        </w:tblPrEx>
        <w:trPr>
          <w:trHeight w:val="294"/>
        </w:trPr>
        <w:tc>
          <w:tcPr>
            <w:tcW w:w="2429" w:type="pct"/>
            <w:shd w:val="clear" w:color="auto" w:fill="auto"/>
            <w:tcMar>
              <w:top w:w="80" w:type="dxa"/>
              <w:left w:w="80" w:type="dxa"/>
              <w:bottom w:w="80" w:type="dxa"/>
              <w:right w:w="80" w:type="dxa"/>
            </w:tcMar>
          </w:tcPr>
          <w:p w14:paraId="27F8A068"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Class 3 vs. All</w:t>
            </w:r>
          </w:p>
        </w:tc>
        <w:tc>
          <w:tcPr>
            <w:tcW w:w="1153" w:type="pct"/>
            <w:shd w:val="clear" w:color="auto" w:fill="auto"/>
            <w:tcMar>
              <w:top w:w="80" w:type="dxa"/>
              <w:left w:w="80" w:type="dxa"/>
              <w:bottom w:w="80" w:type="dxa"/>
              <w:right w:w="80" w:type="dxa"/>
            </w:tcMar>
            <w:vAlign w:val="center"/>
          </w:tcPr>
          <w:p w14:paraId="082E7360" w14:textId="77777777" w:rsidR="00B56DE5" w:rsidRPr="00874072" w:rsidRDefault="00B56DE5" w:rsidP="00A077F2">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67</m:t>
                </m:r>
                <m:r>
                  <m:rPr>
                    <m:nor/>
                  </m:rPr>
                  <w:rPr>
                    <w:rFonts w:asciiTheme="minorHAnsi" w:hAnsiTheme="minorHAnsi" w:cstheme="minorHAnsi"/>
                    <w:sz w:val="20"/>
                    <w:szCs w:val="20"/>
                  </w:rPr>
                  <m:t>±0.020</m:t>
                </m:r>
              </m:oMath>
            </m:oMathPara>
          </w:p>
        </w:tc>
        <w:tc>
          <w:tcPr>
            <w:tcW w:w="909" w:type="pct"/>
            <w:shd w:val="clear" w:color="auto" w:fill="auto"/>
            <w:tcMar>
              <w:top w:w="80" w:type="dxa"/>
              <w:left w:w="80" w:type="dxa"/>
              <w:bottom w:w="80" w:type="dxa"/>
              <w:right w:w="80" w:type="dxa"/>
            </w:tcMar>
          </w:tcPr>
          <w:p w14:paraId="790CE930"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0.58</w:t>
            </w:r>
            <w:r>
              <w:rPr>
                <w:rFonts w:asciiTheme="minorHAnsi" w:hAnsiTheme="minorHAnsi" w:cstheme="minorHAnsi"/>
                <w:sz w:val="20"/>
                <w:szCs w:val="20"/>
              </w:rPr>
              <w:t>5</w:t>
            </w:r>
          </w:p>
        </w:tc>
        <w:tc>
          <w:tcPr>
            <w:tcW w:w="509" w:type="pct"/>
            <w:shd w:val="clear" w:color="auto" w:fill="auto"/>
            <w:tcMar>
              <w:top w:w="80" w:type="dxa"/>
              <w:left w:w="80" w:type="dxa"/>
              <w:bottom w:w="80" w:type="dxa"/>
              <w:right w:w="80" w:type="dxa"/>
            </w:tcMar>
          </w:tcPr>
          <w:p w14:paraId="7F5AC2EE" w14:textId="77777777" w:rsidR="00B56DE5" w:rsidRPr="00874072" w:rsidRDefault="00B56DE5" w:rsidP="00A077F2">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B56DE5" w:rsidRPr="00874072" w14:paraId="319AB879" w14:textId="77777777" w:rsidTr="00A077F2">
        <w:tblPrEx>
          <w:shd w:val="clear" w:color="auto" w:fill="CED7E7"/>
        </w:tblPrEx>
        <w:trPr>
          <w:trHeight w:val="294"/>
        </w:trPr>
        <w:tc>
          <w:tcPr>
            <w:tcW w:w="2429" w:type="pct"/>
            <w:shd w:val="clear" w:color="auto" w:fill="auto"/>
            <w:tcMar>
              <w:top w:w="80" w:type="dxa"/>
              <w:left w:w="80" w:type="dxa"/>
              <w:bottom w:w="80" w:type="dxa"/>
              <w:right w:w="80" w:type="dxa"/>
            </w:tcMar>
          </w:tcPr>
          <w:p w14:paraId="72A35E78"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Class 1 vs. Class 2</w:t>
            </w:r>
          </w:p>
        </w:tc>
        <w:tc>
          <w:tcPr>
            <w:tcW w:w="1153" w:type="pct"/>
            <w:shd w:val="clear" w:color="auto" w:fill="auto"/>
            <w:tcMar>
              <w:top w:w="80" w:type="dxa"/>
              <w:left w:w="80" w:type="dxa"/>
              <w:bottom w:w="80" w:type="dxa"/>
              <w:right w:w="80" w:type="dxa"/>
            </w:tcMar>
            <w:vAlign w:val="center"/>
          </w:tcPr>
          <w:p w14:paraId="006C075A" w14:textId="77777777" w:rsidR="00B56DE5" w:rsidRPr="00874072" w:rsidRDefault="00B56DE5" w:rsidP="00A077F2">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70</m:t>
                </m:r>
                <m:r>
                  <m:rPr>
                    <m:nor/>
                  </m:rPr>
                  <w:rPr>
                    <w:rFonts w:asciiTheme="minorHAnsi" w:hAnsiTheme="minorHAnsi" w:cstheme="minorHAnsi"/>
                    <w:sz w:val="20"/>
                    <w:szCs w:val="20"/>
                  </w:rPr>
                  <m:t>±0.0</m:t>
                </m:r>
                <m:r>
                  <m:rPr>
                    <m:nor/>
                  </m:rPr>
                  <w:rPr>
                    <w:rFonts w:ascii="Cambria Math" w:hAnsiTheme="minorHAnsi" w:cstheme="minorHAnsi"/>
                    <w:sz w:val="20"/>
                    <w:szCs w:val="20"/>
                  </w:rPr>
                  <m:t>30</m:t>
                </m:r>
              </m:oMath>
            </m:oMathPara>
          </w:p>
        </w:tc>
        <w:tc>
          <w:tcPr>
            <w:tcW w:w="909" w:type="pct"/>
            <w:shd w:val="clear" w:color="auto" w:fill="auto"/>
            <w:tcMar>
              <w:top w:w="80" w:type="dxa"/>
              <w:left w:w="80" w:type="dxa"/>
              <w:bottom w:w="80" w:type="dxa"/>
              <w:right w:w="80" w:type="dxa"/>
            </w:tcMar>
          </w:tcPr>
          <w:p w14:paraId="4B62AE6F"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0.</w:t>
            </w:r>
            <w:r>
              <w:rPr>
                <w:rFonts w:asciiTheme="minorHAnsi" w:hAnsiTheme="minorHAnsi" w:cstheme="minorHAnsi"/>
                <w:sz w:val="20"/>
                <w:szCs w:val="20"/>
              </w:rPr>
              <w:t>784</w:t>
            </w:r>
          </w:p>
        </w:tc>
        <w:tc>
          <w:tcPr>
            <w:tcW w:w="509" w:type="pct"/>
            <w:shd w:val="clear" w:color="auto" w:fill="auto"/>
            <w:tcMar>
              <w:top w:w="80" w:type="dxa"/>
              <w:left w:w="80" w:type="dxa"/>
              <w:bottom w:w="80" w:type="dxa"/>
              <w:right w:w="80" w:type="dxa"/>
            </w:tcMar>
          </w:tcPr>
          <w:p w14:paraId="23CAAEA5" w14:textId="77777777" w:rsidR="00B56DE5" w:rsidRPr="00874072" w:rsidRDefault="00B56DE5" w:rsidP="00A077F2">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B56DE5" w:rsidRPr="00874072" w14:paraId="0F815AB4" w14:textId="77777777" w:rsidTr="00A077F2">
        <w:tblPrEx>
          <w:shd w:val="clear" w:color="auto" w:fill="CED7E7"/>
        </w:tblPrEx>
        <w:trPr>
          <w:trHeight w:val="294"/>
        </w:trPr>
        <w:tc>
          <w:tcPr>
            <w:tcW w:w="2429" w:type="pct"/>
            <w:shd w:val="clear" w:color="auto" w:fill="auto"/>
            <w:tcMar>
              <w:top w:w="80" w:type="dxa"/>
              <w:left w:w="80" w:type="dxa"/>
              <w:bottom w:w="80" w:type="dxa"/>
              <w:right w:w="80" w:type="dxa"/>
            </w:tcMar>
          </w:tcPr>
          <w:p w14:paraId="17A3CD35"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Class 1 vs. Class 3</w:t>
            </w:r>
          </w:p>
        </w:tc>
        <w:tc>
          <w:tcPr>
            <w:tcW w:w="1153" w:type="pct"/>
            <w:shd w:val="clear" w:color="auto" w:fill="auto"/>
            <w:tcMar>
              <w:top w:w="80" w:type="dxa"/>
              <w:left w:w="80" w:type="dxa"/>
              <w:bottom w:w="80" w:type="dxa"/>
              <w:right w:w="80" w:type="dxa"/>
            </w:tcMar>
            <w:vAlign w:val="center"/>
          </w:tcPr>
          <w:p w14:paraId="0204162A" w14:textId="77777777" w:rsidR="00B56DE5" w:rsidRPr="00874072" w:rsidRDefault="00B56DE5" w:rsidP="00A077F2">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m:t>
                </m:r>
                <m:r>
                  <m:rPr>
                    <m:nor/>
                  </m:rPr>
                  <w:rPr>
                    <w:rFonts w:ascii="Cambria Math" w:hAnsiTheme="minorHAnsi" w:cstheme="minorHAnsi"/>
                    <w:sz w:val="20"/>
                    <w:szCs w:val="20"/>
                  </w:rPr>
                  <m:t>70</m:t>
                </m:r>
                <m:r>
                  <m:rPr>
                    <m:nor/>
                  </m:rPr>
                  <w:rPr>
                    <w:rFonts w:asciiTheme="minorHAnsi" w:hAnsiTheme="minorHAnsi" w:cstheme="minorHAnsi"/>
                    <w:sz w:val="20"/>
                    <w:szCs w:val="20"/>
                  </w:rPr>
                  <m:t>±0.0</m:t>
                </m:r>
                <m:r>
                  <m:rPr>
                    <m:nor/>
                  </m:rPr>
                  <w:rPr>
                    <w:rFonts w:ascii="Cambria Math" w:hAnsiTheme="minorHAnsi" w:cstheme="minorHAnsi"/>
                    <w:sz w:val="20"/>
                    <w:szCs w:val="20"/>
                  </w:rPr>
                  <m:t>47</m:t>
                </m:r>
              </m:oMath>
            </m:oMathPara>
          </w:p>
        </w:tc>
        <w:tc>
          <w:tcPr>
            <w:tcW w:w="909" w:type="pct"/>
            <w:shd w:val="clear" w:color="auto" w:fill="auto"/>
            <w:tcMar>
              <w:top w:w="80" w:type="dxa"/>
              <w:left w:w="80" w:type="dxa"/>
              <w:bottom w:w="80" w:type="dxa"/>
              <w:right w:w="80" w:type="dxa"/>
            </w:tcMar>
          </w:tcPr>
          <w:p w14:paraId="71D30DAA"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0.</w:t>
            </w:r>
            <w:r>
              <w:rPr>
                <w:rFonts w:asciiTheme="minorHAnsi" w:hAnsiTheme="minorHAnsi" w:cstheme="minorHAnsi"/>
                <w:sz w:val="20"/>
                <w:szCs w:val="20"/>
              </w:rPr>
              <w:t>788</w:t>
            </w:r>
          </w:p>
        </w:tc>
        <w:tc>
          <w:tcPr>
            <w:tcW w:w="509" w:type="pct"/>
            <w:shd w:val="clear" w:color="auto" w:fill="auto"/>
            <w:tcMar>
              <w:top w:w="80" w:type="dxa"/>
              <w:left w:w="80" w:type="dxa"/>
              <w:bottom w:w="80" w:type="dxa"/>
              <w:right w:w="80" w:type="dxa"/>
            </w:tcMar>
          </w:tcPr>
          <w:p w14:paraId="48C02CBE" w14:textId="77777777" w:rsidR="00B56DE5" w:rsidRPr="00874072" w:rsidRDefault="00B56DE5" w:rsidP="00A077F2">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B56DE5" w:rsidRPr="00874072" w14:paraId="0295F8B7" w14:textId="77777777" w:rsidTr="00A077F2">
        <w:tblPrEx>
          <w:shd w:val="clear" w:color="auto" w:fill="CED7E7"/>
        </w:tblPrEx>
        <w:trPr>
          <w:trHeight w:val="294"/>
        </w:trPr>
        <w:tc>
          <w:tcPr>
            <w:tcW w:w="2429" w:type="pct"/>
            <w:shd w:val="clear" w:color="auto" w:fill="auto"/>
            <w:tcMar>
              <w:top w:w="80" w:type="dxa"/>
              <w:left w:w="80" w:type="dxa"/>
              <w:bottom w:w="80" w:type="dxa"/>
              <w:right w:w="80" w:type="dxa"/>
            </w:tcMar>
          </w:tcPr>
          <w:p w14:paraId="70817185"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Class 2 vs. Class 3</w:t>
            </w:r>
          </w:p>
        </w:tc>
        <w:tc>
          <w:tcPr>
            <w:tcW w:w="1153" w:type="pct"/>
            <w:shd w:val="clear" w:color="auto" w:fill="auto"/>
            <w:tcMar>
              <w:top w:w="80" w:type="dxa"/>
              <w:left w:w="80" w:type="dxa"/>
              <w:bottom w:w="80" w:type="dxa"/>
              <w:right w:w="80" w:type="dxa"/>
            </w:tcMar>
            <w:vAlign w:val="center"/>
          </w:tcPr>
          <w:p w14:paraId="30ECFC1F" w14:textId="77777777" w:rsidR="00B56DE5" w:rsidRPr="00874072" w:rsidRDefault="00B56DE5" w:rsidP="00A077F2">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0.5</m:t>
                </m:r>
                <m:r>
                  <m:rPr>
                    <m:nor/>
                  </m:rPr>
                  <w:rPr>
                    <w:rFonts w:ascii="Cambria Math" w:hAnsiTheme="minorHAnsi" w:cstheme="minorHAnsi"/>
                    <w:sz w:val="20"/>
                    <w:szCs w:val="20"/>
                  </w:rPr>
                  <m:t>30</m:t>
                </m:r>
                <m:r>
                  <m:rPr>
                    <m:nor/>
                  </m:rPr>
                  <w:rPr>
                    <w:rFonts w:asciiTheme="minorHAnsi" w:hAnsiTheme="minorHAnsi" w:cstheme="minorHAnsi"/>
                    <w:sz w:val="20"/>
                    <w:szCs w:val="20"/>
                  </w:rPr>
                  <m:t>±0.0</m:t>
                </m:r>
                <m:r>
                  <m:rPr>
                    <m:nor/>
                  </m:rPr>
                  <w:rPr>
                    <w:rFonts w:ascii="Cambria Math" w:hAnsiTheme="minorHAnsi" w:cstheme="minorHAnsi"/>
                    <w:sz w:val="20"/>
                    <w:szCs w:val="20"/>
                  </w:rPr>
                  <m:t>10</m:t>
                </m:r>
              </m:oMath>
            </m:oMathPara>
          </w:p>
        </w:tc>
        <w:tc>
          <w:tcPr>
            <w:tcW w:w="909" w:type="pct"/>
            <w:shd w:val="clear" w:color="auto" w:fill="auto"/>
            <w:tcMar>
              <w:top w:w="80" w:type="dxa"/>
              <w:left w:w="80" w:type="dxa"/>
              <w:bottom w:w="80" w:type="dxa"/>
              <w:right w:w="80" w:type="dxa"/>
            </w:tcMar>
          </w:tcPr>
          <w:p w14:paraId="0E90EE08"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0.5</w:t>
            </w:r>
            <w:r>
              <w:rPr>
                <w:rFonts w:asciiTheme="minorHAnsi" w:hAnsiTheme="minorHAnsi" w:cstheme="minorHAnsi"/>
                <w:sz w:val="20"/>
                <w:szCs w:val="20"/>
              </w:rPr>
              <w:t>23</w:t>
            </w:r>
          </w:p>
        </w:tc>
        <w:tc>
          <w:tcPr>
            <w:tcW w:w="509" w:type="pct"/>
            <w:shd w:val="clear" w:color="auto" w:fill="auto"/>
            <w:tcMar>
              <w:top w:w="80" w:type="dxa"/>
              <w:left w:w="80" w:type="dxa"/>
              <w:bottom w:w="80" w:type="dxa"/>
              <w:right w:w="80" w:type="dxa"/>
            </w:tcMar>
          </w:tcPr>
          <w:p w14:paraId="6908684B" w14:textId="77777777" w:rsidR="00B56DE5" w:rsidRPr="00874072" w:rsidRDefault="00B56DE5" w:rsidP="00A077F2">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r w:rsidR="00B56DE5" w:rsidRPr="00874072" w14:paraId="7FF202CE" w14:textId="77777777" w:rsidTr="00A077F2">
        <w:tblPrEx>
          <w:shd w:val="clear" w:color="auto" w:fill="CED7E7"/>
        </w:tblPrEx>
        <w:trPr>
          <w:trHeight w:val="379"/>
        </w:trPr>
        <w:tc>
          <w:tcPr>
            <w:tcW w:w="2429" w:type="pct"/>
            <w:shd w:val="clear" w:color="auto" w:fill="auto"/>
            <w:tcMar>
              <w:top w:w="80" w:type="dxa"/>
              <w:left w:w="80" w:type="dxa"/>
              <w:bottom w:w="80" w:type="dxa"/>
              <w:right w:w="80" w:type="dxa"/>
            </w:tcMar>
          </w:tcPr>
          <w:p w14:paraId="4E73346F" w14:textId="77777777" w:rsidR="00B56DE5" w:rsidRPr="00055DA0" w:rsidRDefault="00B56DE5" w:rsidP="00A077F2">
            <w:pPr>
              <w:pStyle w:val="Compact"/>
              <w:rPr>
                <w:rFonts w:asciiTheme="minorHAnsi" w:hAnsiTheme="minorHAnsi" w:cstheme="minorHAnsi"/>
                <w:sz w:val="20"/>
                <w:szCs w:val="20"/>
              </w:rPr>
            </w:pPr>
            <w:r w:rsidRPr="00055DA0">
              <w:rPr>
                <w:rFonts w:asciiTheme="minorHAnsi" w:hAnsiTheme="minorHAnsi" w:cstheme="minorHAnsi"/>
                <w:sz w:val="20"/>
                <w:szCs w:val="20"/>
              </w:rPr>
              <w:t>Class 1 vs. All (Placebo NRT Only)</w:t>
            </w:r>
          </w:p>
        </w:tc>
        <w:tc>
          <w:tcPr>
            <w:tcW w:w="1153" w:type="pct"/>
            <w:shd w:val="clear" w:color="auto" w:fill="auto"/>
            <w:tcMar>
              <w:top w:w="80" w:type="dxa"/>
              <w:left w:w="80" w:type="dxa"/>
              <w:bottom w:w="80" w:type="dxa"/>
              <w:right w:w="80" w:type="dxa"/>
            </w:tcMar>
            <w:vAlign w:val="center"/>
          </w:tcPr>
          <w:p w14:paraId="34AF69C2" w14:textId="77777777" w:rsidR="00B56DE5" w:rsidRPr="00874072" w:rsidRDefault="00B56DE5" w:rsidP="00A077F2">
            <w:pPr>
              <w:pStyle w:val="Compact"/>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0.6</m:t>
                </m:r>
                <m:r>
                  <m:rPr>
                    <m:nor/>
                  </m:rPr>
                  <w:rPr>
                    <w:rFonts w:ascii="Cambria Math" w:hAnsiTheme="minorHAnsi" w:cstheme="minorHAnsi"/>
                    <w:sz w:val="20"/>
                    <w:szCs w:val="20"/>
                  </w:rPr>
                  <m:t>10</m:t>
                </m:r>
                <m:r>
                  <m:rPr>
                    <m:nor/>
                  </m:rPr>
                  <w:rPr>
                    <w:rFonts w:asciiTheme="minorHAnsi" w:hAnsiTheme="minorHAnsi" w:cstheme="minorHAnsi"/>
                    <w:sz w:val="20"/>
                    <w:szCs w:val="20"/>
                  </w:rPr>
                  <m:t>±0.0</m:t>
                </m:r>
                <m:r>
                  <m:rPr>
                    <m:nor/>
                  </m:rPr>
                  <w:rPr>
                    <w:rFonts w:ascii="Cambria Math" w:hAnsiTheme="minorHAnsi" w:cstheme="minorHAnsi"/>
                    <w:sz w:val="20"/>
                    <w:szCs w:val="20"/>
                  </w:rPr>
                  <m:t>46</m:t>
                </m:r>
              </m:oMath>
            </m:oMathPara>
          </w:p>
        </w:tc>
        <w:tc>
          <w:tcPr>
            <w:tcW w:w="909" w:type="pct"/>
            <w:shd w:val="clear" w:color="auto" w:fill="auto"/>
            <w:tcMar>
              <w:top w:w="80" w:type="dxa"/>
              <w:left w:w="80" w:type="dxa"/>
              <w:bottom w:w="80" w:type="dxa"/>
              <w:right w:w="80" w:type="dxa"/>
            </w:tcMar>
          </w:tcPr>
          <w:p w14:paraId="48790361" w14:textId="77777777" w:rsidR="00B56DE5" w:rsidRPr="00874072" w:rsidRDefault="00B56DE5" w:rsidP="00A077F2">
            <w:pPr>
              <w:pStyle w:val="Compact"/>
              <w:rPr>
                <w:rFonts w:asciiTheme="minorHAnsi" w:hAnsiTheme="minorHAnsi" w:cstheme="minorHAnsi"/>
                <w:sz w:val="20"/>
                <w:szCs w:val="20"/>
              </w:rPr>
            </w:pPr>
            <w:r w:rsidRPr="00874072">
              <w:rPr>
                <w:rFonts w:asciiTheme="minorHAnsi" w:hAnsiTheme="minorHAnsi" w:cstheme="minorHAnsi"/>
                <w:sz w:val="20"/>
                <w:szCs w:val="20"/>
              </w:rPr>
              <w:t>0.</w:t>
            </w:r>
            <w:r>
              <w:rPr>
                <w:rFonts w:asciiTheme="minorHAnsi" w:hAnsiTheme="minorHAnsi" w:cstheme="minorHAnsi"/>
                <w:sz w:val="20"/>
                <w:szCs w:val="20"/>
              </w:rPr>
              <w:t>717</w:t>
            </w:r>
          </w:p>
        </w:tc>
        <w:tc>
          <w:tcPr>
            <w:tcW w:w="509" w:type="pct"/>
            <w:shd w:val="clear" w:color="auto" w:fill="auto"/>
            <w:tcMar>
              <w:top w:w="80" w:type="dxa"/>
              <w:left w:w="80" w:type="dxa"/>
              <w:bottom w:w="80" w:type="dxa"/>
              <w:right w:w="80" w:type="dxa"/>
            </w:tcMar>
          </w:tcPr>
          <w:p w14:paraId="65837A26" w14:textId="77777777" w:rsidR="00B56DE5" w:rsidRPr="00874072" w:rsidRDefault="00B56DE5" w:rsidP="00A077F2">
            <w:pPr>
              <w:pStyle w:val="Compact"/>
              <w:jc w:val="center"/>
              <w:rPr>
                <w:rFonts w:asciiTheme="minorHAnsi" w:hAnsiTheme="minorHAnsi" w:cstheme="minorHAnsi"/>
                <w:sz w:val="20"/>
                <w:szCs w:val="20"/>
              </w:rPr>
            </w:pPr>
            <m:oMathPara>
              <m:oMathParaPr>
                <m:jc m:val="center"/>
              </m:oMathParaPr>
              <m:oMath>
                <m:r>
                  <m:rPr>
                    <m:nor/>
                  </m:rPr>
                  <w:rPr>
                    <w:rFonts w:asciiTheme="minorHAnsi" w:hAnsiTheme="minorHAnsi" w:cstheme="minorHAnsi"/>
                    <w:sz w:val="20"/>
                    <w:szCs w:val="20"/>
                  </w:rPr>
                  <m:t>&lt;.001</m:t>
                </m:r>
              </m:oMath>
            </m:oMathPara>
          </w:p>
        </w:tc>
      </w:tr>
    </w:tbl>
    <w:p w14:paraId="02629479" w14:textId="77777777" w:rsidR="00B56DE5" w:rsidRDefault="00B56DE5" w:rsidP="00B56DE5">
      <w:pPr>
        <w:pStyle w:val="Heading1"/>
      </w:pPr>
    </w:p>
    <w:p w14:paraId="3D72C747" w14:textId="5C4DD8CF" w:rsidR="00B56DE5" w:rsidRDefault="00B56DE5" w:rsidP="0045680A">
      <w:r>
        <w:br w:type="page"/>
      </w:r>
    </w:p>
    <w:p w14:paraId="739025DF" w14:textId="1B6E0D70" w:rsidR="00EB61FF" w:rsidRDefault="0045680A" w:rsidP="0045680A">
      <w:pPr>
        <w:pStyle w:val="Heading1"/>
      </w:pPr>
      <w:r>
        <w:lastRenderedPageBreak/>
        <w:t xml:space="preserve">Supplemental </w:t>
      </w:r>
      <w:r w:rsidR="00EB61FF">
        <w:t>Figure Legends</w:t>
      </w:r>
    </w:p>
    <w:p w14:paraId="7C09E2F4" w14:textId="77777777" w:rsidR="00EB61FF" w:rsidRDefault="00EB61FF" w:rsidP="00EB61FF">
      <w:pPr>
        <w:pStyle w:val="Bibliography"/>
      </w:pPr>
    </w:p>
    <w:p w14:paraId="2254B017" w14:textId="77777777" w:rsidR="00EB61FF" w:rsidRDefault="00EB61FF" w:rsidP="00EB61FF">
      <w:pPr>
        <w:pStyle w:val="Caption"/>
      </w:pPr>
      <w:proofErr w:type="spellStart"/>
      <w:r w:rsidRPr="009A7C1A">
        <w:rPr>
          <w:b/>
          <w:bCs/>
        </w:rPr>
        <w:t>sFigure</w:t>
      </w:r>
      <w:proofErr w:type="spellEnd"/>
      <w:r w:rsidRPr="009A7C1A">
        <w:rPr>
          <w:b/>
          <w:bCs/>
        </w:rPr>
        <w:t xml:space="preserve"> 1</w:t>
      </w:r>
      <w:r>
        <w:rPr>
          <w:b/>
          <w:bCs/>
        </w:rPr>
        <w:t>.</w:t>
      </w:r>
      <w:r>
        <w:t xml:space="preserve"> Distributions of changes in cigarettes per day (CPD) as a percentage of baseline smoking rates (Total N = 1783). A value of 0 represent no change in smoking rate from baseline.</w:t>
      </w:r>
    </w:p>
    <w:p w14:paraId="25F4292A" w14:textId="77777777" w:rsidR="00EB61FF" w:rsidRDefault="00EB61FF" w:rsidP="00EB61FF">
      <w:pPr>
        <w:keepNext/>
      </w:pPr>
    </w:p>
    <w:p w14:paraId="69E4B84B" w14:textId="4712F474" w:rsidR="008049F9" w:rsidRDefault="00EB61FF" w:rsidP="00204BC4">
      <w:pPr>
        <w:pStyle w:val="Caption"/>
      </w:pPr>
      <w:proofErr w:type="spellStart"/>
      <w:r w:rsidRPr="009A7C1A">
        <w:rPr>
          <w:b/>
          <w:bCs/>
        </w:rPr>
        <w:t>sFigure</w:t>
      </w:r>
      <w:proofErr w:type="spellEnd"/>
      <w:r w:rsidRPr="009A7C1A">
        <w:rPr>
          <w:b/>
          <w:bCs/>
        </w:rPr>
        <w:t xml:space="preserve"> 2</w:t>
      </w:r>
      <w:r>
        <w:t>. Latent class mixture model BIC curve (n = 1783).</w:t>
      </w:r>
    </w:p>
    <w:p w14:paraId="486BA393" w14:textId="77777777" w:rsidR="00204BC4" w:rsidRDefault="00204BC4" w:rsidP="00204BC4"/>
    <w:p w14:paraId="5FA902AC" w14:textId="590093CE" w:rsidR="00204BC4" w:rsidRDefault="00204BC4" w:rsidP="00204BC4">
      <w:pPr>
        <w:pStyle w:val="Caption"/>
      </w:pPr>
      <w:proofErr w:type="spellStart"/>
      <w:r>
        <w:rPr>
          <w:b/>
          <w:bCs/>
        </w:rPr>
        <w:t>sFigure</w:t>
      </w:r>
      <w:proofErr w:type="spellEnd"/>
      <w:r w:rsidRPr="00CE5266">
        <w:rPr>
          <w:b/>
          <w:bCs/>
        </w:rPr>
        <w:t xml:space="preserve"> </w:t>
      </w:r>
      <w:r w:rsidRPr="00CE5266">
        <w:rPr>
          <w:b/>
          <w:bCs/>
        </w:rPr>
        <w:fldChar w:fldCharType="begin"/>
      </w:r>
      <w:r w:rsidRPr="00CE5266">
        <w:rPr>
          <w:b/>
          <w:bCs/>
        </w:rPr>
        <w:instrText xml:space="preserve"> SEQ Figure \* ARABIC </w:instrText>
      </w:r>
      <w:r w:rsidRPr="00CE5266">
        <w:rPr>
          <w:b/>
          <w:bCs/>
        </w:rPr>
        <w:fldChar w:fldCharType="separate"/>
      </w:r>
      <w:r w:rsidRPr="00CE5266">
        <w:rPr>
          <w:b/>
          <w:bCs/>
          <w:noProof/>
        </w:rPr>
        <w:t>3</w:t>
      </w:r>
      <w:r w:rsidRPr="00CE5266">
        <w:rPr>
          <w:b/>
          <w:bCs/>
          <w:noProof/>
        </w:rPr>
        <w:fldChar w:fldCharType="end"/>
      </w:r>
      <w:r>
        <w:rPr>
          <w:b/>
          <w:bCs/>
          <w:noProof/>
        </w:rPr>
        <w:t>.</w:t>
      </w:r>
      <w:r>
        <w:t xml:space="preserve"> Receiver operating characteristic (ROC) curves for regularized binary logistic regression predictive models. </w:t>
      </w:r>
      <w:r>
        <w:rPr>
          <w:b/>
          <w:bCs/>
        </w:rPr>
        <w:t xml:space="preserve">a.) </w:t>
      </w:r>
      <w:r>
        <w:t xml:space="preserve">Prediction of smoking trajectories as a proportion of baseline smoking during the trial. Each curve represents one-versus-all prediction to latent trajectories 1, 2, and, 3 in turn. The model predicting membership to Class 1, the group who reduced the most, performed best (AUC = 0.657 ± 0.027). All three models performed better than classification using a permuted null distribution (p’s &lt;.001). </w:t>
      </w:r>
      <w:r>
        <w:rPr>
          <w:b/>
          <w:bCs/>
        </w:rPr>
        <w:t xml:space="preserve">b.) </w:t>
      </w:r>
      <w:r>
        <w:t xml:space="preserve">Smoking cessation prediction 6 months after the trial using participant baseline characteristics alone (blue) and baseline characteristics plus latent class as a predictor (red). Adding latent class as a predictor improved classification performance by an average of 14.4% (AUC = 0.776 ± 0.010, p = 0.002), suggesting smoking trajectories among people not looking to quit may be meaningful for long-term cessation outcomes. Each model performed better than classification using a permuted null distribution (p’s &lt;.001).  </w:t>
      </w:r>
    </w:p>
    <w:p w14:paraId="18C59441" w14:textId="0BAFDE80" w:rsidR="00204BC4" w:rsidRPr="00204BC4" w:rsidRDefault="0045680A" w:rsidP="00204BC4">
      <w:r>
        <w:br w:type="page"/>
      </w:r>
    </w:p>
    <w:p w14:paraId="79D4DB09" w14:textId="4FD5F565" w:rsidR="009A7C1A" w:rsidRDefault="008049F9" w:rsidP="008049F9">
      <w:pPr>
        <w:pStyle w:val="Heading1"/>
      </w:pPr>
      <w:r>
        <w:lastRenderedPageBreak/>
        <w:t>References</w:t>
      </w:r>
    </w:p>
    <w:p w14:paraId="0ED3B694" w14:textId="77777777" w:rsidR="008049F9" w:rsidRPr="008049F9" w:rsidRDefault="008049F9" w:rsidP="008049F9"/>
    <w:p w14:paraId="60F1F3F1" w14:textId="77777777" w:rsidR="001D50DF" w:rsidRPr="001D50DF" w:rsidRDefault="001D50DF" w:rsidP="001D50DF">
      <w:pPr>
        <w:pStyle w:val="Bibliography"/>
        <w:rPr>
          <w:rFonts w:ascii="Calibri" w:cs="Calibri"/>
        </w:rPr>
      </w:pPr>
      <w:r>
        <w:fldChar w:fldCharType="begin"/>
      </w:r>
      <w:r>
        <w:instrText xml:space="preserve"> ADDIN ZOTERO_BIBL {"uncited":[],"omitted":[],"custom":[]} CSL_BIBLIOGRAPHY </w:instrText>
      </w:r>
      <w:r>
        <w:fldChar w:fldCharType="separate"/>
      </w:r>
      <w:r w:rsidRPr="001D50DF">
        <w:rPr>
          <w:rFonts w:ascii="Calibri" w:cs="Calibri"/>
        </w:rPr>
        <w:t>1.</w:t>
      </w:r>
      <w:r w:rsidRPr="001D50DF">
        <w:rPr>
          <w:rFonts w:ascii="Calibri" w:cs="Calibri"/>
        </w:rPr>
        <w:tab/>
        <w:t xml:space="preserve">Benowitz NL, Bernert JT, Foulds J, Hecht SS, Jacob P, Jarvis MJ, et al. Biochemical Verification of Tobacco Use and Abstinence: 2019 Update. Nicotine Tob Res. 2020 Jun 12;22(7):1086–97. </w:t>
      </w:r>
    </w:p>
    <w:p w14:paraId="3BAB219C" w14:textId="030C2167" w:rsidR="001D50DF" w:rsidRDefault="001D50DF" w:rsidP="009A7C1A">
      <w:r>
        <w:fldChar w:fldCharType="end"/>
      </w:r>
    </w:p>
    <w:sectPr w:rsidR="001D5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1A"/>
    <w:rsid w:val="000A3FF4"/>
    <w:rsid w:val="000D4853"/>
    <w:rsid w:val="00153252"/>
    <w:rsid w:val="001D50DF"/>
    <w:rsid w:val="001E38B7"/>
    <w:rsid w:val="00204BC4"/>
    <w:rsid w:val="00283136"/>
    <w:rsid w:val="002B24E8"/>
    <w:rsid w:val="00406A02"/>
    <w:rsid w:val="0045680A"/>
    <w:rsid w:val="00456E16"/>
    <w:rsid w:val="0057040C"/>
    <w:rsid w:val="00610130"/>
    <w:rsid w:val="00707138"/>
    <w:rsid w:val="007538B7"/>
    <w:rsid w:val="00792215"/>
    <w:rsid w:val="007B3CC0"/>
    <w:rsid w:val="007E10D1"/>
    <w:rsid w:val="007E1ED1"/>
    <w:rsid w:val="008049F9"/>
    <w:rsid w:val="008457BB"/>
    <w:rsid w:val="008F4F0A"/>
    <w:rsid w:val="009A7C1A"/>
    <w:rsid w:val="00AD0ECA"/>
    <w:rsid w:val="00B56DE5"/>
    <w:rsid w:val="00B86043"/>
    <w:rsid w:val="00C33587"/>
    <w:rsid w:val="00CE3CF8"/>
    <w:rsid w:val="00D912F4"/>
    <w:rsid w:val="00E12178"/>
    <w:rsid w:val="00E70088"/>
    <w:rsid w:val="00EA0206"/>
    <w:rsid w:val="00EB61FF"/>
    <w:rsid w:val="00EC1A72"/>
    <w:rsid w:val="00F436B2"/>
    <w:rsid w:val="00F74964"/>
    <w:rsid w:val="00FB753B"/>
    <w:rsid w:val="00FB7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623F40"/>
  <w15:chartTrackingRefBased/>
  <w15:docId w15:val="{6B264870-046D-474F-9764-CD1AB4524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C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0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C1A"/>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9A7C1A"/>
    <w:rPr>
      <w:sz w:val="16"/>
      <w:szCs w:val="16"/>
    </w:rPr>
  </w:style>
  <w:style w:type="paragraph" w:styleId="CommentText">
    <w:name w:val="annotation text"/>
    <w:basedOn w:val="Normal"/>
    <w:link w:val="CommentTextChar"/>
    <w:uiPriority w:val="99"/>
    <w:unhideWhenUsed/>
    <w:rsid w:val="009A7C1A"/>
    <w:rPr>
      <w:sz w:val="20"/>
      <w:szCs w:val="20"/>
    </w:rPr>
  </w:style>
  <w:style w:type="character" w:customStyle="1" w:styleId="CommentTextChar">
    <w:name w:val="Comment Text Char"/>
    <w:basedOn w:val="DefaultParagraphFont"/>
    <w:link w:val="CommentText"/>
    <w:uiPriority w:val="99"/>
    <w:rsid w:val="009A7C1A"/>
    <w:rPr>
      <w:sz w:val="20"/>
      <w:szCs w:val="20"/>
    </w:rPr>
  </w:style>
  <w:style w:type="paragraph" w:styleId="Caption">
    <w:name w:val="caption"/>
    <w:basedOn w:val="Normal"/>
    <w:next w:val="Normal"/>
    <w:uiPriority w:val="35"/>
    <w:unhideWhenUsed/>
    <w:qFormat/>
    <w:rsid w:val="009A7C1A"/>
    <w:pPr>
      <w:spacing w:after="200"/>
    </w:pPr>
    <w:rPr>
      <w:i/>
      <w:iCs/>
      <w:color w:val="44546A" w:themeColor="text2"/>
      <w:sz w:val="18"/>
      <w:szCs w:val="18"/>
    </w:rPr>
  </w:style>
  <w:style w:type="paragraph" w:styleId="Bibliography">
    <w:name w:val="Bibliography"/>
    <w:basedOn w:val="Normal"/>
    <w:next w:val="Normal"/>
    <w:uiPriority w:val="37"/>
    <w:unhideWhenUsed/>
    <w:rsid w:val="001D50DF"/>
    <w:pPr>
      <w:tabs>
        <w:tab w:val="left" w:pos="260"/>
      </w:tabs>
      <w:spacing w:after="240"/>
      <w:ind w:left="264" w:hanging="264"/>
    </w:pPr>
  </w:style>
  <w:style w:type="character" w:customStyle="1" w:styleId="Heading2Char">
    <w:name w:val="Heading 2 Char"/>
    <w:basedOn w:val="DefaultParagraphFont"/>
    <w:link w:val="Heading2"/>
    <w:uiPriority w:val="9"/>
    <w:rsid w:val="00B86043"/>
    <w:rPr>
      <w:rFonts w:asciiTheme="majorHAnsi" w:eastAsiaTheme="majorEastAsia" w:hAnsiTheme="majorHAnsi" w:cstheme="majorBidi"/>
      <w:color w:val="2F5496" w:themeColor="accent1" w:themeShade="BF"/>
      <w:sz w:val="26"/>
      <w:szCs w:val="26"/>
    </w:rPr>
  </w:style>
  <w:style w:type="paragraph" w:customStyle="1" w:styleId="Compact">
    <w:name w:val="Compact"/>
    <w:rsid w:val="007B3CC0"/>
    <w:pPr>
      <w:pBdr>
        <w:top w:val="nil"/>
        <w:left w:val="nil"/>
        <w:bottom w:val="nil"/>
        <w:right w:val="nil"/>
        <w:between w:val="nil"/>
        <w:bar w:val="nil"/>
      </w:pBdr>
      <w:spacing w:before="36" w:after="36"/>
    </w:pPr>
    <w:rPr>
      <w:rFonts w:ascii="Cambria" w:eastAsia="Arial Unicode MS" w:hAnsi="Cambria" w:cs="Arial Unicode MS"/>
      <w:color w:val="000000"/>
      <w:kern w:val="0"/>
      <w:u w:color="000000"/>
      <w:bdr w:val="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618B8-3D2C-C04E-BF0C-C55DD82D2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1101</Words>
  <Characters>6279</Characters>
  <Application>Microsoft Office Word</Application>
  <DocSecurity>0</DocSecurity>
  <Lines>52</Lines>
  <Paragraphs>14</Paragraphs>
  <ScaleCrop>false</ScaleCrop>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Barrows</dc:creator>
  <cp:keywords/>
  <dc:description/>
  <cp:lastModifiedBy>Anthony Barrows</cp:lastModifiedBy>
  <cp:revision>36</cp:revision>
  <dcterms:created xsi:type="dcterms:W3CDTF">2023-05-02T13:42:00Z</dcterms:created>
  <dcterms:modified xsi:type="dcterms:W3CDTF">2023-07-11T16:43:00Z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id="7pr4qx2b"/&gt;&lt;style id="http://www.zotero.org/styles/vancouver" locale="en-US"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