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B2D94" w14:textId="77777777" w:rsidR="005E7F8D" w:rsidRPr="00B46621" w:rsidRDefault="005E7F8D" w:rsidP="005E7F8D">
      <w:pPr>
        <w:spacing w:line="256" w:lineRule="auto"/>
        <w:jc w:val="center"/>
        <w:rPr>
          <w:b/>
        </w:rPr>
      </w:pPr>
      <w:r w:rsidRPr="00B46621">
        <w:rPr>
          <w:b/>
        </w:rPr>
        <w:t xml:space="preserve">A Bayesian age estimate from dispersed plagioclase and zircon dates in the Los </w:t>
      </w:r>
      <w:proofErr w:type="spellStart"/>
      <w:r w:rsidRPr="00B46621">
        <w:rPr>
          <w:b/>
        </w:rPr>
        <w:t>Chocoyos</w:t>
      </w:r>
      <w:proofErr w:type="spellEnd"/>
      <w:r w:rsidRPr="00B46621">
        <w:rPr>
          <w:b/>
        </w:rPr>
        <w:t xml:space="preserve"> ash, Central America</w:t>
      </w:r>
    </w:p>
    <w:p w14:paraId="2000853F" w14:textId="77777777" w:rsidR="005E7F8D" w:rsidRPr="00B46621" w:rsidRDefault="005E7F8D" w:rsidP="005E7F8D">
      <w:pPr>
        <w:spacing w:line="256" w:lineRule="auto"/>
        <w:jc w:val="center"/>
        <w:rPr>
          <w:b/>
        </w:rPr>
      </w:pPr>
    </w:p>
    <w:p w14:paraId="4F048CBD" w14:textId="77777777" w:rsidR="005E7F8D" w:rsidRPr="00B46621" w:rsidRDefault="005E7F8D" w:rsidP="005E7F8D">
      <w:r w:rsidRPr="00B46621">
        <w:t>Alec Baudry</w:t>
      </w:r>
      <w:r w:rsidRPr="00B46621">
        <w:rPr>
          <w:vertAlign w:val="superscript"/>
        </w:rPr>
        <w:t>1</w:t>
      </w:r>
      <w:r w:rsidRPr="00B46621">
        <w:t>, Brad S. Singer</w:t>
      </w:r>
      <w:r w:rsidRPr="00B46621">
        <w:rPr>
          <w:vertAlign w:val="superscript"/>
        </w:rPr>
        <w:t>1*</w:t>
      </w:r>
      <w:r w:rsidRPr="00B46621">
        <w:t>, Brian Jicha</w:t>
      </w:r>
      <w:r w:rsidRPr="00B46621">
        <w:rPr>
          <w:vertAlign w:val="superscript"/>
        </w:rPr>
        <w:t>1</w:t>
      </w:r>
      <w:r w:rsidRPr="00B46621">
        <w:t>, Christine E. Jilly-Rehak</w:t>
      </w:r>
      <w:r w:rsidRPr="00B46621">
        <w:rPr>
          <w:vertAlign w:val="superscript"/>
        </w:rPr>
        <w:t>2</w:t>
      </w:r>
      <w:r w:rsidRPr="00B46621">
        <w:t>, Jorge A. Vazquez</w:t>
      </w:r>
      <w:r w:rsidRPr="00B46621">
        <w:rPr>
          <w:vertAlign w:val="superscript"/>
        </w:rPr>
        <w:t>3</w:t>
      </w:r>
      <w:r w:rsidRPr="00B46621">
        <w:t xml:space="preserve">, C. </w:t>
      </w:r>
      <w:proofErr w:type="spellStart"/>
      <w:r w:rsidRPr="00B46621">
        <w:t>Brenhin</w:t>
      </w:r>
      <w:proofErr w:type="spellEnd"/>
      <w:r w:rsidRPr="00B46621">
        <w:t xml:space="preserve"> Keller</w:t>
      </w:r>
      <w:r w:rsidRPr="00B46621">
        <w:rPr>
          <w:vertAlign w:val="superscript"/>
        </w:rPr>
        <w:t>4</w:t>
      </w:r>
    </w:p>
    <w:p w14:paraId="7C981A1B" w14:textId="77777777" w:rsidR="005E7F8D" w:rsidRPr="00B46621" w:rsidRDefault="005E7F8D" w:rsidP="005E7F8D">
      <w:pPr>
        <w:rPr>
          <w:i/>
          <w:vertAlign w:val="superscript"/>
        </w:rPr>
      </w:pPr>
      <w:r w:rsidRPr="00B46621">
        <w:rPr>
          <w:i/>
          <w:vertAlign w:val="superscript"/>
        </w:rPr>
        <w:t>1</w:t>
      </w:r>
      <w:r w:rsidRPr="00B46621">
        <w:rPr>
          <w:i/>
        </w:rPr>
        <w:t>Dept. of Geoscience, University of Wisconsin-Madison, 1215 West Dayton Street, Madison, WI 53706</w:t>
      </w:r>
    </w:p>
    <w:p w14:paraId="722E69C7" w14:textId="77777777" w:rsidR="005E7F8D" w:rsidRPr="00B46621" w:rsidRDefault="005E7F8D" w:rsidP="005E7F8D">
      <w:pPr>
        <w:rPr>
          <w:i/>
          <w:vertAlign w:val="superscript"/>
        </w:rPr>
      </w:pPr>
      <w:r w:rsidRPr="00B46621">
        <w:rPr>
          <w:i/>
          <w:vertAlign w:val="superscript"/>
        </w:rPr>
        <w:t>2</w:t>
      </w:r>
      <w:r w:rsidRPr="00B46621">
        <w:rPr>
          <w:i/>
        </w:rPr>
        <w:t>Dept. of Earth and Planetary Sciences, Stanford University, 367 Panama Street, Stanford, CA 94305</w:t>
      </w:r>
    </w:p>
    <w:p w14:paraId="799CEDC0" w14:textId="77777777" w:rsidR="005E7F8D" w:rsidRPr="00B46621" w:rsidRDefault="005E7F8D" w:rsidP="005E7F8D">
      <w:pPr>
        <w:rPr>
          <w:i/>
        </w:rPr>
      </w:pPr>
      <w:r w:rsidRPr="00B46621">
        <w:rPr>
          <w:i/>
          <w:vertAlign w:val="superscript"/>
        </w:rPr>
        <w:t>3</w:t>
      </w:r>
      <w:r w:rsidRPr="00B46621">
        <w:rPr>
          <w:i/>
        </w:rPr>
        <w:t>U.S. Geological Survey, 354 Middlefield Road, Mail Stop 910, Menlo Park, CA 94025</w:t>
      </w:r>
    </w:p>
    <w:p w14:paraId="1459E5B3" w14:textId="77777777" w:rsidR="005E7F8D" w:rsidRPr="00B46621" w:rsidRDefault="005E7F8D" w:rsidP="005E7F8D">
      <w:pPr>
        <w:rPr>
          <w:i/>
        </w:rPr>
      </w:pPr>
      <w:r w:rsidRPr="00B46621">
        <w:rPr>
          <w:i/>
          <w:vertAlign w:val="superscript"/>
        </w:rPr>
        <w:t>4</w:t>
      </w:r>
      <w:r w:rsidRPr="00B46621">
        <w:rPr>
          <w:i/>
        </w:rPr>
        <w:t>Dept. of Earth Science, Dartmouth College, HB6105 Fairchild Hall Hanover, NH 03755</w:t>
      </w:r>
    </w:p>
    <w:p w14:paraId="57CDBCBF" w14:textId="77777777" w:rsidR="005E7F8D" w:rsidRPr="00B46621" w:rsidRDefault="005E7F8D" w:rsidP="005E7F8D">
      <w:pPr>
        <w:rPr>
          <w:i/>
        </w:rPr>
      </w:pPr>
      <w:r w:rsidRPr="00B46621">
        <w:rPr>
          <w:i/>
        </w:rPr>
        <w:t>*</w:t>
      </w:r>
      <w:proofErr w:type="gramStart"/>
      <w:r w:rsidRPr="00B46621">
        <w:rPr>
          <w:i/>
        </w:rPr>
        <w:t>corresponding</w:t>
      </w:r>
      <w:proofErr w:type="gramEnd"/>
      <w:r w:rsidRPr="00B46621">
        <w:rPr>
          <w:i/>
        </w:rPr>
        <w:t xml:space="preserve"> author</w:t>
      </w:r>
    </w:p>
    <w:p w14:paraId="0ACED87C" w14:textId="77777777" w:rsidR="005E7F8D" w:rsidRPr="00B46621" w:rsidRDefault="005E7F8D" w:rsidP="005E7F8D">
      <w:pPr>
        <w:spacing w:line="256" w:lineRule="auto"/>
        <w:jc w:val="center"/>
        <w:rPr>
          <w:b/>
        </w:rPr>
      </w:pPr>
    </w:p>
    <w:p w14:paraId="3C53D282" w14:textId="77777777" w:rsidR="005E7F8D" w:rsidRPr="00B46621" w:rsidRDefault="005E7F8D" w:rsidP="005E7F8D">
      <w:pPr>
        <w:spacing w:line="360" w:lineRule="auto"/>
        <w:rPr>
          <w:rFonts w:ascii="Arial" w:hAnsi="Arial" w:cs="Arial"/>
          <w:b/>
          <w:bCs/>
          <w:color w:val="000000" w:themeColor="text1"/>
        </w:rPr>
      </w:pPr>
      <w:r w:rsidRPr="00B46621">
        <w:rPr>
          <w:rFonts w:ascii="Arial" w:hAnsi="Arial" w:cs="Arial"/>
          <w:b/>
          <w:bCs/>
          <w:color w:val="000000" w:themeColor="text1"/>
        </w:rPr>
        <w:t xml:space="preserve">Disclaimer:  </w:t>
      </w:r>
      <w:r w:rsidRPr="00B46621">
        <w:rPr>
          <w:rFonts w:ascii="Arial" w:hAnsi="Arial" w:cs="Arial"/>
          <w:color w:val="000000" w:themeColor="text1"/>
        </w:rPr>
        <w:t>Any use of trade, firm, or product names is for descriptive purposes only and does not imply endorsement by the U.S. Government.</w:t>
      </w:r>
    </w:p>
    <w:p w14:paraId="5087F765" w14:textId="77777777" w:rsidR="001A69B3" w:rsidRDefault="001A69B3" w:rsidP="001A69B3">
      <w:pPr>
        <w:spacing w:line="360" w:lineRule="auto"/>
        <w:jc w:val="center"/>
        <w:rPr>
          <w:rFonts w:ascii="Arial" w:hAnsi="Arial" w:cs="Arial"/>
          <w:b/>
          <w:bCs/>
          <w:color w:val="000000" w:themeColor="text1"/>
        </w:rPr>
      </w:pPr>
    </w:p>
    <w:p w14:paraId="0B2ABECD" w14:textId="77777777" w:rsidR="001A69B3" w:rsidRDefault="001A69B3" w:rsidP="001A69B3">
      <w:pPr>
        <w:spacing w:line="360" w:lineRule="auto"/>
        <w:jc w:val="center"/>
        <w:rPr>
          <w:rFonts w:ascii="Arial" w:hAnsi="Arial" w:cs="Arial"/>
          <w:b/>
          <w:bCs/>
          <w:color w:val="000000" w:themeColor="text1"/>
        </w:rPr>
      </w:pPr>
    </w:p>
    <w:p w14:paraId="01E6818A" w14:textId="77777777" w:rsidR="001A69B3" w:rsidRDefault="001A69B3" w:rsidP="001A69B3">
      <w:pPr>
        <w:spacing w:line="360" w:lineRule="auto"/>
        <w:jc w:val="center"/>
        <w:rPr>
          <w:rFonts w:ascii="Arial" w:hAnsi="Arial" w:cs="Arial"/>
          <w:b/>
          <w:bCs/>
          <w:color w:val="000000" w:themeColor="text1"/>
        </w:rPr>
      </w:pPr>
    </w:p>
    <w:p w14:paraId="03042E0E" w14:textId="77777777" w:rsidR="001A69B3" w:rsidRDefault="001A69B3" w:rsidP="001A69B3">
      <w:pPr>
        <w:spacing w:line="360" w:lineRule="auto"/>
        <w:jc w:val="center"/>
        <w:rPr>
          <w:rFonts w:ascii="Arial" w:hAnsi="Arial" w:cs="Arial"/>
          <w:b/>
          <w:bCs/>
          <w:color w:val="000000" w:themeColor="text1"/>
        </w:rPr>
      </w:pPr>
      <w:r>
        <w:rPr>
          <w:rFonts w:ascii="Arial" w:hAnsi="Arial" w:cs="Arial"/>
          <w:b/>
          <w:bCs/>
          <w:color w:val="000000" w:themeColor="text1"/>
        </w:rPr>
        <w:t>Supplemental Materials</w:t>
      </w:r>
    </w:p>
    <w:p w14:paraId="526774ED" w14:textId="77777777" w:rsidR="001A69B3" w:rsidRDefault="001A69B3" w:rsidP="001A69B3">
      <w:pPr>
        <w:spacing w:line="360" w:lineRule="auto"/>
        <w:jc w:val="center"/>
        <w:rPr>
          <w:rFonts w:ascii="Arial" w:hAnsi="Arial" w:cs="Arial"/>
          <w:b/>
          <w:bCs/>
          <w:color w:val="000000" w:themeColor="text1"/>
        </w:rPr>
      </w:pPr>
    </w:p>
    <w:p w14:paraId="65FD8E85" w14:textId="77777777" w:rsidR="001A69B3" w:rsidRDefault="001A69B3" w:rsidP="001A69B3">
      <w:pPr>
        <w:spacing w:line="360" w:lineRule="auto"/>
        <w:jc w:val="center"/>
        <w:rPr>
          <w:rFonts w:ascii="Arial" w:hAnsi="Arial" w:cs="Arial"/>
          <w:b/>
          <w:bCs/>
          <w:color w:val="000000" w:themeColor="text1"/>
        </w:rPr>
      </w:pPr>
    </w:p>
    <w:p w14:paraId="4B516220" w14:textId="77777777" w:rsidR="001A69B3" w:rsidRDefault="001A69B3" w:rsidP="001A69B3">
      <w:pPr>
        <w:spacing w:line="360" w:lineRule="auto"/>
        <w:jc w:val="center"/>
        <w:rPr>
          <w:rFonts w:ascii="Arial" w:hAnsi="Arial" w:cs="Arial"/>
          <w:b/>
          <w:bCs/>
          <w:color w:val="000000" w:themeColor="text1"/>
        </w:rPr>
      </w:pPr>
    </w:p>
    <w:p w14:paraId="0C2E4F5A" w14:textId="77777777" w:rsidR="001A69B3" w:rsidRDefault="001A69B3" w:rsidP="001A69B3">
      <w:pPr>
        <w:spacing w:line="360" w:lineRule="auto"/>
        <w:rPr>
          <w:rFonts w:ascii="Arial" w:hAnsi="Arial" w:cs="Arial"/>
          <w:color w:val="000000" w:themeColor="text1"/>
        </w:rPr>
      </w:pPr>
      <w:r>
        <w:rPr>
          <w:rFonts w:ascii="Arial" w:hAnsi="Arial" w:cs="Arial"/>
          <w:b/>
          <w:bCs/>
          <w:color w:val="000000" w:themeColor="text1"/>
        </w:rPr>
        <w:t xml:space="preserve">Text S1: </w:t>
      </w:r>
      <w:r>
        <w:rPr>
          <w:rFonts w:ascii="Arial" w:hAnsi="Arial" w:cs="Arial"/>
          <w:color w:val="000000" w:themeColor="text1"/>
        </w:rPr>
        <w:t xml:space="preserve">U-Th disequilibrium, </w:t>
      </w:r>
      <w:r>
        <w:rPr>
          <w:rFonts w:ascii="Arial" w:hAnsi="Arial" w:cs="Arial"/>
          <w:color w:val="000000" w:themeColor="text1"/>
          <w:vertAlign w:val="superscript"/>
        </w:rPr>
        <w:t>40</w:t>
      </w:r>
      <w:r>
        <w:rPr>
          <w:rFonts w:ascii="Arial" w:hAnsi="Arial" w:cs="Arial"/>
          <w:color w:val="000000" w:themeColor="text1"/>
        </w:rPr>
        <w:t>Ar/</w:t>
      </w:r>
      <w:r>
        <w:rPr>
          <w:rFonts w:ascii="Arial" w:hAnsi="Arial" w:cs="Arial"/>
          <w:color w:val="000000" w:themeColor="text1"/>
          <w:vertAlign w:val="superscript"/>
        </w:rPr>
        <w:t>39</w:t>
      </w:r>
      <w:r>
        <w:rPr>
          <w:rFonts w:ascii="Arial" w:hAnsi="Arial" w:cs="Arial"/>
          <w:color w:val="000000" w:themeColor="text1"/>
        </w:rPr>
        <w:t>Ar, Weighted Mean Average, and Bayesian modeling analytical methods</w:t>
      </w:r>
    </w:p>
    <w:p w14:paraId="67A6EE7C" w14:textId="77777777" w:rsidR="001A69B3" w:rsidRDefault="001A69B3" w:rsidP="001A69B3">
      <w:pPr>
        <w:spacing w:line="360" w:lineRule="auto"/>
        <w:rPr>
          <w:rFonts w:ascii="Arial" w:hAnsi="Arial" w:cs="Arial"/>
          <w:color w:val="000000" w:themeColor="text1"/>
        </w:rPr>
      </w:pPr>
      <w:r>
        <w:rPr>
          <w:rFonts w:ascii="Arial" w:hAnsi="Arial" w:cs="Arial"/>
          <w:b/>
          <w:bCs/>
          <w:color w:val="000000" w:themeColor="text1"/>
        </w:rPr>
        <w:t>Table S1:</w:t>
      </w:r>
      <w:r>
        <w:rPr>
          <w:rFonts w:ascii="Arial" w:hAnsi="Arial" w:cs="Arial"/>
          <w:color w:val="000000" w:themeColor="text1"/>
        </w:rPr>
        <w:t xml:space="preserve"> Summary of U-Th disequilibrium ages</w:t>
      </w:r>
    </w:p>
    <w:p w14:paraId="0A17ED22" w14:textId="77777777" w:rsidR="001A69B3" w:rsidRDefault="001A69B3" w:rsidP="001A69B3">
      <w:pPr>
        <w:spacing w:line="360" w:lineRule="auto"/>
        <w:rPr>
          <w:rFonts w:ascii="Arial" w:hAnsi="Arial" w:cs="Arial"/>
          <w:color w:val="000000" w:themeColor="text1"/>
        </w:rPr>
      </w:pPr>
      <w:r>
        <w:rPr>
          <w:rFonts w:ascii="Arial" w:hAnsi="Arial" w:cs="Arial"/>
          <w:b/>
          <w:bCs/>
          <w:color w:val="000000" w:themeColor="text1"/>
        </w:rPr>
        <w:t xml:space="preserve">Table S2: </w:t>
      </w:r>
      <w:r>
        <w:rPr>
          <w:rFonts w:ascii="Arial" w:hAnsi="Arial" w:cs="Arial"/>
          <w:color w:val="000000" w:themeColor="text1"/>
        </w:rPr>
        <w:t xml:space="preserve">Summary of </w:t>
      </w:r>
      <w:r>
        <w:rPr>
          <w:rFonts w:ascii="Arial" w:hAnsi="Arial" w:cs="Arial"/>
          <w:color w:val="000000" w:themeColor="text1"/>
          <w:vertAlign w:val="superscript"/>
        </w:rPr>
        <w:t>40</w:t>
      </w:r>
      <w:r>
        <w:rPr>
          <w:rFonts w:ascii="Arial" w:hAnsi="Arial" w:cs="Arial"/>
          <w:color w:val="000000" w:themeColor="text1"/>
        </w:rPr>
        <w:t>Ar/</w:t>
      </w:r>
      <w:r>
        <w:rPr>
          <w:rFonts w:ascii="Arial" w:hAnsi="Arial" w:cs="Arial"/>
          <w:color w:val="000000" w:themeColor="text1"/>
          <w:vertAlign w:val="superscript"/>
        </w:rPr>
        <w:t>39</w:t>
      </w:r>
      <w:r>
        <w:rPr>
          <w:rFonts w:ascii="Arial" w:hAnsi="Arial" w:cs="Arial"/>
          <w:color w:val="000000" w:themeColor="text1"/>
        </w:rPr>
        <w:t>Ar ages</w:t>
      </w:r>
    </w:p>
    <w:p w14:paraId="4B917FCF" w14:textId="7F99465D" w:rsidR="00D47296" w:rsidRDefault="00D47296" w:rsidP="001A69B3">
      <w:pPr>
        <w:spacing w:line="360" w:lineRule="auto"/>
        <w:rPr>
          <w:rFonts w:ascii="Arial" w:hAnsi="Arial" w:cs="Arial"/>
          <w:color w:val="000000" w:themeColor="text1"/>
        </w:rPr>
      </w:pPr>
      <w:r w:rsidRPr="00D47296">
        <w:rPr>
          <w:rFonts w:ascii="Arial" w:hAnsi="Arial" w:cs="Arial"/>
          <w:b/>
          <w:bCs/>
          <w:color w:val="000000" w:themeColor="text1"/>
        </w:rPr>
        <w:t>Code S1:</w:t>
      </w:r>
      <w:r>
        <w:rPr>
          <w:rFonts w:ascii="Arial" w:hAnsi="Arial" w:cs="Arial"/>
          <w:color w:val="000000" w:themeColor="text1"/>
        </w:rPr>
        <w:t xml:space="preserve"> </w:t>
      </w:r>
      <w:proofErr w:type="spellStart"/>
      <w:r>
        <w:rPr>
          <w:rFonts w:ascii="Arial" w:hAnsi="Arial" w:cs="Arial"/>
          <w:color w:val="000000" w:themeColor="text1"/>
        </w:rPr>
        <w:t>Ar</w:t>
      </w:r>
      <w:proofErr w:type="spellEnd"/>
      <w:r>
        <w:rPr>
          <w:rFonts w:ascii="Arial" w:hAnsi="Arial" w:cs="Arial"/>
          <w:color w:val="000000" w:themeColor="text1"/>
        </w:rPr>
        <w:t xml:space="preserve"> Closure Distribution Bootstrapping, Los </w:t>
      </w:r>
      <w:proofErr w:type="spellStart"/>
      <w:r>
        <w:rPr>
          <w:rFonts w:ascii="Arial" w:hAnsi="Arial" w:cs="Arial"/>
          <w:color w:val="000000" w:themeColor="text1"/>
        </w:rPr>
        <w:t>Chocoyos</w:t>
      </w:r>
      <w:proofErr w:type="spellEnd"/>
      <w:r>
        <w:rPr>
          <w:rFonts w:ascii="Arial" w:hAnsi="Arial" w:cs="Arial"/>
          <w:color w:val="000000" w:themeColor="text1"/>
        </w:rPr>
        <w:t xml:space="preserve"> Ash Bayesian age, and Youngest Toba Tuff Bayesian and Julia scripts and data</w:t>
      </w:r>
    </w:p>
    <w:p w14:paraId="52F0DBE9" w14:textId="77777777" w:rsidR="001A69B3" w:rsidRDefault="001A69B3" w:rsidP="001A69B3">
      <w:pPr>
        <w:spacing w:line="360" w:lineRule="auto"/>
        <w:rPr>
          <w:rFonts w:ascii="Arial" w:hAnsi="Arial" w:cs="Arial"/>
          <w:color w:val="000000" w:themeColor="text1"/>
        </w:rPr>
      </w:pPr>
    </w:p>
    <w:p w14:paraId="7D315A13" w14:textId="77777777" w:rsidR="001A69B3" w:rsidRDefault="001A69B3" w:rsidP="001A69B3">
      <w:pPr>
        <w:spacing w:line="360" w:lineRule="auto"/>
        <w:rPr>
          <w:rFonts w:ascii="Arial" w:hAnsi="Arial" w:cs="Arial"/>
          <w:color w:val="000000" w:themeColor="text1"/>
        </w:rPr>
      </w:pPr>
    </w:p>
    <w:p w14:paraId="69598256" w14:textId="77777777" w:rsidR="001A69B3" w:rsidRDefault="001A69B3" w:rsidP="001A69B3">
      <w:pPr>
        <w:spacing w:line="360" w:lineRule="auto"/>
        <w:rPr>
          <w:rFonts w:ascii="Arial" w:hAnsi="Arial" w:cs="Arial"/>
          <w:color w:val="000000" w:themeColor="text1"/>
        </w:rPr>
      </w:pPr>
    </w:p>
    <w:p w14:paraId="7D46EA4C" w14:textId="77777777" w:rsidR="001A69B3" w:rsidRDefault="001A69B3" w:rsidP="001A69B3">
      <w:pPr>
        <w:spacing w:line="360" w:lineRule="auto"/>
        <w:rPr>
          <w:rFonts w:ascii="Arial" w:hAnsi="Arial" w:cs="Arial"/>
          <w:color w:val="000000" w:themeColor="text1"/>
        </w:rPr>
      </w:pPr>
    </w:p>
    <w:p w14:paraId="2CB6E9D8" w14:textId="77777777" w:rsidR="005E7F8D" w:rsidRDefault="005E7F8D" w:rsidP="001A69B3">
      <w:pPr>
        <w:spacing w:line="360" w:lineRule="auto"/>
        <w:rPr>
          <w:rFonts w:ascii="Arial" w:hAnsi="Arial" w:cs="Arial"/>
          <w:color w:val="000000" w:themeColor="text1"/>
        </w:rPr>
      </w:pPr>
    </w:p>
    <w:p w14:paraId="249769DC" w14:textId="77777777" w:rsidR="001A69B3" w:rsidRDefault="001A69B3" w:rsidP="001A69B3">
      <w:pPr>
        <w:spacing w:line="360" w:lineRule="auto"/>
        <w:rPr>
          <w:rFonts w:ascii="Arial" w:hAnsi="Arial" w:cs="Arial"/>
          <w:color w:val="000000" w:themeColor="text1"/>
        </w:rPr>
      </w:pPr>
    </w:p>
    <w:p w14:paraId="5FC4E753" w14:textId="77777777" w:rsidR="001A69B3" w:rsidRDefault="001A69B3" w:rsidP="001A69B3">
      <w:pPr>
        <w:spacing w:line="360" w:lineRule="auto"/>
        <w:rPr>
          <w:rFonts w:ascii="Arial" w:hAnsi="Arial" w:cs="Arial"/>
          <w:color w:val="000000" w:themeColor="text1"/>
        </w:rPr>
      </w:pPr>
    </w:p>
    <w:p w14:paraId="1FEB4328" w14:textId="77777777" w:rsidR="001A69B3" w:rsidRDefault="001A69B3" w:rsidP="001A69B3">
      <w:pPr>
        <w:spacing w:line="360" w:lineRule="auto"/>
        <w:rPr>
          <w:rFonts w:ascii="Arial" w:hAnsi="Arial" w:cs="Arial"/>
          <w:b/>
          <w:bCs/>
          <w:color w:val="000000" w:themeColor="text1"/>
        </w:rPr>
      </w:pPr>
      <w:r>
        <w:rPr>
          <w:rFonts w:ascii="Arial" w:hAnsi="Arial" w:cs="Arial"/>
          <w:b/>
          <w:bCs/>
          <w:color w:val="000000" w:themeColor="text1"/>
        </w:rPr>
        <w:lastRenderedPageBreak/>
        <w:t>SUPPLEMENTAL MATERIALS</w:t>
      </w:r>
    </w:p>
    <w:p w14:paraId="060B0618" w14:textId="77777777" w:rsidR="005E7F8D" w:rsidRDefault="005E7F8D" w:rsidP="001A69B3">
      <w:pPr>
        <w:spacing w:line="360" w:lineRule="auto"/>
        <w:rPr>
          <w:rFonts w:ascii="Arial" w:hAnsi="Arial" w:cs="Arial"/>
          <w:b/>
          <w:bCs/>
          <w:color w:val="000000" w:themeColor="text1"/>
        </w:rPr>
      </w:pPr>
    </w:p>
    <w:p w14:paraId="1F7C0D81" w14:textId="77777777" w:rsidR="001A69B3" w:rsidRDefault="001A69B3" w:rsidP="001A69B3">
      <w:pPr>
        <w:spacing w:line="360" w:lineRule="auto"/>
        <w:rPr>
          <w:rFonts w:ascii="Arial" w:hAnsi="Arial" w:cs="Arial"/>
          <w:b/>
          <w:bCs/>
          <w:color w:val="000000" w:themeColor="text1"/>
        </w:rPr>
      </w:pPr>
      <w:r>
        <w:rPr>
          <w:rFonts w:ascii="Arial" w:hAnsi="Arial" w:cs="Arial"/>
          <w:b/>
          <w:bCs/>
          <w:color w:val="000000" w:themeColor="text1"/>
        </w:rPr>
        <w:t>METHODS</w:t>
      </w:r>
    </w:p>
    <w:p w14:paraId="50CC38FD" w14:textId="77777777" w:rsidR="005E7F8D" w:rsidRDefault="005E7F8D" w:rsidP="001A69B3">
      <w:pPr>
        <w:spacing w:line="360" w:lineRule="auto"/>
        <w:rPr>
          <w:rFonts w:ascii="Arial" w:hAnsi="Arial" w:cs="Arial"/>
          <w:b/>
          <w:bCs/>
          <w:color w:val="000000" w:themeColor="text1"/>
        </w:rPr>
      </w:pPr>
    </w:p>
    <w:p w14:paraId="751EDBA3" w14:textId="77777777" w:rsidR="001A69B3" w:rsidRDefault="001A69B3" w:rsidP="001A69B3">
      <w:pPr>
        <w:spacing w:line="360" w:lineRule="auto"/>
        <w:rPr>
          <w:rFonts w:ascii="Arial" w:hAnsi="Arial" w:cs="Arial"/>
          <w:b/>
          <w:bCs/>
          <w:color w:val="000000" w:themeColor="text1"/>
        </w:rPr>
      </w:pPr>
      <w:r>
        <w:rPr>
          <w:rFonts w:ascii="Arial" w:hAnsi="Arial" w:cs="Arial"/>
          <w:b/>
          <w:bCs/>
          <w:color w:val="000000" w:themeColor="text1"/>
          <w:vertAlign w:val="superscript"/>
        </w:rPr>
        <w:t>40</w:t>
      </w:r>
      <w:r>
        <w:rPr>
          <w:rFonts w:ascii="Arial" w:hAnsi="Arial" w:cs="Arial"/>
          <w:b/>
          <w:bCs/>
          <w:color w:val="000000" w:themeColor="text1"/>
        </w:rPr>
        <w:t>Ar/</w:t>
      </w:r>
      <w:r>
        <w:rPr>
          <w:rFonts w:ascii="Arial" w:hAnsi="Arial" w:cs="Arial"/>
          <w:b/>
          <w:bCs/>
          <w:color w:val="000000" w:themeColor="text1"/>
          <w:vertAlign w:val="superscript"/>
        </w:rPr>
        <w:t>39</w:t>
      </w:r>
      <w:r>
        <w:rPr>
          <w:rFonts w:ascii="Arial" w:hAnsi="Arial" w:cs="Arial"/>
          <w:b/>
          <w:bCs/>
          <w:color w:val="000000" w:themeColor="text1"/>
        </w:rPr>
        <w:t>Ar ANALYTICAL METHODS</w:t>
      </w:r>
    </w:p>
    <w:p w14:paraId="3BDCEAE2" w14:textId="77777777" w:rsidR="001A69B3" w:rsidRDefault="001A69B3" w:rsidP="001A69B3">
      <w:pPr>
        <w:spacing w:line="360" w:lineRule="auto"/>
        <w:ind w:firstLine="720"/>
        <w:rPr>
          <w:rFonts w:ascii="Arial" w:hAnsi="Arial" w:cs="Arial"/>
        </w:rPr>
      </w:pPr>
      <w:r>
        <w:rPr>
          <w:rFonts w:ascii="Arial" w:hAnsi="Arial" w:cs="Arial"/>
        </w:rPr>
        <w:t xml:space="preserve">Plagioclase crystals were extracted from rhyolitic pumice using a series of physical and chemical processes, including crushing, sieving, and magnetic sorting. The resulting samples were subjected to ultrasonic leaching using a 10-25% hydrochloric acid solution followed by ultrasonic leaching with 1.5M hydrofluoric acid for several minutes. The plagioclase crystals with the highest potassium content were identified using a variable pressure scanning electron microscope. The plagioclase separates were wrapped in aluminum foil and placed in a 4mm diameter well in a 2.5cm aluminum disk. The samples were then irradiated for two hours in the cadmium-lined in-core tube at the Oregon State University reactor, using the 1.1864 million-year-old Alder Creek sanidine as a neutron fluence monitor. Sixty-eight single crystal fusion experiments were conducted using a 55 W CO2 laser in the WiscAr laboratory at the University of Wisconsin-Madison. The resulting data were analyzed using a Noblesse multi-collector mass spectrometer, following the analytical and data correction procedures outlined in Jicha et al. (2016). An additional 49 single crystal fusions were analyzed using the NGX-600 mass spectrometer (Mixon et al. 2022). All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Ar dates were calculated using the decay constants of Min et al. (2000), and the atmospheric argon composition used was that of Lee et al. (2006).</w:t>
      </w:r>
    </w:p>
    <w:p w14:paraId="2DB72E87" w14:textId="77777777" w:rsidR="005E7F8D" w:rsidRDefault="005E7F8D" w:rsidP="001A69B3">
      <w:pPr>
        <w:spacing w:line="360" w:lineRule="auto"/>
        <w:ind w:firstLine="720"/>
        <w:rPr>
          <w:rFonts w:ascii="Arial" w:hAnsi="Arial" w:cs="Arial"/>
        </w:rPr>
      </w:pPr>
    </w:p>
    <w:p w14:paraId="252BC4E2" w14:textId="77777777" w:rsidR="001A69B3" w:rsidRDefault="001A69B3" w:rsidP="001A69B3">
      <w:pPr>
        <w:spacing w:line="360" w:lineRule="auto"/>
        <w:rPr>
          <w:rFonts w:ascii="Arial" w:hAnsi="Arial" w:cs="Arial"/>
          <w:b/>
          <w:bCs/>
        </w:rPr>
      </w:pPr>
      <w:r>
        <w:rPr>
          <w:rFonts w:ascii="Arial" w:hAnsi="Arial" w:cs="Arial"/>
          <w:b/>
          <w:bCs/>
        </w:rPr>
        <w:t>U-Th ANALYTICAL METHODS</w:t>
      </w:r>
    </w:p>
    <w:p w14:paraId="1B2CD158" w14:textId="2FCCD76E" w:rsidR="001A69B3" w:rsidRDefault="001A69B3" w:rsidP="001A69B3">
      <w:pPr>
        <w:spacing w:line="360" w:lineRule="auto"/>
        <w:rPr>
          <w:rFonts w:ascii="Arial" w:hAnsi="Arial" w:cs="Arial"/>
        </w:rPr>
      </w:pPr>
      <w:r>
        <w:rPr>
          <w:rFonts w:ascii="Arial" w:hAnsi="Arial" w:cs="Arial"/>
        </w:rPr>
        <w:tab/>
        <w:t xml:space="preserve">Zircon crystals were isolated utilizing an array of physical and chemical processes, which included crushing, sieving, magnetic sorting, and density separation employing methylene iodide. To eliminate adhering volcanic glass, all examined crystals underwent ultrasonic leaching utilizing a hydrochloric acid solution of 10-25% concentration. Individual zircon crystals were manually chosen, and 66 zircon crystals were placed oriented on a glass slide and pressed into deformable indium metal. Euhedral zircons from the “early” Bishop Tuff (767.1 ± 0.9 ka, Crowley et al., 2007) were </w:t>
      </w:r>
      <w:r>
        <w:rPr>
          <w:rFonts w:ascii="Arial" w:hAnsi="Arial" w:cs="Arial"/>
        </w:rPr>
        <w:lastRenderedPageBreak/>
        <w:t xml:space="preserve">co-mounted and employed as standards for measuring </w:t>
      </w:r>
      <w:r w:rsidRPr="000140A2">
        <w:rPr>
          <w:rFonts w:ascii="Arial" w:hAnsi="Arial" w:cs="Arial"/>
          <w:vertAlign w:val="superscript"/>
        </w:rPr>
        <w:t>238</w:t>
      </w:r>
      <w:r w:rsidRPr="000140A2">
        <w:rPr>
          <w:rFonts w:ascii="Arial" w:hAnsi="Arial" w:cs="Arial"/>
        </w:rPr>
        <w:t>U</w:t>
      </w:r>
      <w:r>
        <w:rPr>
          <w:rFonts w:ascii="Arial" w:hAnsi="Arial" w:cs="Arial"/>
        </w:rPr>
        <w:t>-</w:t>
      </w:r>
      <w:r w:rsidRPr="000140A2">
        <w:rPr>
          <w:rFonts w:ascii="Arial" w:hAnsi="Arial" w:cs="Arial"/>
          <w:vertAlign w:val="superscript"/>
        </w:rPr>
        <w:t>230</w:t>
      </w:r>
      <w:r w:rsidRPr="000140A2">
        <w:rPr>
          <w:rFonts w:ascii="Arial" w:hAnsi="Arial" w:cs="Arial"/>
        </w:rPr>
        <w:t>Th</w:t>
      </w:r>
      <w:r>
        <w:rPr>
          <w:rFonts w:ascii="Arial" w:hAnsi="Arial" w:cs="Arial"/>
        </w:rPr>
        <w:t xml:space="preserve"> secular equilibrium. The mounting procedure resulted in primarily flat, non-polished crystal surfaces exposed parallel to the mount surface. Prior to analysis, all grains were visualized with reflected light on a petrographic microscope to detect physical defects such as fractured or malformed crystal faces. Before introducing the indium-mounted zircons into the SHRIMP-RG instrument, they were immersed in soapy water, followed by a 10% ethylenediaminetetraacetic acid (EDTA) wash for approximately 2 minutes each, thoroughly washed in distilled water, and then dried at 50°C in a vacuum oven. Prior to SHRIMP-RG analyses, the sample surface was coated with about 50 nm of gold for surface conductivity.</w:t>
      </w:r>
    </w:p>
    <w:p w14:paraId="2167DC23" w14:textId="77777777" w:rsidR="001A69B3" w:rsidRDefault="001A69B3" w:rsidP="001A69B3">
      <w:pPr>
        <w:spacing w:line="360" w:lineRule="auto"/>
        <w:ind w:firstLine="720"/>
        <w:rPr>
          <w:rFonts w:ascii="Arial" w:hAnsi="Arial" w:cs="Arial"/>
        </w:rPr>
      </w:pPr>
      <w:r>
        <w:rPr>
          <w:rFonts w:ascii="Arial" w:hAnsi="Arial" w:cs="Arial"/>
        </w:rPr>
        <w:t>The zircon U-Th disequilibrium analyses were conducted by secondary ion mass spectrometry (SIMS) using the SHRIMP-RG ion microprobe employing an O</w:t>
      </w:r>
      <w:r>
        <w:rPr>
          <w:rFonts w:ascii="Arial" w:hAnsi="Arial" w:cs="Arial"/>
          <w:vertAlign w:val="subscript"/>
        </w:rPr>
        <w:t>2</w:t>
      </w:r>
      <w:r>
        <w:rPr>
          <w:rFonts w:ascii="Arial" w:hAnsi="Arial" w:cs="Arial"/>
        </w:rPr>
        <w:t xml:space="preserve">− primary ion beam with an intensity of 19 </w:t>
      </w:r>
      <w:proofErr w:type="spellStart"/>
      <w:r>
        <w:rPr>
          <w:rFonts w:ascii="Arial" w:hAnsi="Arial" w:cs="Arial"/>
        </w:rPr>
        <w:t>nA</w:t>
      </w:r>
      <w:proofErr w:type="spellEnd"/>
      <w:r>
        <w:rPr>
          <w:rFonts w:ascii="Arial" w:hAnsi="Arial" w:cs="Arial"/>
        </w:rPr>
        <w:t xml:space="preserve">, resulting in an analysis pit of around 40 </w:t>
      </w:r>
      <w:proofErr w:type="spellStart"/>
      <w:r>
        <w:rPr>
          <w:rFonts w:ascii="Arial" w:hAnsi="Arial" w:cs="Arial"/>
        </w:rPr>
        <w:t>μm</w:t>
      </w:r>
      <w:proofErr w:type="spellEnd"/>
      <w:r>
        <w:rPr>
          <w:rFonts w:ascii="Arial" w:hAnsi="Arial" w:cs="Arial"/>
        </w:rPr>
        <w:t xml:space="preserve"> diameter and approximately 4 </w:t>
      </w:r>
      <w:proofErr w:type="spellStart"/>
      <w:r>
        <w:rPr>
          <w:rFonts w:ascii="Arial" w:hAnsi="Arial" w:cs="Arial"/>
        </w:rPr>
        <w:t>μm</w:t>
      </w:r>
      <w:proofErr w:type="spellEnd"/>
      <w:r>
        <w:rPr>
          <w:rFonts w:ascii="Arial" w:hAnsi="Arial" w:cs="Arial"/>
        </w:rPr>
        <w:t xml:space="preserve"> depth. Each analysis lasted approximately 35 minutes, including a pre-analysis raster of the sample surface by the primary beam for roughly 20 seconds. The acquisition routine comprised analysis of </w:t>
      </w:r>
      <w:r>
        <w:rPr>
          <w:rFonts w:ascii="Arial" w:hAnsi="Arial" w:cs="Arial"/>
          <w:vertAlign w:val="superscript"/>
        </w:rPr>
        <w:t>90</w:t>
      </w:r>
      <w:r>
        <w:rPr>
          <w:rFonts w:ascii="Arial" w:hAnsi="Arial" w:cs="Arial"/>
        </w:rPr>
        <w:t>Zr</w:t>
      </w:r>
      <w:r>
        <w:rPr>
          <w:rFonts w:ascii="Arial" w:hAnsi="Arial" w:cs="Arial"/>
          <w:vertAlign w:val="subscript"/>
        </w:rPr>
        <w:t>2</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w:t>
      </w:r>
      <w:r>
        <w:rPr>
          <w:rFonts w:ascii="Arial" w:hAnsi="Arial" w:cs="Arial"/>
          <w:vertAlign w:val="superscript"/>
        </w:rPr>
        <w:t>238</w:t>
      </w:r>
      <w:r>
        <w:rPr>
          <w:rFonts w:ascii="Arial" w:hAnsi="Arial" w:cs="Arial"/>
        </w:rPr>
        <w:t>U</w:t>
      </w:r>
      <w:r>
        <w:rPr>
          <w:rFonts w:ascii="Arial" w:hAnsi="Arial" w:cs="Arial"/>
          <w:vertAlign w:val="superscript"/>
        </w:rPr>
        <w:t>+</w:t>
      </w:r>
      <w:r>
        <w:rPr>
          <w:rFonts w:ascii="Arial" w:hAnsi="Arial" w:cs="Arial"/>
        </w:rPr>
        <w:t xml:space="preserve">, </w:t>
      </w:r>
      <w:r>
        <w:rPr>
          <w:rFonts w:ascii="Arial" w:hAnsi="Arial" w:cs="Arial"/>
          <w:vertAlign w:val="superscript"/>
        </w:rPr>
        <w:t>232</w:t>
      </w:r>
      <w:r>
        <w:rPr>
          <w:rFonts w:ascii="Arial" w:hAnsi="Arial" w:cs="Arial"/>
        </w:rPr>
        <w:t>Th</w:t>
      </w:r>
      <w:r>
        <w:rPr>
          <w:rFonts w:ascii="Arial" w:hAnsi="Arial" w:cs="Arial"/>
          <w:vertAlign w:val="superscript"/>
        </w:rPr>
        <w:t>12</w:t>
      </w:r>
      <w:r>
        <w:rPr>
          <w:rFonts w:ascii="Arial" w:hAnsi="Arial" w:cs="Arial"/>
        </w:rPr>
        <w:t>C</w:t>
      </w:r>
      <w:r>
        <w:rPr>
          <w:rFonts w:ascii="Arial" w:hAnsi="Arial" w:cs="Arial"/>
          <w:vertAlign w:val="superscript"/>
        </w:rPr>
        <w:t>+</w:t>
      </w:r>
      <w:r>
        <w:rPr>
          <w:rFonts w:ascii="Arial" w:hAnsi="Arial" w:cs="Arial"/>
        </w:rPr>
        <w:t xml:space="preserve">, </w:t>
      </w:r>
      <w:r>
        <w:rPr>
          <w:rFonts w:ascii="Arial" w:hAnsi="Arial" w:cs="Arial"/>
          <w:vertAlign w:val="superscript"/>
        </w:rPr>
        <w:t>230</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background measured 0.050 amu above the </w:t>
      </w:r>
      <w:r>
        <w:rPr>
          <w:rFonts w:ascii="Arial" w:hAnsi="Arial" w:cs="Arial"/>
          <w:vertAlign w:val="superscript"/>
        </w:rPr>
        <w:t>230</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peak, </w:t>
      </w:r>
      <w:r>
        <w:rPr>
          <w:rFonts w:ascii="Arial" w:hAnsi="Arial" w:cs="Arial"/>
          <w:vertAlign w:val="superscript"/>
        </w:rPr>
        <w:t>232</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and </w:t>
      </w:r>
      <w:r>
        <w:rPr>
          <w:rFonts w:ascii="Arial" w:hAnsi="Arial" w:cs="Arial"/>
          <w:vertAlign w:val="superscript"/>
        </w:rPr>
        <w:t>238</w:t>
      </w:r>
      <w:r>
        <w:rPr>
          <w:rFonts w:ascii="Arial" w:hAnsi="Arial" w:cs="Arial"/>
        </w:rPr>
        <w:t>U</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Monitoring </w:t>
      </w:r>
      <w:r>
        <w:rPr>
          <w:rFonts w:ascii="Arial" w:hAnsi="Arial" w:cs="Arial"/>
          <w:vertAlign w:val="superscript"/>
        </w:rPr>
        <w:t>232</w:t>
      </w:r>
      <w:r>
        <w:rPr>
          <w:rFonts w:ascii="Arial" w:hAnsi="Arial" w:cs="Arial"/>
        </w:rPr>
        <w:t>Th</w:t>
      </w:r>
      <w:r>
        <w:rPr>
          <w:rFonts w:ascii="Arial" w:hAnsi="Arial" w:cs="Arial"/>
          <w:vertAlign w:val="superscript"/>
        </w:rPr>
        <w:t>12</w:t>
      </w:r>
      <w:r>
        <w:rPr>
          <w:rFonts w:ascii="Arial" w:hAnsi="Arial" w:cs="Arial"/>
        </w:rPr>
        <w:t>C</w:t>
      </w:r>
      <w:r>
        <w:rPr>
          <w:rFonts w:ascii="Arial" w:hAnsi="Arial" w:cs="Arial"/>
          <w:vertAlign w:val="superscript"/>
        </w:rPr>
        <w:t>+</w:t>
      </w:r>
      <w:r>
        <w:rPr>
          <w:rFonts w:ascii="Arial" w:hAnsi="Arial" w:cs="Arial"/>
        </w:rPr>
        <w:t xml:space="preserve"> was conducted to assess carbide interference on </w:t>
      </w:r>
      <w:r>
        <w:rPr>
          <w:rFonts w:ascii="Arial" w:hAnsi="Arial" w:cs="Arial"/>
          <w:vertAlign w:val="superscript"/>
        </w:rPr>
        <w:t>230</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(e.g., Schmitt et al., 2006). No analyses had </w:t>
      </w:r>
      <w:r>
        <w:rPr>
          <w:rFonts w:ascii="Arial" w:hAnsi="Arial" w:cs="Arial"/>
          <w:vertAlign w:val="superscript"/>
        </w:rPr>
        <w:t>232</w:t>
      </w:r>
      <w:r>
        <w:rPr>
          <w:rFonts w:ascii="Arial" w:hAnsi="Arial" w:cs="Arial"/>
        </w:rPr>
        <w:t>Th</w:t>
      </w:r>
      <w:r>
        <w:rPr>
          <w:rFonts w:ascii="Arial" w:hAnsi="Arial" w:cs="Arial"/>
          <w:vertAlign w:val="superscript"/>
        </w:rPr>
        <w:t>12</w:t>
      </w:r>
      <w:r>
        <w:rPr>
          <w:rFonts w:ascii="Arial" w:hAnsi="Arial" w:cs="Arial"/>
        </w:rPr>
        <w:t>C</w:t>
      </w:r>
      <w:r>
        <w:rPr>
          <w:rFonts w:ascii="Arial" w:hAnsi="Arial" w:cs="Arial"/>
          <w:vertAlign w:val="superscript"/>
        </w:rPr>
        <w:t>+</w:t>
      </w:r>
      <w:r>
        <w:rPr>
          <w:rFonts w:ascii="Arial" w:hAnsi="Arial" w:cs="Arial"/>
        </w:rPr>
        <w:t xml:space="preserve"> count rates above the 0.5 cps threshold taken to indicate contamination. The SHRIMP-RG was calibrated for a mass resolution of 8000-9000 (10% peak height), and the energy selection window was set to accept high-energy ions into the collector to maximize abundance sensitivity and minimize background at </w:t>
      </w:r>
      <w:r>
        <w:rPr>
          <w:rFonts w:ascii="Arial" w:hAnsi="Arial" w:cs="Arial"/>
          <w:vertAlign w:val="superscript"/>
        </w:rPr>
        <w:t>230</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w:t>
      </w:r>
      <w:r>
        <w:rPr>
          <w:rFonts w:ascii="Arial" w:hAnsi="Arial" w:cs="Arial"/>
        </w:rPr>
        <w:t xml:space="preserve">. Using secular equilibrium “early” Bishop Tuff zircon with high U (~1000–4000 ppm) rim surfaces, the position of the energy window was shifted to a positive eV offset until the signal-to-noise ratio was greater than 200 on </w:t>
      </w:r>
      <w:r>
        <w:rPr>
          <w:rFonts w:ascii="Arial" w:hAnsi="Arial" w:cs="Arial"/>
          <w:vertAlign w:val="superscript"/>
        </w:rPr>
        <w:t>230</w:t>
      </w:r>
      <w:r>
        <w:rPr>
          <w:rFonts w:ascii="Arial" w:hAnsi="Arial" w:cs="Arial"/>
        </w:rPr>
        <w:t>Th</w:t>
      </w:r>
      <w:r>
        <w:rPr>
          <w:rFonts w:ascii="Arial" w:hAnsi="Arial" w:cs="Arial"/>
          <w:vertAlign w:val="superscript"/>
        </w:rPr>
        <w:t>16</w:t>
      </w:r>
      <w:r>
        <w:rPr>
          <w:rFonts w:ascii="Arial" w:hAnsi="Arial" w:cs="Arial"/>
        </w:rPr>
        <w:t>O</w:t>
      </w:r>
      <w:r>
        <w:rPr>
          <w:rFonts w:ascii="Arial" w:hAnsi="Arial" w:cs="Arial"/>
          <w:vertAlign w:val="superscript"/>
        </w:rPr>
        <w:t xml:space="preserve">+ </w:t>
      </w:r>
      <w:r>
        <w:rPr>
          <w:rFonts w:ascii="Arial" w:hAnsi="Arial" w:cs="Arial"/>
        </w:rPr>
        <w:t xml:space="preserve">(e.g., Burgess et al., 2021). Measured </w:t>
      </w:r>
      <w:r>
        <w:rPr>
          <w:rFonts w:ascii="Arial" w:hAnsi="Arial" w:cs="Arial"/>
          <w:vertAlign w:val="superscript"/>
        </w:rPr>
        <w:t>238</w:t>
      </w:r>
      <w:r>
        <w:rPr>
          <w:rFonts w:ascii="Arial" w:hAnsi="Arial" w:cs="Arial"/>
        </w:rPr>
        <w:t>U/</w:t>
      </w:r>
      <w:r>
        <w:rPr>
          <w:rFonts w:ascii="Arial" w:hAnsi="Arial" w:cs="Arial"/>
          <w:vertAlign w:val="superscript"/>
        </w:rPr>
        <w:t>232</w:t>
      </w:r>
      <w:r>
        <w:rPr>
          <w:rFonts w:ascii="Arial" w:hAnsi="Arial" w:cs="Arial"/>
        </w:rPr>
        <w:t xml:space="preserve">Th values for the unknowns were adjusted for relative U/Th ionization, which is characteristic of SIMS, using a session-specific relative sensitivity factor derived from interspersed analyses of </w:t>
      </w:r>
      <w:r w:rsidRPr="000140A2">
        <w:rPr>
          <w:rFonts w:ascii="Arial" w:hAnsi="Arial" w:cs="Arial"/>
          <w:vertAlign w:val="superscript"/>
        </w:rPr>
        <w:t>230</w:t>
      </w:r>
      <w:r w:rsidRPr="000140A2">
        <w:rPr>
          <w:rFonts w:ascii="Arial" w:hAnsi="Arial" w:cs="Arial"/>
        </w:rPr>
        <w:t>Th</w:t>
      </w:r>
      <w:r>
        <w:rPr>
          <w:rFonts w:ascii="Arial" w:hAnsi="Arial" w:cs="Arial"/>
        </w:rPr>
        <w:t>/</w:t>
      </w:r>
      <w:r w:rsidRPr="000140A2">
        <w:rPr>
          <w:rFonts w:ascii="Arial" w:hAnsi="Arial" w:cs="Arial"/>
          <w:vertAlign w:val="superscript"/>
        </w:rPr>
        <w:t>238</w:t>
      </w:r>
      <w:r w:rsidRPr="000140A2">
        <w:rPr>
          <w:rFonts w:ascii="Arial" w:hAnsi="Arial" w:cs="Arial"/>
        </w:rPr>
        <w:t>U</w:t>
      </w:r>
      <w:r>
        <w:rPr>
          <w:rFonts w:ascii="Arial" w:hAnsi="Arial" w:cs="Arial"/>
        </w:rPr>
        <w:t xml:space="preserve"> in the co-mounted Bishop Tuff zircons</w:t>
      </w:r>
      <w:r w:rsidDel="00D470D3">
        <w:rPr>
          <w:rFonts w:ascii="Arial" w:hAnsi="Arial" w:cs="Arial"/>
        </w:rPr>
        <w:t xml:space="preserve"> </w:t>
      </w:r>
      <w:r>
        <w:rPr>
          <w:rFonts w:ascii="Arial" w:hAnsi="Arial" w:cs="Arial"/>
        </w:rPr>
        <w:t>(e.g., Anderson et al., 2019). Uranium concentrations are calculated from a session-specific analysis of MAD-559 reference zircon (3940 ppm, Coble et al., 2018).</w:t>
      </w:r>
    </w:p>
    <w:p w14:paraId="3CF0BC1B" w14:textId="77777777" w:rsidR="005E7F8D" w:rsidRDefault="005E7F8D" w:rsidP="001A69B3">
      <w:pPr>
        <w:spacing w:line="360" w:lineRule="auto"/>
        <w:rPr>
          <w:rFonts w:ascii="Arial" w:hAnsi="Arial" w:cs="Arial"/>
          <w:b/>
          <w:bCs/>
        </w:rPr>
      </w:pPr>
    </w:p>
    <w:p w14:paraId="2874E2EA" w14:textId="68CA88D8" w:rsidR="001A69B3" w:rsidRDefault="001A69B3" w:rsidP="001A69B3">
      <w:pPr>
        <w:spacing w:line="360" w:lineRule="auto"/>
        <w:rPr>
          <w:rFonts w:ascii="Arial" w:hAnsi="Arial" w:cs="Arial"/>
          <w:b/>
          <w:bCs/>
        </w:rPr>
      </w:pPr>
      <w:r>
        <w:rPr>
          <w:rFonts w:ascii="Arial" w:hAnsi="Arial" w:cs="Arial"/>
          <w:b/>
          <w:bCs/>
        </w:rPr>
        <w:t>WEIGHTED MEAN AVERAGE</w:t>
      </w:r>
    </w:p>
    <w:p w14:paraId="2731E754" w14:textId="77777777" w:rsidR="001A69B3" w:rsidRPr="008D2E42" w:rsidRDefault="001A69B3" w:rsidP="001A69B3">
      <w:pPr>
        <w:spacing w:line="360" w:lineRule="auto"/>
        <w:rPr>
          <w:rFonts w:ascii="Arial" w:hAnsi="Arial" w:cs="Arial"/>
        </w:rPr>
      </w:pPr>
      <w:r>
        <w:rPr>
          <w:rFonts w:ascii="Arial" w:hAnsi="Arial" w:cs="Arial"/>
        </w:rPr>
        <w:tab/>
        <w:t xml:space="preserve">Weighted mean average ages of the dispersed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 xml:space="preserve">Ar and U-Th disequilibrium age distributions were calculated according to Schaen et al. (2021) low MSWD (method 1). The oldest crystal ages in each dataset is omitted until the MSWD of the weighted mean ages is as close to 1 as possible. Each separate weighted mean </w:t>
      </w:r>
      <w:proofErr w:type="gramStart"/>
      <w:r>
        <w:rPr>
          <w:rFonts w:ascii="Arial" w:hAnsi="Arial" w:cs="Arial"/>
        </w:rPr>
        <w:t>ages</w:t>
      </w:r>
      <w:proofErr w:type="gramEnd"/>
      <w:r>
        <w:rPr>
          <w:rFonts w:ascii="Arial" w:hAnsi="Arial" w:cs="Arial"/>
        </w:rPr>
        <w:t xml:space="preserve"> and combined weighted mean ages reported are calculated individually. </w:t>
      </w:r>
      <w:proofErr w:type="spellStart"/>
      <w:r>
        <w:rPr>
          <w:rFonts w:ascii="Arial" w:hAnsi="Arial" w:cs="Arial"/>
        </w:rPr>
        <w:t>IsoplotR</w:t>
      </w:r>
      <w:proofErr w:type="spellEnd"/>
      <w:r>
        <w:rPr>
          <w:rFonts w:ascii="Arial" w:hAnsi="Arial" w:cs="Arial"/>
        </w:rPr>
        <w:t>: a free and open toolbox for geochronology (</w:t>
      </w:r>
      <w:proofErr w:type="spellStart"/>
      <w:r>
        <w:rPr>
          <w:rFonts w:ascii="Arial" w:hAnsi="Arial" w:cs="Arial"/>
        </w:rPr>
        <w:t>Vermeesh</w:t>
      </w:r>
      <w:proofErr w:type="spellEnd"/>
      <w:r>
        <w:rPr>
          <w:rFonts w:ascii="Arial" w:hAnsi="Arial" w:cs="Arial"/>
        </w:rPr>
        <w:t xml:space="preserve"> P., 2018) was used for all calculations. </w:t>
      </w:r>
    </w:p>
    <w:p w14:paraId="3821190B" w14:textId="77777777" w:rsidR="005E7F8D" w:rsidRDefault="005E7F8D" w:rsidP="001A69B3">
      <w:pPr>
        <w:spacing w:line="360" w:lineRule="auto"/>
        <w:rPr>
          <w:rFonts w:ascii="Arial" w:hAnsi="Arial" w:cs="Arial"/>
          <w:b/>
          <w:bCs/>
        </w:rPr>
      </w:pPr>
    </w:p>
    <w:p w14:paraId="40843D75" w14:textId="6FF57F49" w:rsidR="001A69B3" w:rsidRDefault="001A69B3" w:rsidP="001A69B3">
      <w:pPr>
        <w:spacing w:line="360" w:lineRule="auto"/>
        <w:rPr>
          <w:rFonts w:ascii="Arial" w:hAnsi="Arial" w:cs="Arial"/>
          <w:b/>
          <w:bCs/>
        </w:rPr>
      </w:pPr>
      <w:r>
        <w:rPr>
          <w:rFonts w:ascii="Arial" w:hAnsi="Arial" w:cs="Arial"/>
          <w:b/>
          <w:bCs/>
        </w:rPr>
        <w:t>BAYESIAN MODELING</w:t>
      </w:r>
    </w:p>
    <w:p w14:paraId="7D86974E" w14:textId="362D66AE" w:rsidR="00417738" w:rsidRDefault="001A69B3" w:rsidP="001A69B3">
      <w:pPr>
        <w:spacing w:line="360" w:lineRule="auto"/>
        <w:rPr>
          <w:rFonts w:ascii="Arial" w:hAnsi="Arial" w:cs="Arial"/>
        </w:rPr>
      </w:pPr>
      <w:r>
        <w:rPr>
          <w:rFonts w:ascii="Arial" w:hAnsi="Arial" w:cs="Arial"/>
        </w:rPr>
        <w:tab/>
        <w:t xml:space="preserve">Dispersed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 xml:space="preserve">Ar and U-Th disequilibrium age distributions preclude calculation of a weighted mean age, leading us to adopt a Bayesian approach to eruption age estimation based on the algorithm of Keller et al. (2018) (e.g., van </w:t>
      </w:r>
      <w:proofErr w:type="spellStart"/>
      <w:r>
        <w:rPr>
          <w:rFonts w:ascii="Arial" w:hAnsi="Arial" w:cs="Arial"/>
        </w:rPr>
        <w:t>Zalinge</w:t>
      </w:r>
      <w:proofErr w:type="spellEnd"/>
      <w:r>
        <w:rPr>
          <w:rFonts w:ascii="Arial" w:hAnsi="Arial" w:cs="Arial"/>
        </w:rPr>
        <w:t xml:space="preserve"> et al., 2022). Bayesian eruption age estimation requires a previous estimate of the relative age distribution of crystallization (zircon U-Th: equivalent to that of zircon U-Pb) or apparent closure (feldspar </w:t>
      </w:r>
      <w:proofErr w:type="spellStart"/>
      <w:r>
        <w:rPr>
          <w:rFonts w:ascii="Arial" w:hAnsi="Arial" w:cs="Arial"/>
        </w:rPr>
        <w:t>Ar-Ar</w:t>
      </w:r>
      <w:proofErr w:type="spellEnd"/>
      <w:r>
        <w:rPr>
          <w:rFonts w:ascii="Arial" w:hAnsi="Arial" w:cs="Arial"/>
        </w:rPr>
        <w:t xml:space="preserve">) ages before eruption, which are estimated by bootstrapping (e.g., </w:t>
      </w:r>
      <w:proofErr w:type="spellStart"/>
      <w:r>
        <w:rPr>
          <w:rFonts w:ascii="Arial" w:hAnsi="Arial" w:cs="Arial"/>
        </w:rPr>
        <w:t>Suckale</w:t>
      </w:r>
      <w:proofErr w:type="spellEnd"/>
      <w:r>
        <w:rPr>
          <w:rFonts w:ascii="Arial" w:hAnsi="Arial" w:cs="Arial"/>
        </w:rPr>
        <w:t xml:space="preserve"> et al., 2018; </w:t>
      </w:r>
      <w:r w:rsidRPr="00F64308">
        <w:rPr>
          <w:rFonts w:ascii="Arial" w:hAnsi="Arial" w:cs="Arial"/>
        </w:rPr>
        <w:t xml:space="preserve">closure distributions U-Th </w:t>
      </w:r>
      <w:r>
        <w:rPr>
          <w:rFonts w:ascii="Arial" w:hAnsi="Arial" w:cs="Arial"/>
        </w:rPr>
        <w:t>are</w:t>
      </w:r>
      <w:r w:rsidRPr="00F64308">
        <w:rPr>
          <w:rFonts w:ascii="Arial" w:hAnsi="Arial" w:cs="Arial"/>
        </w:rPr>
        <w:t xml:space="preserve"> equivalent to U-Pb </w:t>
      </w:r>
      <w:r>
        <w:rPr>
          <w:rFonts w:ascii="Arial" w:hAnsi="Arial" w:cs="Arial"/>
        </w:rPr>
        <w:t>due to</w:t>
      </w:r>
      <w:r w:rsidRPr="00F64308">
        <w:rPr>
          <w:rFonts w:ascii="Arial" w:hAnsi="Arial" w:cs="Arial"/>
        </w:rPr>
        <w:t xml:space="preserve"> date zircon crystallization</w:t>
      </w:r>
      <w:r>
        <w:rPr>
          <w:rFonts w:ascii="Arial" w:hAnsi="Arial" w:cs="Arial"/>
        </w:rPr>
        <w:t xml:space="preserve">). Incorporating all then-available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 xml:space="preserve">Ar age distributions that featured well-resolved pre-eruptive heterogeneity, van </w:t>
      </w:r>
      <w:proofErr w:type="spellStart"/>
      <w:r>
        <w:rPr>
          <w:rFonts w:ascii="Arial" w:hAnsi="Arial" w:cs="Arial"/>
        </w:rPr>
        <w:t>Zalinge</w:t>
      </w:r>
      <w:proofErr w:type="spellEnd"/>
      <w:r>
        <w:rPr>
          <w:rFonts w:ascii="Arial" w:hAnsi="Arial" w:cs="Arial"/>
        </w:rPr>
        <w:t xml:space="preserve"> et al. (2022) found that bootstrapping by kernel density estimation revealed a consistent, exponential form of the relative closure age distribution suggestive of an underlying survivorship process (for example, incomplete partial degassing of </w:t>
      </w:r>
      <w:proofErr w:type="spellStart"/>
      <w:r>
        <w:rPr>
          <w:rFonts w:ascii="Arial" w:hAnsi="Arial" w:cs="Arial"/>
        </w:rPr>
        <w:t>antecrysts</w:t>
      </w:r>
      <w:proofErr w:type="spellEnd"/>
      <w:r>
        <w:rPr>
          <w:rFonts w:ascii="Arial" w:hAnsi="Arial" w:cs="Arial"/>
        </w:rPr>
        <w:t xml:space="preserve"> or xenocrysts during eruption or cold storage). For excess </w:t>
      </w:r>
      <w:proofErr w:type="spellStart"/>
      <w:r>
        <w:rPr>
          <w:rFonts w:ascii="Arial" w:hAnsi="Arial" w:cs="Arial"/>
        </w:rPr>
        <w:t>Ar</w:t>
      </w:r>
      <w:proofErr w:type="spellEnd"/>
      <w:r>
        <w:rPr>
          <w:rFonts w:ascii="Arial" w:hAnsi="Arial" w:cs="Arial"/>
        </w:rPr>
        <w:t xml:space="preserve">, the observed continuum of ages would not be expected.  Using this exponential age distribution, we find the resulting eruption age estimates based on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 xml:space="preserve">Ar plagioclase ages are indistinguishable within uncertainty from those based on U-Th disequilibrium zircon crystallization ages. In accordance with the methods used in van </w:t>
      </w:r>
      <w:proofErr w:type="spellStart"/>
      <w:r>
        <w:rPr>
          <w:rFonts w:ascii="Arial" w:hAnsi="Arial" w:cs="Arial"/>
        </w:rPr>
        <w:t>Zalinge</w:t>
      </w:r>
      <w:proofErr w:type="spellEnd"/>
      <w:r>
        <w:rPr>
          <w:rFonts w:ascii="Arial" w:hAnsi="Arial" w:cs="Arial"/>
        </w:rPr>
        <w:t xml:space="preserve"> et al (2022), we applied the Markov chain Monte Carlo eruption age estimation algorithm in the </w:t>
      </w:r>
      <w:proofErr w:type="spellStart"/>
      <w:r>
        <w:rPr>
          <w:rFonts w:ascii="Arial" w:hAnsi="Arial" w:cs="Arial"/>
        </w:rPr>
        <w:t>Chron.jl</w:t>
      </w:r>
      <w:proofErr w:type="spellEnd"/>
      <w:r>
        <w:rPr>
          <w:rFonts w:ascii="Arial" w:hAnsi="Arial" w:cs="Arial"/>
        </w:rPr>
        <w:t xml:space="preserve"> software package (Keller et al., 201</w:t>
      </w:r>
      <w:r w:rsidR="0069443C">
        <w:rPr>
          <w:rFonts w:ascii="Arial" w:hAnsi="Arial" w:cs="Arial"/>
        </w:rPr>
        <w:t>8</w:t>
      </w:r>
      <w:r>
        <w:rPr>
          <w:rFonts w:ascii="Arial" w:hAnsi="Arial" w:cs="Arial"/>
        </w:rPr>
        <w:t xml:space="preserve">) to each ignimbrite, using a half-normal relative crystallization distribution for all zircon ages, and our previously determined exponential relative closure distribution for all sanidine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 xml:space="preserve">Ar ages. Systematic </w:t>
      </w:r>
      <w:r>
        <w:rPr>
          <w:rFonts w:ascii="Arial" w:hAnsi="Arial" w:cs="Arial"/>
        </w:rPr>
        <w:lastRenderedPageBreak/>
        <w:t xml:space="preserve">uncertainties were propagated using the ‘optimization intercalibration’ with the decay constants of Min et al. (2000) for </w:t>
      </w:r>
      <w:r>
        <w:rPr>
          <w:rFonts w:ascii="Arial" w:hAnsi="Arial" w:cs="Arial"/>
          <w:vertAlign w:val="superscript"/>
        </w:rPr>
        <w:t>40</w:t>
      </w:r>
      <w:r>
        <w:rPr>
          <w:rFonts w:ascii="Arial" w:hAnsi="Arial" w:cs="Arial"/>
        </w:rPr>
        <w:t>Ar/</w:t>
      </w:r>
      <w:r>
        <w:rPr>
          <w:rFonts w:ascii="Arial" w:hAnsi="Arial" w:cs="Arial"/>
          <w:vertAlign w:val="superscript"/>
        </w:rPr>
        <w:t>39</w:t>
      </w:r>
      <w:r>
        <w:rPr>
          <w:rFonts w:ascii="Arial" w:hAnsi="Arial" w:cs="Arial"/>
        </w:rPr>
        <w:t>Ar ages, and the decay constants Cheng et al. (2013) for U-Th disequilibrium ages. A comparison between U-Th disequilibrium datasets from Cisneros de Le</w:t>
      </w:r>
      <w:r w:rsidRPr="008B7857">
        <w:rPr>
          <w:rFonts w:ascii="Arial" w:hAnsi="Arial" w:cs="Arial"/>
          <w:color w:val="000000" w:themeColor="text1"/>
        </w:rPr>
        <w:t>ó</w:t>
      </w:r>
      <w:r>
        <w:rPr>
          <w:rFonts w:ascii="Arial" w:hAnsi="Arial" w:cs="Arial"/>
        </w:rPr>
        <w:t>n et al. (2021) and this study show systematic differences in age range. The systematic differences were unable to be pinpointed, however separate Bayesian ages were calculated for each dataset and a weighted mean average was determined from the two Bayesian ages to balance the systematic uncertainties between U-Th datasets.</w:t>
      </w:r>
    </w:p>
    <w:p w14:paraId="45586BF3" w14:textId="77777777" w:rsidR="001A69B3" w:rsidRDefault="001A69B3" w:rsidP="001A69B3">
      <w:pPr>
        <w:spacing w:line="360" w:lineRule="auto"/>
        <w:rPr>
          <w:rFonts w:ascii="Arial" w:hAnsi="Arial" w:cs="Arial"/>
        </w:rPr>
      </w:pPr>
    </w:p>
    <w:p w14:paraId="6C321B79" w14:textId="77777777" w:rsidR="001A69B3" w:rsidRDefault="001A69B3" w:rsidP="001A69B3">
      <w:pPr>
        <w:spacing w:line="360" w:lineRule="auto"/>
        <w:rPr>
          <w:rFonts w:ascii="Arial" w:hAnsi="Arial" w:cs="Arial"/>
          <w:b/>
          <w:bCs/>
        </w:rPr>
      </w:pPr>
      <w:r>
        <w:rPr>
          <w:rFonts w:ascii="Arial" w:hAnsi="Arial" w:cs="Arial"/>
          <w:b/>
          <w:bCs/>
        </w:rPr>
        <w:t>METHODS REFERENCES</w:t>
      </w:r>
    </w:p>
    <w:p w14:paraId="0982D5DE"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Andersen, N.L., Singer, B.S., and Coble, M.A., 2019, Repeated rhyolite eruption from heterogeneous hot zones embedded within a cool, shallow magma reservoir, J. </w:t>
      </w:r>
      <w:proofErr w:type="spellStart"/>
      <w:r w:rsidRPr="006F05F4">
        <w:rPr>
          <w:rFonts w:ascii="Arial" w:hAnsi="Arial" w:cs="Arial"/>
        </w:rPr>
        <w:t>Geophys</w:t>
      </w:r>
      <w:proofErr w:type="spellEnd"/>
      <w:r w:rsidRPr="006F05F4">
        <w:rPr>
          <w:rFonts w:ascii="Arial" w:hAnsi="Arial" w:cs="Arial"/>
        </w:rPr>
        <w:t xml:space="preserve">. Res., 124, 2582–2600, </w:t>
      </w:r>
      <w:hyperlink r:id="rId4" w:tgtFrame="_new" w:history="1">
        <w:r w:rsidRPr="006F05F4">
          <w:rPr>
            <w:rStyle w:val="Hyperlink"/>
            <w:rFonts w:ascii="Arial" w:hAnsi="Arial" w:cs="Arial"/>
          </w:rPr>
          <w:t>https://doi.org/10.1029/2018jb016418</w:t>
        </w:r>
      </w:hyperlink>
      <w:r w:rsidRPr="006F05F4">
        <w:rPr>
          <w:rFonts w:ascii="Arial" w:hAnsi="Arial" w:cs="Arial"/>
        </w:rPr>
        <w:t>.</w:t>
      </w:r>
    </w:p>
    <w:p w14:paraId="7B5364A9"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Burgess, S.D., Coble, M.A., and Vazquez, J.A., 2021, Zircon geochronology and geochemistry of Quaternary rhyolite domes of the </w:t>
      </w:r>
      <w:proofErr w:type="spellStart"/>
      <w:r w:rsidRPr="006F05F4">
        <w:rPr>
          <w:rFonts w:ascii="Arial" w:hAnsi="Arial" w:cs="Arial"/>
        </w:rPr>
        <w:t>Coso</w:t>
      </w:r>
      <w:proofErr w:type="spellEnd"/>
      <w:r w:rsidRPr="006F05F4">
        <w:rPr>
          <w:rFonts w:ascii="Arial" w:hAnsi="Arial" w:cs="Arial"/>
        </w:rPr>
        <w:t xml:space="preserve"> volcanic field, Inyo County, California, J. </w:t>
      </w:r>
      <w:proofErr w:type="spellStart"/>
      <w:r w:rsidRPr="006F05F4">
        <w:rPr>
          <w:rFonts w:ascii="Arial" w:hAnsi="Arial" w:cs="Arial"/>
        </w:rPr>
        <w:t>Volcanol</w:t>
      </w:r>
      <w:proofErr w:type="spellEnd"/>
      <w:r w:rsidRPr="006F05F4">
        <w:rPr>
          <w:rFonts w:ascii="Arial" w:hAnsi="Arial" w:cs="Arial"/>
        </w:rPr>
        <w:t xml:space="preserve">. Geotherm. Res., 417, 107276, </w:t>
      </w:r>
      <w:hyperlink r:id="rId5" w:history="1">
        <w:r w:rsidRPr="006F05F4">
          <w:rPr>
            <w:rStyle w:val="Hyperlink"/>
            <w:rFonts w:ascii="Arial" w:hAnsi="Arial" w:cs="Arial"/>
          </w:rPr>
          <w:t>https://doi.org/10.1016/j.jvolgeores.2021.107276</w:t>
        </w:r>
      </w:hyperlink>
      <w:r w:rsidRPr="006F05F4">
        <w:rPr>
          <w:rFonts w:ascii="Arial" w:hAnsi="Arial" w:cs="Arial"/>
        </w:rPr>
        <w:t>.</w:t>
      </w:r>
    </w:p>
    <w:p w14:paraId="49499E61"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Cheng, H., Edwards, R.L., Shen, C.-C., Polyak, V.J., Asmerom, Y., Woodhead, J., Hellstrom, J., Wang, Y., Kong, X., </w:t>
      </w:r>
      <w:proofErr w:type="spellStart"/>
      <w:r w:rsidRPr="006F05F4">
        <w:rPr>
          <w:rFonts w:ascii="Arial" w:hAnsi="Arial" w:cs="Arial"/>
        </w:rPr>
        <w:t>Spötl</w:t>
      </w:r>
      <w:proofErr w:type="spellEnd"/>
      <w:r w:rsidRPr="006F05F4">
        <w:rPr>
          <w:rFonts w:ascii="Arial" w:hAnsi="Arial" w:cs="Arial"/>
        </w:rPr>
        <w:t xml:space="preserve">, C., Wang, X., &amp; Alexander, E.C., Jr., 2013, Improvements in </w:t>
      </w:r>
      <w:r w:rsidRPr="00473F14">
        <w:rPr>
          <w:rFonts w:ascii="Arial" w:hAnsi="Arial" w:cs="Arial"/>
          <w:vertAlign w:val="superscript"/>
        </w:rPr>
        <w:t>230</w:t>
      </w:r>
      <w:r w:rsidRPr="006F05F4">
        <w:rPr>
          <w:rFonts w:ascii="Arial" w:hAnsi="Arial" w:cs="Arial"/>
        </w:rPr>
        <w:t xml:space="preserve">Th dating, </w:t>
      </w:r>
      <w:r w:rsidRPr="00473F14">
        <w:rPr>
          <w:rFonts w:ascii="Arial" w:hAnsi="Arial" w:cs="Arial"/>
          <w:vertAlign w:val="superscript"/>
        </w:rPr>
        <w:t>230</w:t>
      </w:r>
      <w:r w:rsidRPr="006F05F4">
        <w:rPr>
          <w:rFonts w:ascii="Arial" w:hAnsi="Arial" w:cs="Arial"/>
        </w:rPr>
        <w:t xml:space="preserve">Th and </w:t>
      </w:r>
      <w:r w:rsidRPr="00473F14">
        <w:rPr>
          <w:rFonts w:ascii="Arial" w:hAnsi="Arial" w:cs="Arial"/>
          <w:vertAlign w:val="superscript"/>
        </w:rPr>
        <w:t>234</w:t>
      </w:r>
      <w:r w:rsidRPr="006F05F4">
        <w:rPr>
          <w:rFonts w:ascii="Arial" w:hAnsi="Arial" w:cs="Arial"/>
        </w:rPr>
        <w:t xml:space="preserve">U half-life values, and U–Th isotopic measurements by multi-collector inductively coupled plasma mass spectrometry, Earth and Planetary Science Letters, 371–372, </w:t>
      </w:r>
      <w:hyperlink r:id="rId6" w:history="1">
        <w:r w:rsidRPr="006F05F4">
          <w:rPr>
            <w:rStyle w:val="Hyperlink"/>
            <w:rFonts w:ascii="Arial" w:hAnsi="Arial" w:cs="Arial"/>
          </w:rPr>
          <w:t>https://doi.org/10.1016/j.epsl.2013.04.006</w:t>
        </w:r>
      </w:hyperlink>
      <w:r w:rsidRPr="006F05F4">
        <w:rPr>
          <w:rFonts w:ascii="Arial" w:hAnsi="Arial" w:cs="Arial"/>
        </w:rPr>
        <w:t>.</w:t>
      </w:r>
    </w:p>
    <w:p w14:paraId="284DDA2A"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Cisneros De León, A., Schindlbeck-Belo, J.C., </w:t>
      </w:r>
      <w:proofErr w:type="spellStart"/>
      <w:r w:rsidRPr="006F05F4">
        <w:rPr>
          <w:rFonts w:ascii="Arial" w:hAnsi="Arial" w:cs="Arial"/>
        </w:rPr>
        <w:t>Kutterolf</w:t>
      </w:r>
      <w:proofErr w:type="spellEnd"/>
      <w:r w:rsidRPr="006F05F4">
        <w:rPr>
          <w:rFonts w:ascii="Arial" w:hAnsi="Arial" w:cs="Arial"/>
        </w:rPr>
        <w:t xml:space="preserve">, S., </w:t>
      </w:r>
      <w:proofErr w:type="spellStart"/>
      <w:r w:rsidRPr="006F05F4">
        <w:rPr>
          <w:rFonts w:ascii="Arial" w:hAnsi="Arial" w:cs="Arial"/>
        </w:rPr>
        <w:t>Danišík</w:t>
      </w:r>
      <w:proofErr w:type="spellEnd"/>
      <w:r w:rsidRPr="006F05F4">
        <w:rPr>
          <w:rFonts w:ascii="Arial" w:hAnsi="Arial" w:cs="Arial"/>
        </w:rPr>
        <w:t xml:space="preserve">, M., Schmitt, A.K., Freundt, A., Pérez, W., Harvey, J.C., Wang, K., and Lee, H., 2021, A history of violence: magma incubation, timing, and tephra distribution of the Los </w:t>
      </w:r>
      <w:proofErr w:type="spellStart"/>
      <w:r w:rsidRPr="006F05F4">
        <w:rPr>
          <w:rFonts w:ascii="Arial" w:hAnsi="Arial" w:cs="Arial"/>
        </w:rPr>
        <w:t>Chocoyos</w:t>
      </w:r>
      <w:proofErr w:type="spellEnd"/>
      <w:r w:rsidRPr="006F05F4">
        <w:rPr>
          <w:rFonts w:ascii="Arial" w:hAnsi="Arial" w:cs="Arial"/>
        </w:rPr>
        <w:t xml:space="preserve"> </w:t>
      </w:r>
      <w:proofErr w:type="spellStart"/>
      <w:r w:rsidRPr="006F05F4">
        <w:rPr>
          <w:rFonts w:ascii="Arial" w:hAnsi="Arial" w:cs="Arial"/>
        </w:rPr>
        <w:lastRenderedPageBreak/>
        <w:t>supereruption</w:t>
      </w:r>
      <w:proofErr w:type="spellEnd"/>
      <w:r w:rsidRPr="006F05F4">
        <w:rPr>
          <w:rFonts w:ascii="Arial" w:hAnsi="Arial" w:cs="Arial"/>
        </w:rPr>
        <w:t xml:space="preserve"> (</w:t>
      </w:r>
      <w:proofErr w:type="spellStart"/>
      <w:r w:rsidRPr="006F05F4">
        <w:rPr>
          <w:rFonts w:ascii="Arial" w:hAnsi="Arial" w:cs="Arial"/>
        </w:rPr>
        <w:t>Atitlán</w:t>
      </w:r>
      <w:proofErr w:type="spellEnd"/>
      <w:r w:rsidRPr="006F05F4">
        <w:rPr>
          <w:rFonts w:ascii="Arial" w:hAnsi="Arial" w:cs="Arial"/>
        </w:rPr>
        <w:t xml:space="preserve"> Caldera, Guatemala), J. Quat. Sci., 36, 169–179, </w:t>
      </w:r>
      <w:hyperlink r:id="rId7" w:history="1">
        <w:r w:rsidRPr="006F05F4">
          <w:rPr>
            <w:rStyle w:val="Hyperlink"/>
            <w:rFonts w:ascii="Arial" w:hAnsi="Arial" w:cs="Arial"/>
          </w:rPr>
          <w:t>https://doi.org/10.1002/jqs.3265</w:t>
        </w:r>
      </w:hyperlink>
      <w:r w:rsidRPr="006F05F4">
        <w:rPr>
          <w:rFonts w:ascii="Arial" w:hAnsi="Arial" w:cs="Arial"/>
        </w:rPr>
        <w:t>.</w:t>
      </w:r>
    </w:p>
    <w:p w14:paraId="4DB73873" w14:textId="76892D9D" w:rsidR="0069443C" w:rsidRPr="006F05F4" w:rsidRDefault="0069443C" w:rsidP="0069443C">
      <w:pPr>
        <w:spacing w:line="480" w:lineRule="auto"/>
        <w:ind w:left="270" w:hanging="270"/>
        <w:rPr>
          <w:rFonts w:ascii="Arial" w:hAnsi="Arial" w:cs="Arial"/>
        </w:rPr>
      </w:pPr>
      <w:r w:rsidRPr="006F05F4">
        <w:rPr>
          <w:rFonts w:ascii="Arial" w:hAnsi="Arial" w:cs="Arial"/>
        </w:rPr>
        <w:t>Coble, M.A., Vazquez, J.A., Barth, A.P., Wooden, J., Burns, D., Kylander</w:t>
      </w:r>
      <w:r w:rsidRPr="006F05F4">
        <w:rPr>
          <w:rFonts w:ascii="Cambria Math" w:hAnsi="Cambria Math" w:cs="Cambria Math"/>
        </w:rPr>
        <w:t>‐</w:t>
      </w:r>
      <w:r w:rsidRPr="006F05F4">
        <w:rPr>
          <w:rFonts w:ascii="Arial" w:hAnsi="Arial" w:cs="Arial"/>
        </w:rPr>
        <w:t xml:space="preserve">Clark, A., Jackson, S., and Vennari, C.E., 2018, Trace element </w:t>
      </w:r>
      <w:r w:rsidR="00473F14" w:rsidRPr="006F05F4">
        <w:rPr>
          <w:rFonts w:ascii="Arial" w:hAnsi="Arial" w:cs="Arial"/>
        </w:rPr>
        <w:t>characterization</w:t>
      </w:r>
      <w:r w:rsidRPr="006F05F4">
        <w:rPr>
          <w:rFonts w:ascii="Arial" w:hAnsi="Arial" w:cs="Arial"/>
        </w:rPr>
        <w:t xml:space="preserve"> of MAD</w:t>
      </w:r>
      <w:r w:rsidRPr="006F05F4">
        <w:rPr>
          <w:rFonts w:ascii="Cambria Math" w:hAnsi="Cambria Math" w:cs="Cambria Math"/>
        </w:rPr>
        <w:t>‐</w:t>
      </w:r>
      <w:r w:rsidRPr="006F05F4">
        <w:rPr>
          <w:rFonts w:ascii="Arial" w:hAnsi="Arial" w:cs="Arial"/>
        </w:rPr>
        <w:t xml:space="preserve">559 zircon reference material for ion microprobe analysis, </w:t>
      </w:r>
      <w:proofErr w:type="spellStart"/>
      <w:r w:rsidRPr="006F05F4">
        <w:rPr>
          <w:rFonts w:ascii="Arial" w:hAnsi="Arial" w:cs="Arial"/>
        </w:rPr>
        <w:t>Geostand</w:t>
      </w:r>
      <w:proofErr w:type="spellEnd"/>
      <w:r w:rsidRPr="006F05F4">
        <w:rPr>
          <w:rFonts w:ascii="Arial" w:hAnsi="Arial" w:cs="Arial"/>
        </w:rPr>
        <w:t xml:space="preserve">. </w:t>
      </w:r>
      <w:proofErr w:type="spellStart"/>
      <w:r w:rsidRPr="006F05F4">
        <w:rPr>
          <w:rFonts w:ascii="Arial" w:hAnsi="Arial" w:cs="Arial"/>
        </w:rPr>
        <w:t>Geoanal</w:t>
      </w:r>
      <w:proofErr w:type="spellEnd"/>
      <w:r w:rsidRPr="006F05F4">
        <w:rPr>
          <w:rFonts w:ascii="Arial" w:hAnsi="Arial" w:cs="Arial"/>
        </w:rPr>
        <w:t xml:space="preserve">. Res., 42, 481-497, </w:t>
      </w:r>
      <w:hyperlink r:id="rId8" w:history="1">
        <w:r w:rsidRPr="006F05F4">
          <w:rPr>
            <w:rStyle w:val="Hyperlink"/>
            <w:rFonts w:ascii="Arial" w:hAnsi="Arial" w:cs="Arial"/>
          </w:rPr>
          <w:t>https://doi.org/10.1111/ggr.12238</w:t>
        </w:r>
      </w:hyperlink>
      <w:r w:rsidRPr="006F05F4">
        <w:rPr>
          <w:rFonts w:ascii="Arial" w:hAnsi="Arial" w:cs="Arial"/>
        </w:rPr>
        <w:t>.</w:t>
      </w:r>
    </w:p>
    <w:p w14:paraId="08FD80A7"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Crowley, J. L., Schoene, B., &amp; Bowring, S. A., 2007, U-Pb dating of zircon in the Bishop Tuff at the millennial scale, Geol., 35(12), 1123, </w:t>
      </w:r>
      <w:hyperlink r:id="rId9" w:tgtFrame="_new" w:history="1">
        <w:r w:rsidRPr="006F05F4">
          <w:rPr>
            <w:rStyle w:val="Hyperlink"/>
            <w:rFonts w:ascii="Arial" w:hAnsi="Arial" w:cs="Arial"/>
          </w:rPr>
          <w:t>https://doi.org/10.1130/g24017a.1</w:t>
        </w:r>
      </w:hyperlink>
      <w:r w:rsidRPr="006F05F4">
        <w:rPr>
          <w:rFonts w:ascii="Arial" w:hAnsi="Arial" w:cs="Arial"/>
        </w:rPr>
        <w:t>.</w:t>
      </w:r>
    </w:p>
    <w:p w14:paraId="003D373A"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Jicha, B.R., Singer, B.S., and Sobol, P., 2016, Re-evaluation of the ages of 40Ar/39Ar sanidine standards and </w:t>
      </w:r>
      <w:proofErr w:type="spellStart"/>
      <w:r w:rsidRPr="006F05F4">
        <w:rPr>
          <w:rFonts w:ascii="Arial" w:hAnsi="Arial" w:cs="Arial"/>
        </w:rPr>
        <w:t>supereruptions</w:t>
      </w:r>
      <w:proofErr w:type="spellEnd"/>
      <w:r w:rsidRPr="006F05F4">
        <w:rPr>
          <w:rFonts w:ascii="Arial" w:hAnsi="Arial" w:cs="Arial"/>
        </w:rPr>
        <w:t xml:space="preserve"> in the western U.S. using a Noblesse multi-collector mass spectrometer, Chem. Geol., 431, 54–66, </w:t>
      </w:r>
      <w:hyperlink r:id="rId10" w:tgtFrame="_new" w:history="1">
        <w:r w:rsidRPr="006F05F4">
          <w:rPr>
            <w:rStyle w:val="Hyperlink"/>
            <w:rFonts w:ascii="Arial" w:hAnsi="Arial" w:cs="Arial"/>
          </w:rPr>
          <w:t>https://doi.org/10.1016/j.chemgeo.2016.03.024</w:t>
        </w:r>
      </w:hyperlink>
      <w:r w:rsidRPr="006F05F4">
        <w:rPr>
          <w:rFonts w:ascii="Arial" w:hAnsi="Arial" w:cs="Arial"/>
        </w:rPr>
        <w:t>.</w:t>
      </w:r>
    </w:p>
    <w:p w14:paraId="477C5428"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Keller, C.B., Schoene, B., and </w:t>
      </w:r>
      <w:proofErr w:type="spellStart"/>
      <w:r w:rsidRPr="006F05F4">
        <w:rPr>
          <w:rFonts w:ascii="Arial" w:hAnsi="Arial" w:cs="Arial"/>
        </w:rPr>
        <w:t>Samperton</w:t>
      </w:r>
      <w:proofErr w:type="spellEnd"/>
      <w:r w:rsidRPr="006F05F4">
        <w:rPr>
          <w:rFonts w:ascii="Arial" w:hAnsi="Arial" w:cs="Arial"/>
        </w:rPr>
        <w:t xml:space="preserve">, K., 2018, A stochastic sampling approach to zircon eruption age interpretation, Geochem. </w:t>
      </w:r>
      <w:proofErr w:type="spellStart"/>
      <w:r w:rsidRPr="006F05F4">
        <w:rPr>
          <w:rFonts w:ascii="Arial" w:hAnsi="Arial" w:cs="Arial"/>
        </w:rPr>
        <w:t>Perspect</w:t>
      </w:r>
      <w:proofErr w:type="spellEnd"/>
      <w:r w:rsidRPr="006F05F4">
        <w:rPr>
          <w:rFonts w:ascii="Arial" w:hAnsi="Arial" w:cs="Arial"/>
        </w:rPr>
        <w:t xml:space="preserve">. Lett., 8, 31–35, </w:t>
      </w:r>
      <w:hyperlink r:id="rId11" w:history="1">
        <w:r w:rsidRPr="006F05F4">
          <w:rPr>
            <w:rStyle w:val="Hyperlink"/>
            <w:rFonts w:ascii="Arial" w:hAnsi="Arial" w:cs="Arial"/>
          </w:rPr>
          <w:t>https://doi.org/10.7185/geochemlet.1826</w:t>
        </w:r>
      </w:hyperlink>
      <w:r w:rsidRPr="006F05F4">
        <w:rPr>
          <w:rFonts w:ascii="Arial" w:hAnsi="Arial" w:cs="Arial"/>
        </w:rPr>
        <w:t>.</w:t>
      </w:r>
    </w:p>
    <w:p w14:paraId="07B56332"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Lee, J.-Y., Marti, K., Severinghaus, J. P., Kawamura, K., Yoo, H.-S., Lee, J. B., &amp; Kim, J. S., 2006, A redetermination of the isotopic abundances of atmospheric </w:t>
      </w:r>
      <w:proofErr w:type="spellStart"/>
      <w:r w:rsidRPr="006F05F4">
        <w:rPr>
          <w:rFonts w:ascii="Arial" w:hAnsi="Arial" w:cs="Arial"/>
        </w:rPr>
        <w:t>Ar</w:t>
      </w:r>
      <w:proofErr w:type="spellEnd"/>
      <w:r w:rsidRPr="006F05F4">
        <w:rPr>
          <w:rFonts w:ascii="Arial" w:hAnsi="Arial" w:cs="Arial"/>
        </w:rPr>
        <w:t xml:space="preserve">, </w:t>
      </w:r>
      <w:proofErr w:type="spellStart"/>
      <w:r w:rsidRPr="006F05F4">
        <w:rPr>
          <w:rFonts w:ascii="Arial" w:hAnsi="Arial" w:cs="Arial"/>
        </w:rPr>
        <w:t>Geochim</w:t>
      </w:r>
      <w:proofErr w:type="spellEnd"/>
      <w:r w:rsidRPr="006F05F4">
        <w:rPr>
          <w:rFonts w:ascii="Arial" w:hAnsi="Arial" w:cs="Arial"/>
        </w:rPr>
        <w:t xml:space="preserve">. </w:t>
      </w:r>
      <w:proofErr w:type="spellStart"/>
      <w:r w:rsidRPr="006F05F4">
        <w:rPr>
          <w:rFonts w:ascii="Arial" w:hAnsi="Arial" w:cs="Arial"/>
        </w:rPr>
        <w:t>Cosmochim</w:t>
      </w:r>
      <w:proofErr w:type="spellEnd"/>
      <w:r w:rsidRPr="006F05F4">
        <w:rPr>
          <w:rFonts w:ascii="Arial" w:hAnsi="Arial" w:cs="Arial"/>
        </w:rPr>
        <w:t xml:space="preserve">. Acta, 70(17), 4507–4512, </w:t>
      </w:r>
      <w:hyperlink r:id="rId12" w:tgtFrame="_new" w:history="1">
        <w:r w:rsidRPr="006F05F4">
          <w:rPr>
            <w:rStyle w:val="Hyperlink"/>
            <w:rFonts w:ascii="Arial" w:hAnsi="Arial" w:cs="Arial"/>
          </w:rPr>
          <w:t>https://doi.org/10.1016/j.gca.2006.06.1563</w:t>
        </w:r>
      </w:hyperlink>
      <w:r w:rsidRPr="006F05F4">
        <w:rPr>
          <w:rFonts w:ascii="Arial" w:hAnsi="Arial" w:cs="Arial"/>
        </w:rPr>
        <w:t>.</w:t>
      </w:r>
    </w:p>
    <w:p w14:paraId="54AB1CCD"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Min, K., </w:t>
      </w:r>
      <w:proofErr w:type="spellStart"/>
      <w:r w:rsidRPr="006F05F4">
        <w:rPr>
          <w:rFonts w:ascii="Arial" w:hAnsi="Arial" w:cs="Arial"/>
        </w:rPr>
        <w:t>Mundil</w:t>
      </w:r>
      <w:proofErr w:type="spellEnd"/>
      <w:r w:rsidRPr="006F05F4">
        <w:rPr>
          <w:rFonts w:ascii="Arial" w:hAnsi="Arial" w:cs="Arial"/>
        </w:rPr>
        <w:t xml:space="preserve">, R., Renne, P. R., &amp; Ludwig, K. R., 2000, A test for systematic errors in </w:t>
      </w:r>
      <w:r w:rsidRPr="00473F14">
        <w:rPr>
          <w:rFonts w:ascii="Arial" w:hAnsi="Arial" w:cs="Arial"/>
          <w:vertAlign w:val="superscript"/>
        </w:rPr>
        <w:t>40</w:t>
      </w:r>
      <w:r w:rsidRPr="006F05F4">
        <w:rPr>
          <w:rFonts w:ascii="Arial" w:hAnsi="Arial" w:cs="Arial"/>
        </w:rPr>
        <w:t>Ar/</w:t>
      </w:r>
      <w:r w:rsidRPr="00473F14">
        <w:rPr>
          <w:rFonts w:ascii="Arial" w:hAnsi="Arial" w:cs="Arial"/>
          <w:vertAlign w:val="superscript"/>
        </w:rPr>
        <w:t>39</w:t>
      </w:r>
      <w:r w:rsidRPr="006F05F4">
        <w:rPr>
          <w:rFonts w:ascii="Arial" w:hAnsi="Arial" w:cs="Arial"/>
        </w:rPr>
        <w:t xml:space="preserve">Ar geochronology through comparison with U/Pb analysis of a 1.1-Ga rhyolite, </w:t>
      </w:r>
      <w:proofErr w:type="spellStart"/>
      <w:r w:rsidRPr="006F05F4">
        <w:rPr>
          <w:rFonts w:ascii="Arial" w:hAnsi="Arial" w:cs="Arial"/>
        </w:rPr>
        <w:t>Geochim</w:t>
      </w:r>
      <w:proofErr w:type="spellEnd"/>
      <w:r w:rsidRPr="006F05F4">
        <w:rPr>
          <w:rFonts w:ascii="Arial" w:hAnsi="Arial" w:cs="Arial"/>
        </w:rPr>
        <w:t xml:space="preserve">. </w:t>
      </w:r>
      <w:proofErr w:type="spellStart"/>
      <w:r w:rsidRPr="006F05F4">
        <w:rPr>
          <w:rFonts w:ascii="Arial" w:hAnsi="Arial" w:cs="Arial"/>
        </w:rPr>
        <w:t>Cosmochim</w:t>
      </w:r>
      <w:proofErr w:type="spellEnd"/>
      <w:r w:rsidRPr="006F05F4">
        <w:rPr>
          <w:rFonts w:ascii="Arial" w:hAnsi="Arial" w:cs="Arial"/>
        </w:rPr>
        <w:t xml:space="preserve">. Acta, 64(1), 73–98, </w:t>
      </w:r>
      <w:hyperlink r:id="rId13" w:tgtFrame="_new" w:history="1">
        <w:r w:rsidRPr="006F05F4">
          <w:rPr>
            <w:rStyle w:val="Hyperlink"/>
            <w:rFonts w:ascii="Arial" w:hAnsi="Arial" w:cs="Arial"/>
          </w:rPr>
          <w:t>https://doi.org/10.1016/s0016-7037(99)00204-5</w:t>
        </w:r>
      </w:hyperlink>
      <w:r w:rsidRPr="006F05F4">
        <w:rPr>
          <w:rFonts w:ascii="Arial" w:hAnsi="Arial" w:cs="Arial"/>
        </w:rPr>
        <w:t>.</w:t>
      </w:r>
    </w:p>
    <w:p w14:paraId="437CC1AF" w14:textId="77777777" w:rsidR="0069443C" w:rsidRPr="006F05F4" w:rsidRDefault="0069443C" w:rsidP="0069443C">
      <w:pPr>
        <w:spacing w:line="480" w:lineRule="auto"/>
        <w:ind w:left="270" w:hanging="270"/>
        <w:rPr>
          <w:rFonts w:ascii="Arial" w:hAnsi="Arial" w:cs="Arial"/>
        </w:rPr>
      </w:pPr>
      <w:r w:rsidRPr="006F05F4">
        <w:rPr>
          <w:rFonts w:ascii="Arial" w:hAnsi="Arial" w:cs="Arial"/>
        </w:rPr>
        <w:lastRenderedPageBreak/>
        <w:t xml:space="preserve">Mixon, E. E., Jicha, B. R., Tootell, D., &amp; Singer, B. S., 2022, Optimizing </w:t>
      </w:r>
      <w:r w:rsidRPr="00473F14">
        <w:rPr>
          <w:rFonts w:ascii="Arial" w:hAnsi="Arial" w:cs="Arial"/>
          <w:vertAlign w:val="superscript"/>
        </w:rPr>
        <w:t>40</w:t>
      </w:r>
      <w:r w:rsidRPr="006F05F4">
        <w:rPr>
          <w:rFonts w:ascii="Arial" w:hAnsi="Arial" w:cs="Arial"/>
        </w:rPr>
        <w:t>Ar/</w:t>
      </w:r>
      <w:r w:rsidRPr="00473F14">
        <w:rPr>
          <w:rFonts w:ascii="Arial" w:hAnsi="Arial" w:cs="Arial"/>
          <w:vertAlign w:val="superscript"/>
        </w:rPr>
        <w:t>39</w:t>
      </w:r>
      <w:r w:rsidRPr="006F05F4">
        <w:rPr>
          <w:rFonts w:ascii="Arial" w:hAnsi="Arial" w:cs="Arial"/>
        </w:rPr>
        <w:t xml:space="preserve">Ar analyses using an </w:t>
      </w:r>
      <w:proofErr w:type="spellStart"/>
      <w:r w:rsidRPr="006F05F4">
        <w:rPr>
          <w:rFonts w:ascii="Arial" w:hAnsi="Arial" w:cs="Arial"/>
        </w:rPr>
        <w:t>Isotopx</w:t>
      </w:r>
      <w:proofErr w:type="spellEnd"/>
      <w:r w:rsidRPr="006F05F4">
        <w:rPr>
          <w:rFonts w:ascii="Arial" w:hAnsi="Arial" w:cs="Arial"/>
        </w:rPr>
        <w:t xml:space="preserve"> NGX-600 mass spectrometer, Chem. Geol., 593(120753), 120753, </w:t>
      </w:r>
      <w:hyperlink r:id="rId14" w:tgtFrame="_new" w:history="1">
        <w:r w:rsidRPr="006F05F4">
          <w:rPr>
            <w:rStyle w:val="Hyperlink"/>
            <w:rFonts w:ascii="Arial" w:hAnsi="Arial" w:cs="Arial"/>
          </w:rPr>
          <w:t>https://doi.org/10.1016/j.chemgeo.2022.120753</w:t>
        </w:r>
      </w:hyperlink>
      <w:r w:rsidRPr="006F05F4">
        <w:rPr>
          <w:rFonts w:ascii="Arial" w:hAnsi="Arial" w:cs="Arial"/>
        </w:rPr>
        <w:t>.</w:t>
      </w:r>
    </w:p>
    <w:p w14:paraId="241F2EEB" w14:textId="77777777" w:rsidR="0069443C" w:rsidRPr="006F05F4" w:rsidRDefault="0069443C" w:rsidP="0069443C">
      <w:pPr>
        <w:spacing w:line="480" w:lineRule="auto"/>
        <w:ind w:left="270" w:hanging="270"/>
        <w:rPr>
          <w:rFonts w:ascii="Arial" w:hAnsi="Arial" w:cs="Arial"/>
        </w:rPr>
      </w:pPr>
      <w:r w:rsidRPr="006F05F4">
        <w:rPr>
          <w:rFonts w:ascii="Arial" w:hAnsi="Arial" w:cs="Arial"/>
        </w:rPr>
        <w:t xml:space="preserve">Schmitt, A.K., Stockli, D.F., and </w:t>
      </w:r>
      <w:proofErr w:type="spellStart"/>
      <w:r w:rsidRPr="006F05F4">
        <w:rPr>
          <w:rFonts w:ascii="Arial" w:hAnsi="Arial" w:cs="Arial"/>
        </w:rPr>
        <w:t>Hausback</w:t>
      </w:r>
      <w:proofErr w:type="spellEnd"/>
      <w:r w:rsidRPr="006F05F4">
        <w:rPr>
          <w:rFonts w:ascii="Arial" w:hAnsi="Arial" w:cs="Arial"/>
        </w:rPr>
        <w:t xml:space="preserve">, B.P., 2006, Eruption and magma crystallization ages of Las Tres </w:t>
      </w:r>
      <w:proofErr w:type="spellStart"/>
      <w:r w:rsidRPr="006F05F4">
        <w:rPr>
          <w:rFonts w:ascii="Arial" w:hAnsi="Arial" w:cs="Arial"/>
        </w:rPr>
        <w:t>Vírgenes</w:t>
      </w:r>
      <w:proofErr w:type="spellEnd"/>
      <w:r w:rsidRPr="006F05F4">
        <w:rPr>
          <w:rFonts w:ascii="Arial" w:hAnsi="Arial" w:cs="Arial"/>
        </w:rPr>
        <w:t xml:space="preserve"> (Baja California) constrained by combined </w:t>
      </w:r>
      <w:r w:rsidRPr="00473F14">
        <w:rPr>
          <w:rFonts w:ascii="Arial" w:hAnsi="Arial" w:cs="Arial"/>
          <w:vertAlign w:val="superscript"/>
        </w:rPr>
        <w:t>230</w:t>
      </w:r>
      <w:r w:rsidRPr="006F05F4">
        <w:rPr>
          <w:rFonts w:ascii="Arial" w:hAnsi="Arial" w:cs="Arial"/>
        </w:rPr>
        <w:t>Th/</w:t>
      </w:r>
      <w:r w:rsidRPr="00473F14">
        <w:rPr>
          <w:rFonts w:ascii="Arial" w:hAnsi="Arial" w:cs="Arial"/>
          <w:vertAlign w:val="superscript"/>
        </w:rPr>
        <w:t>238</w:t>
      </w:r>
      <w:r w:rsidRPr="006F05F4">
        <w:rPr>
          <w:rFonts w:ascii="Arial" w:hAnsi="Arial" w:cs="Arial"/>
        </w:rPr>
        <w:t xml:space="preserve">U and (U–Th)/He </w:t>
      </w:r>
      <w:proofErr w:type="gramStart"/>
      <w:r w:rsidRPr="006F05F4">
        <w:rPr>
          <w:rFonts w:ascii="Arial" w:hAnsi="Arial" w:cs="Arial"/>
        </w:rPr>
        <w:t>dating</w:t>
      </w:r>
      <w:proofErr w:type="gramEnd"/>
      <w:r w:rsidRPr="006F05F4">
        <w:rPr>
          <w:rFonts w:ascii="Arial" w:hAnsi="Arial" w:cs="Arial"/>
        </w:rPr>
        <w:t xml:space="preserve"> of zircon, J. </w:t>
      </w:r>
      <w:proofErr w:type="spellStart"/>
      <w:r w:rsidRPr="006F05F4">
        <w:rPr>
          <w:rFonts w:ascii="Arial" w:hAnsi="Arial" w:cs="Arial"/>
        </w:rPr>
        <w:t>Volcanol</w:t>
      </w:r>
      <w:proofErr w:type="spellEnd"/>
      <w:r w:rsidRPr="006F05F4">
        <w:rPr>
          <w:rFonts w:ascii="Arial" w:hAnsi="Arial" w:cs="Arial"/>
        </w:rPr>
        <w:t xml:space="preserve">. Geotherm. Res., 158, 281-295, </w:t>
      </w:r>
      <w:hyperlink r:id="rId15" w:history="1">
        <w:r w:rsidRPr="006F05F4">
          <w:rPr>
            <w:rStyle w:val="Hyperlink"/>
            <w:rFonts w:ascii="Arial" w:hAnsi="Arial" w:cs="Arial"/>
          </w:rPr>
          <w:t>https://doi.org/10.1016/j.jvolgeores.2006.07.005</w:t>
        </w:r>
      </w:hyperlink>
      <w:r w:rsidRPr="006F05F4">
        <w:rPr>
          <w:rFonts w:ascii="Arial" w:hAnsi="Arial" w:cs="Arial"/>
        </w:rPr>
        <w:t>.</w:t>
      </w:r>
    </w:p>
    <w:p w14:paraId="5B57A6C4" w14:textId="77777777" w:rsidR="0069443C" w:rsidRPr="006F05F4" w:rsidRDefault="0069443C" w:rsidP="0069443C">
      <w:pPr>
        <w:spacing w:line="480" w:lineRule="auto"/>
        <w:ind w:left="270" w:hanging="270"/>
        <w:rPr>
          <w:rFonts w:ascii="Arial" w:hAnsi="Arial" w:cs="Arial"/>
        </w:rPr>
      </w:pPr>
      <w:proofErr w:type="spellStart"/>
      <w:r w:rsidRPr="006F05F4">
        <w:rPr>
          <w:rFonts w:ascii="Arial" w:hAnsi="Arial" w:cs="Arial"/>
        </w:rPr>
        <w:t>Suckale</w:t>
      </w:r>
      <w:proofErr w:type="spellEnd"/>
      <w:r w:rsidRPr="006F05F4">
        <w:rPr>
          <w:rFonts w:ascii="Arial" w:hAnsi="Arial" w:cs="Arial"/>
        </w:rPr>
        <w:t xml:space="preserve">, J., Qin, Z., Picchi, D., Keller, T., &amp; Battiato, I., 2018, </w:t>
      </w:r>
      <w:proofErr w:type="spellStart"/>
      <w:r w:rsidRPr="006F05F4">
        <w:rPr>
          <w:rFonts w:ascii="Arial" w:hAnsi="Arial" w:cs="Arial"/>
        </w:rPr>
        <w:t>Bistability</w:t>
      </w:r>
      <w:proofErr w:type="spellEnd"/>
      <w:r w:rsidRPr="006F05F4">
        <w:rPr>
          <w:rFonts w:ascii="Arial" w:hAnsi="Arial" w:cs="Arial"/>
        </w:rPr>
        <w:t xml:space="preserve"> of buoyancy-driven exchange flows in vertical tubes, Journal of Fluid Mechanics, 850, 525–550, </w:t>
      </w:r>
      <w:hyperlink r:id="rId16" w:tgtFrame="_new" w:history="1">
        <w:r w:rsidRPr="006F05F4">
          <w:rPr>
            <w:rStyle w:val="Hyperlink"/>
            <w:rFonts w:ascii="Arial" w:hAnsi="Arial" w:cs="Arial"/>
          </w:rPr>
          <w:t>https://doi.org/10.1017/jfm.2018.382</w:t>
        </w:r>
      </w:hyperlink>
      <w:r w:rsidRPr="006F05F4">
        <w:rPr>
          <w:rFonts w:ascii="Arial" w:hAnsi="Arial" w:cs="Arial"/>
        </w:rPr>
        <w:t>.</w:t>
      </w:r>
    </w:p>
    <w:p w14:paraId="6782259F" w14:textId="57F4A7DB" w:rsidR="001A69B3" w:rsidRDefault="0069443C" w:rsidP="0069443C">
      <w:pPr>
        <w:spacing w:line="480" w:lineRule="auto"/>
        <w:ind w:left="270" w:hanging="270"/>
        <w:rPr>
          <w:rFonts w:ascii="Arial" w:hAnsi="Arial" w:cs="Arial"/>
        </w:rPr>
      </w:pPr>
      <w:r w:rsidRPr="006F05F4">
        <w:rPr>
          <w:rFonts w:ascii="Arial" w:hAnsi="Arial" w:cs="Arial"/>
        </w:rPr>
        <w:t xml:space="preserve">van </w:t>
      </w:r>
      <w:proofErr w:type="spellStart"/>
      <w:r w:rsidRPr="006F05F4">
        <w:rPr>
          <w:rFonts w:ascii="Arial" w:hAnsi="Arial" w:cs="Arial"/>
        </w:rPr>
        <w:t>Zalinge</w:t>
      </w:r>
      <w:proofErr w:type="spellEnd"/>
      <w:r w:rsidRPr="006F05F4">
        <w:rPr>
          <w:rFonts w:ascii="Arial" w:hAnsi="Arial" w:cs="Arial"/>
        </w:rPr>
        <w:t xml:space="preserve">, M.E., Mark, D.F., Sparks, R.S.J., Tremblay, M.M., Keller, C.B., Cooper, F.J., and Rust, A., 2022, Timescales for pluton growth, magma-chamber formation, and super-eruptions, Nature, 608, 87–92, </w:t>
      </w:r>
      <w:hyperlink r:id="rId17" w:tgtFrame="_new" w:history="1">
        <w:r w:rsidRPr="006F05F4">
          <w:rPr>
            <w:rStyle w:val="Hyperlink"/>
            <w:rFonts w:ascii="Arial" w:hAnsi="Arial" w:cs="Arial"/>
          </w:rPr>
          <w:t>https://doi.org/10.1038/s41586-022-04921-9</w:t>
        </w:r>
      </w:hyperlink>
      <w:r w:rsidRPr="006F05F4">
        <w:rPr>
          <w:rFonts w:ascii="Arial" w:hAnsi="Arial" w:cs="Arial"/>
        </w:rPr>
        <w:t>.</w:t>
      </w:r>
    </w:p>
    <w:p w14:paraId="06EA2A12" w14:textId="77777777" w:rsidR="001A69B3" w:rsidRDefault="001A69B3" w:rsidP="001A69B3">
      <w:pPr>
        <w:spacing w:line="360" w:lineRule="auto"/>
        <w:rPr>
          <w:rFonts w:ascii="Arial" w:hAnsi="Arial" w:cs="Arial"/>
          <w:color w:val="000000" w:themeColor="text1"/>
        </w:rPr>
      </w:pPr>
    </w:p>
    <w:p w14:paraId="605C97D4" w14:textId="77777777" w:rsidR="001A69B3" w:rsidRDefault="001A69B3" w:rsidP="001A69B3">
      <w:pPr>
        <w:spacing w:line="360" w:lineRule="auto"/>
        <w:rPr>
          <w:rFonts w:ascii="Arial" w:hAnsi="Arial" w:cs="Arial"/>
        </w:rPr>
      </w:pPr>
    </w:p>
    <w:p w14:paraId="5B398F0F" w14:textId="77777777" w:rsidR="001A69B3" w:rsidRDefault="001A69B3" w:rsidP="001A69B3">
      <w:pPr>
        <w:spacing w:line="360" w:lineRule="auto"/>
        <w:rPr>
          <w:rFonts w:ascii="Arial" w:hAnsi="Arial" w:cs="Arial"/>
        </w:rPr>
      </w:pPr>
    </w:p>
    <w:p w14:paraId="4A3213A2" w14:textId="77777777" w:rsidR="001A69B3" w:rsidRDefault="001A69B3" w:rsidP="001A69B3">
      <w:pPr>
        <w:spacing w:line="360" w:lineRule="auto"/>
        <w:rPr>
          <w:rFonts w:ascii="Arial" w:hAnsi="Arial" w:cs="Arial"/>
          <w:b/>
          <w:bCs/>
        </w:rPr>
      </w:pPr>
    </w:p>
    <w:p w14:paraId="7E27F7E1" w14:textId="77777777" w:rsidR="001A69B3" w:rsidRDefault="001A69B3" w:rsidP="001A69B3"/>
    <w:p w14:paraId="5E5D5E42" w14:textId="77777777" w:rsidR="001A69B3" w:rsidRDefault="001A69B3" w:rsidP="001A69B3"/>
    <w:p w14:paraId="3EF5FCFE" w14:textId="77777777" w:rsidR="001A69B3" w:rsidRDefault="001A69B3" w:rsidP="001A69B3">
      <w:pPr>
        <w:spacing w:line="360" w:lineRule="auto"/>
        <w:jc w:val="center"/>
        <w:rPr>
          <w:rFonts w:ascii="Arial" w:hAnsi="Arial" w:cs="Arial"/>
          <w:color w:val="000000" w:themeColor="text1"/>
        </w:rPr>
      </w:pPr>
    </w:p>
    <w:p w14:paraId="7DF76F24" w14:textId="77777777" w:rsidR="001A69B3" w:rsidRDefault="001A69B3" w:rsidP="001A69B3">
      <w:pPr>
        <w:spacing w:line="360" w:lineRule="auto"/>
        <w:jc w:val="center"/>
        <w:rPr>
          <w:rFonts w:ascii="Arial" w:hAnsi="Arial" w:cs="Arial"/>
          <w:color w:val="000000" w:themeColor="text1"/>
        </w:rPr>
      </w:pPr>
    </w:p>
    <w:p w14:paraId="186FB43D" w14:textId="77777777" w:rsidR="001A69B3" w:rsidRDefault="001A69B3" w:rsidP="001A69B3">
      <w:pPr>
        <w:spacing w:line="360" w:lineRule="auto"/>
        <w:jc w:val="center"/>
        <w:rPr>
          <w:rFonts w:ascii="Arial" w:hAnsi="Arial" w:cs="Arial"/>
          <w:color w:val="000000" w:themeColor="text1"/>
        </w:rPr>
      </w:pPr>
    </w:p>
    <w:p w14:paraId="10623AE4" w14:textId="77777777" w:rsidR="001A69B3" w:rsidRDefault="001A69B3" w:rsidP="001A69B3">
      <w:pPr>
        <w:spacing w:line="360" w:lineRule="auto"/>
        <w:rPr>
          <w:rFonts w:ascii="Arial" w:hAnsi="Arial" w:cs="Arial"/>
          <w:color w:val="000000" w:themeColor="text1"/>
        </w:rPr>
      </w:pPr>
    </w:p>
    <w:p w14:paraId="2379EF2F" w14:textId="77777777" w:rsidR="001A69B3" w:rsidRDefault="001A69B3" w:rsidP="001A69B3">
      <w:pPr>
        <w:spacing w:line="360" w:lineRule="auto"/>
        <w:jc w:val="center"/>
        <w:rPr>
          <w:rFonts w:ascii="Arial" w:hAnsi="Arial" w:cs="Arial"/>
          <w:color w:val="000000" w:themeColor="text1"/>
        </w:rPr>
      </w:pPr>
    </w:p>
    <w:p w14:paraId="17D993F3" w14:textId="77777777" w:rsidR="001A69B3" w:rsidRDefault="001A69B3" w:rsidP="001A69B3">
      <w:pPr>
        <w:spacing w:line="360" w:lineRule="auto"/>
        <w:jc w:val="center"/>
        <w:rPr>
          <w:rFonts w:ascii="Arial" w:hAnsi="Arial" w:cs="Arial"/>
          <w:color w:val="000000" w:themeColor="text1"/>
        </w:rPr>
      </w:pPr>
    </w:p>
    <w:p w14:paraId="110D9BC2" w14:textId="77777777" w:rsidR="001A69B3" w:rsidRDefault="001A69B3" w:rsidP="001A69B3">
      <w:pPr>
        <w:spacing w:line="360" w:lineRule="auto"/>
        <w:jc w:val="center"/>
        <w:rPr>
          <w:rFonts w:ascii="Arial" w:hAnsi="Arial" w:cs="Arial"/>
          <w:color w:val="000000" w:themeColor="text1"/>
        </w:rPr>
      </w:pPr>
    </w:p>
    <w:p w14:paraId="521D2A15" w14:textId="77777777" w:rsidR="001A69B3" w:rsidRDefault="001A69B3" w:rsidP="001A69B3">
      <w:pPr>
        <w:spacing w:line="360" w:lineRule="auto"/>
        <w:jc w:val="center"/>
        <w:rPr>
          <w:rFonts w:ascii="Arial" w:hAnsi="Arial" w:cs="Arial"/>
          <w:color w:val="000000" w:themeColor="text1"/>
        </w:rPr>
      </w:pPr>
    </w:p>
    <w:p w14:paraId="43E441D8" w14:textId="77777777" w:rsidR="001A69B3" w:rsidRDefault="001A69B3" w:rsidP="001A69B3">
      <w:pPr>
        <w:spacing w:line="360" w:lineRule="auto"/>
        <w:jc w:val="center"/>
        <w:rPr>
          <w:rFonts w:ascii="Arial" w:hAnsi="Arial" w:cs="Arial"/>
          <w:color w:val="000000" w:themeColor="text1"/>
        </w:rPr>
      </w:pPr>
    </w:p>
    <w:p w14:paraId="26BEC99F" w14:textId="77777777" w:rsidR="001A69B3" w:rsidRDefault="001A69B3" w:rsidP="001A69B3">
      <w:pPr>
        <w:spacing w:line="360" w:lineRule="auto"/>
        <w:jc w:val="center"/>
        <w:rPr>
          <w:rFonts w:ascii="Arial" w:hAnsi="Arial" w:cs="Arial"/>
          <w:color w:val="000000" w:themeColor="text1"/>
        </w:rPr>
      </w:pPr>
    </w:p>
    <w:p w14:paraId="00499D8D" w14:textId="77777777" w:rsidR="001A69B3" w:rsidRDefault="001A69B3" w:rsidP="001A69B3">
      <w:pPr>
        <w:spacing w:line="360" w:lineRule="auto"/>
        <w:jc w:val="center"/>
        <w:rPr>
          <w:rFonts w:ascii="Arial" w:hAnsi="Arial" w:cs="Arial"/>
          <w:color w:val="000000" w:themeColor="text1"/>
        </w:rPr>
      </w:pPr>
    </w:p>
    <w:p w14:paraId="232DD3F6" w14:textId="77777777" w:rsidR="001A69B3" w:rsidRDefault="001A69B3" w:rsidP="001A69B3">
      <w:pPr>
        <w:spacing w:line="360" w:lineRule="auto"/>
        <w:jc w:val="center"/>
        <w:rPr>
          <w:rFonts w:ascii="Arial" w:hAnsi="Arial" w:cs="Arial"/>
          <w:color w:val="000000" w:themeColor="text1"/>
        </w:rPr>
      </w:pPr>
    </w:p>
    <w:p w14:paraId="30293E84" w14:textId="77777777" w:rsidR="001A69B3" w:rsidRDefault="001A69B3" w:rsidP="001A69B3">
      <w:pPr>
        <w:spacing w:line="360" w:lineRule="auto"/>
        <w:jc w:val="center"/>
        <w:rPr>
          <w:rFonts w:ascii="Arial" w:hAnsi="Arial" w:cs="Arial"/>
          <w:color w:val="000000" w:themeColor="text1"/>
        </w:rPr>
      </w:pPr>
    </w:p>
    <w:p w14:paraId="39500E04" w14:textId="77777777" w:rsidR="001A69B3" w:rsidRDefault="001A69B3" w:rsidP="001A69B3">
      <w:pPr>
        <w:spacing w:line="360" w:lineRule="auto"/>
        <w:jc w:val="center"/>
        <w:rPr>
          <w:rFonts w:ascii="Arial" w:hAnsi="Arial" w:cs="Arial"/>
          <w:b/>
          <w:bCs/>
          <w:color w:val="000000" w:themeColor="text1"/>
        </w:rPr>
      </w:pPr>
    </w:p>
    <w:p w14:paraId="4F3694E8" w14:textId="77777777" w:rsidR="001A69B3" w:rsidRDefault="001A69B3" w:rsidP="001A69B3">
      <w:pPr>
        <w:spacing w:line="360" w:lineRule="auto"/>
        <w:jc w:val="center"/>
        <w:rPr>
          <w:rFonts w:ascii="Arial" w:hAnsi="Arial" w:cs="Arial"/>
          <w:b/>
          <w:bCs/>
          <w:color w:val="000000" w:themeColor="text1"/>
        </w:rPr>
      </w:pPr>
    </w:p>
    <w:p w14:paraId="7BFB5FDE" w14:textId="77777777" w:rsidR="001A69B3" w:rsidRDefault="001A69B3" w:rsidP="001A69B3">
      <w:pPr>
        <w:spacing w:line="360" w:lineRule="auto"/>
        <w:jc w:val="center"/>
        <w:rPr>
          <w:rFonts w:ascii="Arial" w:hAnsi="Arial" w:cs="Arial"/>
          <w:b/>
          <w:bCs/>
          <w:color w:val="000000" w:themeColor="text1"/>
        </w:rPr>
      </w:pPr>
    </w:p>
    <w:p w14:paraId="7599D4CF" w14:textId="77777777" w:rsidR="001A69B3" w:rsidRDefault="001A69B3" w:rsidP="001A69B3">
      <w:pPr>
        <w:spacing w:line="360" w:lineRule="auto"/>
        <w:jc w:val="center"/>
        <w:rPr>
          <w:rFonts w:ascii="Arial" w:hAnsi="Arial" w:cs="Arial"/>
          <w:b/>
          <w:bCs/>
          <w:color w:val="000000" w:themeColor="text1"/>
        </w:rPr>
      </w:pPr>
    </w:p>
    <w:p w14:paraId="2986117F" w14:textId="77777777" w:rsidR="001A69B3" w:rsidRDefault="001A69B3" w:rsidP="001A69B3">
      <w:pPr>
        <w:spacing w:line="360" w:lineRule="auto"/>
        <w:jc w:val="center"/>
        <w:rPr>
          <w:rFonts w:ascii="Arial" w:hAnsi="Arial" w:cs="Arial"/>
          <w:b/>
          <w:bCs/>
          <w:color w:val="000000" w:themeColor="text1"/>
        </w:rPr>
      </w:pPr>
    </w:p>
    <w:p w14:paraId="1759F833" w14:textId="77777777" w:rsidR="001A69B3" w:rsidRDefault="001A69B3" w:rsidP="001A69B3">
      <w:pPr>
        <w:spacing w:line="360" w:lineRule="auto"/>
        <w:jc w:val="center"/>
        <w:rPr>
          <w:rFonts w:ascii="Arial" w:hAnsi="Arial" w:cs="Arial"/>
          <w:b/>
          <w:bCs/>
          <w:color w:val="000000" w:themeColor="text1"/>
        </w:rPr>
      </w:pPr>
    </w:p>
    <w:p w14:paraId="719385CE" w14:textId="77777777" w:rsidR="001A69B3" w:rsidRDefault="001A69B3" w:rsidP="001A69B3">
      <w:pPr>
        <w:spacing w:line="360" w:lineRule="auto"/>
        <w:jc w:val="center"/>
        <w:rPr>
          <w:rFonts w:ascii="Arial" w:hAnsi="Arial" w:cs="Arial"/>
          <w:b/>
          <w:bCs/>
          <w:color w:val="000000" w:themeColor="text1"/>
        </w:rPr>
      </w:pPr>
    </w:p>
    <w:p w14:paraId="5A243E7E" w14:textId="77777777" w:rsidR="001A69B3" w:rsidRDefault="001A69B3" w:rsidP="00473F14">
      <w:pPr>
        <w:spacing w:line="360" w:lineRule="auto"/>
        <w:rPr>
          <w:rFonts w:ascii="Arial" w:hAnsi="Arial" w:cs="Arial"/>
          <w:b/>
          <w:bCs/>
          <w:color w:val="000000" w:themeColor="text1"/>
        </w:rPr>
      </w:pPr>
    </w:p>
    <w:p w14:paraId="3B7E60C9" w14:textId="77777777" w:rsidR="001A69B3" w:rsidRDefault="001A69B3" w:rsidP="001A69B3">
      <w:pPr>
        <w:spacing w:line="360" w:lineRule="auto"/>
        <w:jc w:val="center"/>
        <w:rPr>
          <w:rFonts w:ascii="Arial" w:hAnsi="Arial" w:cs="Arial"/>
          <w:color w:val="000000" w:themeColor="text1"/>
        </w:rPr>
      </w:pPr>
    </w:p>
    <w:p w14:paraId="7A53BFE7" w14:textId="77777777" w:rsidR="001A69B3" w:rsidRPr="00616F48" w:rsidRDefault="001A69B3" w:rsidP="001A69B3">
      <w:pPr>
        <w:spacing w:line="360" w:lineRule="auto"/>
        <w:rPr>
          <w:rFonts w:ascii="Arial" w:hAnsi="Arial" w:cs="Arial"/>
          <w:color w:val="000000" w:themeColor="text1"/>
        </w:rPr>
      </w:pPr>
      <w:bookmarkStart w:id="0" w:name="_Hlk134795192"/>
    </w:p>
    <w:bookmarkEnd w:id="0"/>
    <w:p w14:paraId="51475754" w14:textId="77777777" w:rsidR="00BE1EC3" w:rsidRPr="00BE1EC3" w:rsidRDefault="00BE1EC3" w:rsidP="00BE1EC3">
      <w:pPr>
        <w:spacing w:line="360" w:lineRule="auto"/>
        <w:jc w:val="center"/>
        <w:rPr>
          <w:rFonts w:ascii="Arial" w:hAnsi="Arial" w:cs="Arial"/>
          <w:b/>
          <w:bCs/>
          <w:color w:val="000000" w:themeColor="text1"/>
        </w:rPr>
      </w:pPr>
      <w:r w:rsidRPr="00BE1EC3">
        <w:rPr>
          <w:rFonts w:ascii="Arial" w:hAnsi="Arial" w:cs="Arial"/>
          <w:b/>
          <w:bCs/>
          <w:color w:val="000000" w:themeColor="text1"/>
        </w:rPr>
        <w:t>Figures</w:t>
      </w:r>
    </w:p>
    <w:p w14:paraId="6095AB4C" w14:textId="77777777" w:rsidR="00D47296" w:rsidRDefault="00D47296" w:rsidP="00D47296">
      <w:pPr>
        <w:suppressLineNumbers/>
        <w:spacing w:line="480" w:lineRule="auto"/>
        <w:ind w:left="270" w:hanging="270"/>
      </w:pPr>
    </w:p>
    <w:p w14:paraId="68D969C9" w14:textId="77777777" w:rsidR="00D47296" w:rsidRDefault="00D47296" w:rsidP="00D47296">
      <w:pPr>
        <w:suppressLineNumbers/>
        <w:spacing w:line="480" w:lineRule="auto"/>
        <w:ind w:left="270" w:hanging="270"/>
      </w:pPr>
    </w:p>
    <w:p w14:paraId="229F1D21" w14:textId="2565AFE0" w:rsidR="00473F14" w:rsidRDefault="00EC57DC" w:rsidP="00473F14">
      <w:pPr>
        <w:suppressLineNumbers/>
        <w:rPr>
          <w:b/>
        </w:rPr>
      </w:pPr>
      <w:r w:rsidRPr="006021ED">
        <w:rPr>
          <w:rFonts w:ascii="Calibri" w:hAnsi="Calibri" w:cs="Calibri"/>
          <w:b/>
          <w:noProof/>
          <w:sz w:val="22"/>
          <w:szCs w:val="22"/>
        </w:rPr>
        <w:lastRenderedPageBreak/>
        <w:drawing>
          <wp:inline distT="0" distB="0" distL="0" distR="0" wp14:anchorId="4918EB55" wp14:editId="600FF99D">
            <wp:extent cx="5943600" cy="5052060"/>
            <wp:effectExtent l="0" t="0" r="0" b="0"/>
            <wp:docPr id="2064892357" name="Picture 2" descr="A map of the earth and r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92357" name="Picture 2" descr="A map of the earth and rock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4D2D36A1" w14:textId="77777777" w:rsidR="00473F14" w:rsidRDefault="00473F14" w:rsidP="00473F14">
      <w:pPr>
        <w:suppressLineNumbers/>
        <w:rPr>
          <w:b/>
        </w:rPr>
      </w:pPr>
    </w:p>
    <w:p w14:paraId="5A95AECE" w14:textId="77777777" w:rsidR="00473F14" w:rsidRPr="00473F14" w:rsidRDefault="00473F14" w:rsidP="00473F14">
      <w:pPr>
        <w:suppressLineNumbers/>
        <w:jc w:val="both"/>
        <w:rPr>
          <w:rFonts w:ascii="Arial" w:hAnsi="Arial" w:cs="Arial"/>
        </w:rPr>
      </w:pPr>
      <w:r w:rsidRPr="00473F14">
        <w:rPr>
          <w:rFonts w:ascii="Arial" w:hAnsi="Arial" w:cs="Arial"/>
          <w:b/>
        </w:rPr>
        <w:t xml:space="preserve">Figure 1 </w:t>
      </w:r>
      <w:r w:rsidRPr="00473F14">
        <w:rPr>
          <w:rFonts w:ascii="Arial" w:hAnsi="Arial" w:cs="Arial"/>
        </w:rPr>
        <w:t xml:space="preserve">A. Distribution of the Los </w:t>
      </w:r>
      <w:proofErr w:type="spellStart"/>
      <w:r w:rsidRPr="00473F14">
        <w:rPr>
          <w:rFonts w:ascii="Arial" w:hAnsi="Arial" w:cs="Arial"/>
        </w:rPr>
        <w:t>Chocoyos</w:t>
      </w:r>
      <w:proofErr w:type="spellEnd"/>
      <w:r w:rsidRPr="00473F14">
        <w:rPr>
          <w:rFonts w:ascii="Arial" w:hAnsi="Arial" w:cs="Arial"/>
        </w:rPr>
        <w:t xml:space="preserve"> ash (pink) relative to Atitlan Caldera, Guatemala, with sample site at San Juan </w:t>
      </w:r>
      <w:proofErr w:type="spellStart"/>
      <w:r w:rsidRPr="00473F14">
        <w:rPr>
          <w:rFonts w:ascii="Arial" w:hAnsi="Arial" w:cs="Arial"/>
        </w:rPr>
        <w:t>Ostancalco</w:t>
      </w:r>
      <w:proofErr w:type="spellEnd"/>
      <w:r w:rsidRPr="00473F14">
        <w:rPr>
          <w:rFonts w:ascii="Arial" w:hAnsi="Arial" w:cs="Arial"/>
        </w:rPr>
        <w:t xml:space="preserve"> as yellow star (modified from Cisneros de León et al., 2021). Map is a hill shade created from a 12.5-meter resolution ALOS-PALSAR DEM. B. Isopach map of Los </w:t>
      </w:r>
      <w:proofErr w:type="spellStart"/>
      <w:r w:rsidRPr="00473F14">
        <w:rPr>
          <w:rFonts w:ascii="Arial" w:hAnsi="Arial" w:cs="Arial"/>
        </w:rPr>
        <w:t>Chocoyos</w:t>
      </w:r>
      <w:proofErr w:type="spellEnd"/>
      <w:r w:rsidRPr="00473F14">
        <w:rPr>
          <w:rFonts w:ascii="Arial" w:hAnsi="Arial" w:cs="Arial"/>
        </w:rPr>
        <w:t xml:space="preserve"> ash thickness (modified from </w:t>
      </w:r>
      <w:proofErr w:type="spellStart"/>
      <w:r w:rsidRPr="00473F14">
        <w:rPr>
          <w:rFonts w:ascii="Arial" w:hAnsi="Arial" w:cs="Arial"/>
        </w:rPr>
        <w:t>Kutterolf</w:t>
      </w:r>
      <w:proofErr w:type="spellEnd"/>
      <w:r w:rsidRPr="00473F14">
        <w:rPr>
          <w:rFonts w:ascii="Arial" w:hAnsi="Arial" w:cs="Arial"/>
        </w:rPr>
        <w:t xml:space="preserve"> et al., 2016), with location of marine sediment cores V19-29 and V19-30 (Drexler et al., 1980) and K 120 and K 127 (Kennett and Huddlestun, 1972) from which ages of 84 ka and 95 ka have been inferred, respectively, for the Los </w:t>
      </w:r>
      <w:proofErr w:type="spellStart"/>
      <w:r w:rsidRPr="00473F14">
        <w:rPr>
          <w:rFonts w:ascii="Arial" w:hAnsi="Arial" w:cs="Arial"/>
        </w:rPr>
        <w:t>Chocoyos</w:t>
      </w:r>
      <w:proofErr w:type="spellEnd"/>
      <w:r w:rsidRPr="00473F14">
        <w:rPr>
          <w:rFonts w:ascii="Arial" w:hAnsi="Arial" w:cs="Arial"/>
        </w:rPr>
        <w:t xml:space="preserve"> ash. C. Outcrop in quarry at San Juan </w:t>
      </w:r>
      <w:proofErr w:type="spellStart"/>
      <w:r w:rsidRPr="00473F14">
        <w:rPr>
          <w:rFonts w:ascii="Arial" w:hAnsi="Arial" w:cs="Arial"/>
        </w:rPr>
        <w:t>Ostancalco</w:t>
      </w:r>
      <w:proofErr w:type="spellEnd"/>
      <w:r w:rsidRPr="00473F14">
        <w:rPr>
          <w:rFonts w:ascii="Arial" w:hAnsi="Arial" w:cs="Arial"/>
        </w:rPr>
        <w:t xml:space="preserve"> sampling site (14.86747 °N, 91.61147 °E, WGS84 GPS) showing white basal airfall bed overlain by pink ignimbrite; note 30 cm hammer for scale. Photo from 1974 courtesy of Bill Rose. D. Pumice blocks from which plagioclase and zircon were separated for measurements reported here.</w:t>
      </w:r>
    </w:p>
    <w:p w14:paraId="3B5FF964" w14:textId="77777777" w:rsidR="00473F14" w:rsidRDefault="00473F14" w:rsidP="00473F14">
      <w:pPr>
        <w:suppressLineNumbers/>
        <w:rPr>
          <w:b/>
        </w:rPr>
      </w:pPr>
    </w:p>
    <w:p w14:paraId="6BEF4206" w14:textId="77777777" w:rsidR="00473F14" w:rsidRDefault="00473F14" w:rsidP="00473F14">
      <w:pPr>
        <w:suppressLineNumbers/>
        <w:rPr>
          <w:b/>
        </w:rPr>
      </w:pPr>
    </w:p>
    <w:p w14:paraId="54C4D212" w14:textId="77777777" w:rsidR="00473F14" w:rsidRDefault="00473F14" w:rsidP="00473F14">
      <w:pPr>
        <w:suppressLineNumbers/>
        <w:rPr>
          <w:b/>
        </w:rPr>
      </w:pPr>
    </w:p>
    <w:p w14:paraId="1DBBD9FA" w14:textId="77777777" w:rsidR="00473F14" w:rsidRDefault="00473F14" w:rsidP="00473F14">
      <w:pPr>
        <w:suppressLineNumbers/>
        <w:rPr>
          <w:b/>
        </w:rPr>
      </w:pPr>
    </w:p>
    <w:p w14:paraId="4AA612B4" w14:textId="77777777" w:rsidR="00473F14" w:rsidRDefault="00473F14" w:rsidP="00473F14">
      <w:pPr>
        <w:suppressLineNumbers/>
        <w:rPr>
          <w:b/>
        </w:rPr>
      </w:pPr>
    </w:p>
    <w:p w14:paraId="602856C9" w14:textId="2D40C1AF" w:rsidR="00473F14" w:rsidRDefault="00EC57DC" w:rsidP="00473F14">
      <w:pPr>
        <w:suppressLineNumbers/>
        <w:rPr>
          <w:b/>
        </w:rPr>
      </w:pPr>
      <w:r w:rsidRPr="006021ED">
        <w:rPr>
          <w:b/>
          <w:noProof/>
        </w:rPr>
        <w:lastRenderedPageBreak/>
        <w:drawing>
          <wp:inline distT="0" distB="0" distL="0" distR="0" wp14:anchorId="744785BB" wp14:editId="2EE5497B">
            <wp:extent cx="5943600" cy="1656080"/>
            <wp:effectExtent l="0" t="0" r="0" b="1270"/>
            <wp:docPr id="361617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14:paraId="06963D3B" w14:textId="77777777" w:rsidR="00473F14" w:rsidRDefault="00473F14" w:rsidP="00473F14">
      <w:pPr>
        <w:suppressLineNumbers/>
        <w:rPr>
          <w:b/>
        </w:rPr>
      </w:pPr>
    </w:p>
    <w:p w14:paraId="4CB7BC9A" w14:textId="77777777" w:rsidR="00473F14" w:rsidRPr="00473F14" w:rsidRDefault="00473F14" w:rsidP="00473F14">
      <w:pPr>
        <w:suppressLineNumbers/>
        <w:jc w:val="both"/>
        <w:rPr>
          <w:rFonts w:ascii="Arial" w:hAnsi="Arial" w:cs="Arial"/>
        </w:rPr>
      </w:pPr>
      <w:r w:rsidRPr="00473F14">
        <w:rPr>
          <w:rFonts w:ascii="Arial" w:hAnsi="Arial" w:cs="Arial"/>
          <w:b/>
        </w:rPr>
        <w:t xml:space="preserve">Figure 2. </w:t>
      </w:r>
      <w:r w:rsidRPr="00473F14">
        <w:rPr>
          <w:rFonts w:ascii="Arial" w:hAnsi="Arial" w:cs="Arial"/>
        </w:rPr>
        <w:t xml:space="preserve">North Greenland Ice Core Project (NGRIP) record of oxygen isotope variations during the last 120 ka. Heavier values indicate warm periods in grey, whereas cold periods known as </w:t>
      </w:r>
      <w:proofErr w:type="spellStart"/>
      <w:r w:rsidRPr="00473F14">
        <w:rPr>
          <w:rFonts w:ascii="Arial" w:hAnsi="Arial" w:cs="Arial"/>
        </w:rPr>
        <w:t>stadials</w:t>
      </w:r>
      <w:proofErr w:type="spellEnd"/>
      <w:r w:rsidRPr="00473F14">
        <w:rPr>
          <w:rFonts w:ascii="Arial" w:hAnsi="Arial" w:cs="Arial"/>
        </w:rPr>
        <w:t xml:space="preserve"> are in blue (Rasmussen et al., 2014). Exceptionally large known eruptions are represented as red (7&lt;M&lt;8) and black (M&gt;8) bars, whereas those with </w:t>
      </w:r>
      <w:proofErr w:type="spellStart"/>
      <w:r w:rsidRPr="00473F14">
        <w:rPr>
          <w:rFonts w:ascii="Arial" w:hAnsi="Arial" w:cs="Arial"/>
        </w:rPr>
        <w:t>radioisotopic</w:t>
      </w:r>
      <w:proofErr w:type="spellEnd"/>
      <w:r w:rsidRPr="00473F14">
        <w:rPr>
          <w:rFonts w:ascii="Arial" w:hAnsi="Arial" w:cs="Arial"/>
        </w:rPr>
        <w:t xml:space="preserve"> ages are shown with stars (Zielinski et al., 1996). The U-Th/He age proposed for the Los </w:t>
      </w:r>
      <w:proofErr w:type="spellStart"/>
      <w:r w:rsidRPr="00473F14">
        <w:rPr>
          <w:rFonts w:ascii="Arial" w:hAnsi="Arial" w:cs="Arial"/>
        </w:rPr>
        <w:t>Chocoyos</w:t>
      </w:r>
      <w:proofErr w:type="spellEnd"/>
      <w:r w:rsidRPr="00473F14">
        <w:rPr>
          <w:rFonts w:ascii="Arial" w:hAnsi="Arial" w:cs="Arial"/>
        </w:rPr>
        <w:t xml:space="preserve"> ash of Cisneros de León et al. (2021) is denoted by the white star with red outline, whereas the Los </w:t>
      </w:r>
      <w:proofErr w:type="spellStart"/>
      <w:r w:rsidRPr="00473F14">
        <w:rPr>
          <w:rFonts w:ascii="Arial" w:hAnsi="Arial" w:cs="Arial"/>
        </w:rPr>
        <w:t>Chocoyos</w:t>
      </w:r>
      <w:proofErr w:type="spellEnd"/>
      <w:r w:rsidRPr="00473F14">
        <w:rPr>
          <w:rFonts w:ascii="Arial" w:hAnsi="Arial" w:cs="Arial"/>
        </w:rPr>
        <w:t xml:space="preserve"> age determined here is denoted by the filled red star. The Youngest Toba Tuff date is from </w:t>
      </w:r>
      <w:proofErr w:type="spellStart"/>
      <w:r w:rsidRPr="00473F14">
        <w:rPr>
          <w:rFonts w:ascii="Arial" w:hAnsi="Arial" w:cs="Arial"/>
        </w:rPr>
        <w:t>Storey</w:t>
      </w:r>
      <w:proofErr w:type="spellEnd"/>
      <w:r w:rsidRPr="00473F14">
        <w:rPr>
          <w:rFonts w:ascii="Arial" w:hAnsi="Arial" w:cs="Arial"/>
        </w:rPr>
        <w:t xml:space="preserve"> et al. (2012).</w:t>
      </w:r>
    </w:p>
    <w:p w14:paraId="3FCB3451" w14:textId="77777777" w:rsidR="00473F14" w:rsidRDefault="00473F14" w:rsidP="00473F14">
      <w:pPr>
        <w:suppressLineNumbers/>
        <w:rPr>
          <w:b/>
        </w:rPr>
      </w:pPr>
    </w:p>
    <w:p w14:paraId="71A2CF21" w14:textId="77777777" w:rsidR="00473F14" w:rsidRDefault="00473F14" w:rsidP="00473F14">
      <w:pPr>
        <w:suppressLineNumbers/>
        <w:rPr>
          <w:b/>
          <w:color w:val="FF0000"/>
          <w:highlight w:val="yellow"/>
        </w:rPr>
      </w:pPr>
    </w:p>
    <w:p w14:paraId="0DF11EAD" w14:textId="77777777" w:rsidR="00473F14" w:rsidRDefault="00473F14" w:rsidP="00473F14">
      <w:pPr>
        <w:suppressLineNumbers/>
        <w:rPr>
          <w:b/>
        </w:rPr>
      </w:pPr>
      <w:r>
        <w:t xml:space="preserve"> </w:t>
      </w:r>
    </w:p>
    <w:p w14:paraId="763285B9" w14:textId="77777777" w:rsidR="00473F14" w:rsidRDefault="00473F14" w:rsidP="00473F14">
      <w:pPr>
        <w:suppressLineNumbers/>
        <w:rPr>
          <w:b/>
        </w:rPr>
      </w:pPr>
    </w:p>
    <w:p w14:paraId="0B40F0DD" w14:textId="55F641CC" w:rsidR="00473F14" w:rsidRDefault="00EC57DC" w:rsidP="00473F14">
      <w:pPr>
        <w:suppressLineNumbers/>
        <w:jc w:val="center"/>
        <w:rPr>
          <w:b/>
        </w:rPr>
      </w:pPr>
      <w:r w:rsidRPr="006021ED">
        <w:rPr>
          <w:b/>
          <w:noProof/>
        </w:rPr>
        <w:lastRenderedPageBreak/>
        <w:drawing>
          <wp:inline distT="0" distB="0" distL="0" distR="0" wp14:anchorId="63471370" wp14:editId="41C229BF">
            <wp:extent cx="5943600" cy="7209790"/>
            <wp:effectExtent l="0" t="0" r="0" b="0"/>
            <wp:docPr id="1625421602" name="Picture 6" descr="A diagram of a graph showing the formation of a cruci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1602" name="Picture 6" descr="A diagram of a graph showing the formation of a crucifor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09790"/>
                    </a:xfrm>
                    <a:prstGeom prst="rect">
                      <a:avLst/>
                    </a:prstGeom>
                    <a:noFill/>
                    <a:ln>
                      <a:noFill/>
                    </a:ln>
                  </pic:spPr>
                </pic:pic>
              </a:graphicData>
            </a:graphic>
          </wp:inline>
        </w:drawing>
      </w:r>
    </w:p>
    <w:p w14:paraId="5564FC11" w14:textId="587F83D3" w:rsidR="00473F14" w:rsidRPr="00473F14" w:rsidRDefault="00473F14" w:rsidP="00473F14">
      <w:pPr>
        <w:suppressLineNumbers/>
        <w:jc w:val="both"/>
        <w:rPr>
          <w:rFonts w:ascii="Arial" w:hAnsi="Arial" w:cs="Arial"/>
        </w:rPr>
      </w:pPr>
      <w:r w:rsidRPr="00473F14">
        <w:rPr>
          <w:rFonts w:ascii="Arial" w:hAnsi="Arial" w:cs="Arial"/>
          <w:b/>
        </w:rPr>
        <w:t>Figure</w:t>
      </w:r>
      <w:r w:rsidRPr="00481414">
        <w:rPr>
          <w:rFonts w:ascii="Arial" w:hAnsi="Arial" w:cs="Arial"/>
          <w:b/>
        </w:rPr>
        <w:t xml:space="preserve"> 3</w:t>
      </w:r>
      <w:r w:rsidRPr="00481414">
        <w:rPr>
          <w:rFonts w:ascii="Arial" w:hAnsi="Arial" w:cs="Arial"/>
        </w:rPr>
        <w:t xml:space="preserve">. </w:t>
      </w:r>
      <w:r w:rsidR="00481414" w:rsidRPr="00481414">
        <w:rPr>
          <w:rFonts w:ascii="Arial" w:hAnsi="Arial" w:cs="Arial"/>
        </w:rPr>
        <w:t xml:space="preserve">U-Th disequilibrium zircon from Cisneros de León et al. (2021) (A), </w:t>
      </w:r>
      <w:r w:rsidR="00481414" w:rsidRPr="00481414">
        <w:rPr>
          <w:rFonts w:ascii="Arial" w:hAnsi="Arial" w:cs="Arial"/>
          <w:vertAlign w:val="superscript"/>
        </w:rPr>
        <w:t>40</w:t>
      </w:r>
      <w:r w:rsidR="00481414" w:rsidRPr="00481414">
        <w:rPr>
          <w:rFonts w:ascii="Arial" w:hAnsi="Arial" w:cs="Arial"/>
        </w:rPr>
        <w:t>Ar/</w:t>
      </w:r>
      <w:r w:rsidR="00481414" w:rsidRPr="00481414">
        <w:rPr>
          <w:rFonts w:ascii="Arial" w:hAnsi="Arial" w:cs="Arial"/>
          <w:vertAlign w:val="superscript"/>
        </w:rPr>
        <w:t>39</w:t>
      </w:r>
      <w:r w:rsidR="00481414" w:rsidRPr="00481414">
        <w:rPr>
          <w:rFonts w:ascii="Arial" w:hAnsi="Arial" w:cs="Arial"/>
        </w:rPr>
        <w:t>Ar plagioclase (B) and U-Th disequilibrium zircon (C) dates from this work and U-Th/He ZDD dates from Cisneros de León et al. (2021) (D), as indicated.</w:t>
      </w:r>
      <w:r w:rsidRPr="00481414">
        <w:rPr>
          <w:rFonts w:ascii="Arial" w:hAnsi="Arial" w:cs="Arial"/>
        </w:rPr>
        <w:t xml:space="preserve"> T</w:t>
      </w:r>
      <w:r w:rsidRPr="00473F14">
        <w:rPr>
          <w:rFonts w:ascii="Arial" w:hAnsi="Arial" w:cs="Arial"/>
        </w:rPr>
        <w:t xml:space="preserve">he Bayesian estimates of eruption age for the three sets of dates are shown as vertical green, blue, and orange lines with ±2σ uncertainty envelopes. The combined Bayesian eruption age of 98 ± 6 ka </w:t>
      </w:r>
      <w:r w:rsidRPr="00473F14">
        <w:rPr>
          <w:rFonts w:ascii="Arial" w:hAnsi="Arial" w:cs="Arial"/>
        </w:rPr>
        <w:lastRenderedPageBreak/>
        <w:t>from these 308 dates is denoted as a vertical magenta line and ±2σ uncertainty envelope. The dotted gray line and uncertainty envelope indicates the O isotope-based eruption age of 84 ± 5 ka from Drexler et al. (1980). Left panel (A) is a close up of the summary ages.</w:t>
      </w:r>
    </w:p>
    <w:p w14:paraId="1E26F158" w14:textId="77777777" w:rsidR="00473F14" w:rsidRDefault="00473F14" w:rsidP="00473F14">
      <w:pPr>
        <w:suppressLineNumbers/>
        <w:jc w:val="both"/>
        <w:rPr>
          <w:rFonts w:asciiTheme="minorHAnsi" w:hAnsiTheme="minorHAnsi" w:cstheme="minorHAnsi"/>
          <w:b/>
          <w:bCs/>
        </w:rPr>
      </w:pPr>
    </w:p>
    <w:p w14:paraId="5705764A" w14:textId="77777777" w:rsidR="00473F14" w:rsidRDefault="00473F14" w:rsidP="00473F14">
      <w:pPr>
        <w:suppressLineNumbers/>
        <w:jc w:val="both"/>
        <w:rPr>
          <w:rFonts w:asciiTheme="minorHAnsi" w:hAnsiTheme="minorHAnsi" w:cstheme="minorHAnsi"/>
          <w:b/>
          <w:bCs/>
        </w:rPr>
      </w:pPr>
    </w:p>
    <w:p w14:paraId="0797CD01" w14:textId="77777777" w:rsidR="00473F14" w:rsidRDefault="00473F14" w:rsidP="00473F14">
      <w:pPr>
        <w:suppressLineNumbers/>
        <w:jc w:val="both"/>
        <w:rPr>
          <w:rFonts w:asciiTheme="minorHAnsi" w:hAnsiTheme="minorHAnsi" w:cstheme="minorHAnsi"/>
          <w:b/>
          <w:bCs/>
        </w:rPr>
      </w:pPr>
    </w:p>
    <w:p w14:paraId="65A043DA" w14:textId="77777777" w:rsidR="00473F14" w:rsidRDefault="00473F14" w:rsidP="00473F14">
      <w:pPr>
        <w:suppressLineNumbers/>
        <w:jc w:val="both"/>
        <w:rPr>
          <w:rFonts w:asciiTheme="minorHAnsi" w:hAnsiTheme="minorHAnsi" w:cstheme="minorHAnsi"/>
          <w:b/>
          <w:bCs/>
        </w:rPr>
      </w:pPr>
    </w:p>
    <w:p w14:paraId="5057EDA4" w14:textId="77777777" w:rsidR="00473F14" w:rsidRDefault="00473F14" w:rsidP="00473F14">
      <w:pPr>
        <w:suppressLineNumbers/>
        <w:jc w:val="both"/>
        <w:rPr>
          <w:rFonts w:asciiTheme="minorHAnsi" w:hAnsiTheme="minorHAnsi" w:cstheme="minorHAnsi"/>
          <w:b/>
          <w:bCs/>
        </w:rPr>
      </w:pPr>
    </w:p>
    <w:p w14:paraId="5844988C" w14:textId="6A3AF0A0" w:rsidR="00473F14" w:rsidRDefault="00EC57DC" w:rsidP="00473F14">
      <w:pPr>
        <w:suppressLineNumbers/>
        <w:jc w:val="center"/>
        <w:rPr>
          <w:rFonts w:asciiTheme="minorHAnsi" w:hAnsiTheme="minorHAnsi" w:cstheme="minorHAnsi"/>
          <w:b/>
          <w:bCs/>
        </w:rPr>
      </w:pPr>
      <w:r w:rsidRPr="00A96355">
        <w:rPr>
          <w:rFonts w:asciiTheme="minorHAnsi" w:hAnsiTheme="minorHAnsi" w:cstheme="minorHAnsi"/>
          <w:b/>
          <w:bCs/>
          <w:noProof/>
        </w:rPr>
        <w:drawing>
          <wp:anchor distT="0" distB="0" distL="114300" distR="114300" simplePos="0" relativeHeight="251663360" behindDoc="1" locked="0" layoutInCell="1" allowOverlap="1" wp14:anchorId="722E1F3C" wp14:editId="6E713D53">
            <wp:simplePos x="0" y="0"/>
            <wp:positionH relativeFrom="column">
              <wp:posOffset>0</wp:posOffset>
            </wp:positionH>
            <wp:positionV relativeFrom="paragraph">
              <wp:posOffset>185420</wp:posOffset>
            </wp:positionV>
            <wp:extent cx="5943600" cy="4638040"/>
            <wp:effectExtent l="0" t="0" r="0" b="0"/>
            <wp:wrapTight wrapText="bothSides">
              <wp:wrapPolygon edited="0">
                <wp:start x="0" y="0"/>
                <wp:lineTo x="0" y="21529"/>
                <wp:lineTo x="21554" y="21529"/>
                <wp:lineTo x="21554" y="0"/>
                <wp:lineTo x="0" y="0"/>
              </wp:wrapPolygon>
            </wp:wrapTight>
            <wp:docPr id="1579757515"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7515" name="Picture 1" descr="A graph with blue dot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14:sizeRelH relativeFrom="page">
              <wp14:pctWidth>0</wp14:pctWidth>
            </wp14:sizeRelH>
            <wp14:sizeRelV relativeFrom="page">
              <wp14:pctHeight>0</wp14:pctHeight>
            </wp14:sizeRelV>
          </wp:anchor>
        </w:drawing>
      </w:r>
    </w:p>
    <w:p w14:paraId="5A9D293F" w14:textId="77777777" w:rsidR="00473F14" w:rsidRPr="00473F14" w:rsidRDefault="00473F14" w:rsidP="00473F14">
      <w:pPr>
        <w:suppressLineNumbers/>
        <w:jc w:val="center"/>
        <w:rPr>
          <w:rFonts w:ascii="Arial" w:hAnsi="Arial" w:cs="Arial"/>
        </w:rPr>
      </w:pPr>
      <w:r w:rsidRPr="00473F14">
        <w:rPr>
          <w:rFonts w:ascii="Arial" w:hAnsi="Arial" w:cs="Arial"/>
          <w:b/>
          <w:bCs/>
        </w:rPr>
        <w:t>Figure 4</w:t>
      </w:r>
      <w:r w:rsidRPr="00473F14">
        <w:rPr>
          <w:rFonts w:ascii="Arial" w:hAnsi="Arial" w:cs="Arial"/>
        </w:rPr>
        <w:t xml:space="preserve">.  K/Ca ratio vs. apparent </w:t>
      </w:r>
      <w:r w:rsidRPr="00473F14">
        <w:rPr>
          <w:rFonts w:ascii="Arial" w:hAnsi="Arial" w:cs="Arial"/>
          <w:vertAlign w:val="superscript"/>
        </w:rPr>
        <w:t>40</w:t>
      </w:r>
      <w:r w:rsidRPr="00473F14">
        <w:rPr>
          <w:rFonts w:ascii="Arial" w:hAnsi="Arial" w:cs="Arial"/>
        </w:rPr>
        <w:t>Ar/</w:t>
      </w:r>
      <w:r w:rsidRPr="00473F14">
        <w:rPr>
          <w:rFonts w:ascii="Arial" w:hAnsi="Arial" w:cs="Arial"/>
          <w:vertAlign w:val="superscript"/>
        </w:rPr>
        <w:t>39</w:t>
      </w:r>
      <w:r w:rsidRPr="00473F14">
        <w:rPr>
          <w:rFonts w:ascii="Arial" w:hAnsi="Arial" w:cs="Arial"/>
        </w:rPr>
        <w:t xml:space="preserve">Ar age for plagioclase crystals in Los </w:t>
      </w:r>
      <w:proofErr w:type="spellStart"/>
      <w:r w:rsidRPr="00473F14">
        <w:rPr>
          <w:rFonts w:ascii="Arial" w:hAnsi="Arial" w:cs="Arial"/>
        </w:rPr>
        <w:t>Chocoyos</w:t>
      </w:r>
      <w:proofErr w:type="spellEnd"/>
      <w:r w:rsidRPr="00473F14">
        <w:rPr>
          <w:rFonts w:ascii="Arial" w:hAnsi="Arial" w:cs="Arial"/>
        </w:rPr>
        <w:t xml:space="preserve"> ash.</w:t>
      </w:r>
    </w:p>
    <w:p w14:paraId="5A442F6D" w14:textId="77777777" w:rsidR="00473F14" w:rsidRDefault="00473F14" w:rsidP="00473F14">
      <w:pPr>
        <w:suppressLineNumbers/>
        <w:jc w:val="both"/>
      </w:pPr>
      <w:r>
        <w:br w:type="page"/>
      </w:r>
    </w:p>
    <w:p w14:paraId="04DC44C3" w14:textId="77777777" w:rsidR="00473F14" w:rsidRDefault="00473F14" w:rsidP="00473F14">
      <w:pPr>
        <w:suppressLineNumbers/>
        <w:jc w:val="both"/>
      </w:pPr>
      <w:r>
        <w:lastRenderedPageBreak/>
        <w:br/>
      </w:r>
      <w:r>
        <w:br/>
      </w:r>
      <w:r>
        <w:rPr>
          <w:noProof/>
        </w:rPr>
        <w:drawing>
          <wp:anchor distT="0" distB="0" distL="114300" distR="114300" simplePos="0" relativeHeight="251660288" behindDoc="0" locked="0" layoutInCell="1" allowOverlap="1" wp14:anchorId="59671E9C" wp14:editId="640E3CFB">
            <wp:simplePos x="0" y="0"/>
            <wp:positionH relativeFrom="column">
              <wp:posOffset>-105379</wp:posOffset>
            </wp:positionH>
            <wp:positionV relativeFrom="paragraph">
              <wp:posOffset>287020</wp:posOffset>
            </wp:positionV>
            <wp:extent cx="5898515" cy="3129915"/>
            <wp:effectExtent l="0" t="0" r="0" b="0"/>
            <wp:wrapTopAndBottom/>
            <wp:docPr id="711715443" name="Picture 2" descr="A graph showing a diagram of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15443" name="Picture 2" descr="A graph showing a diagram of a red li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8515" cy="3129915"/>
                    </a:xfrm>
                    <a:prstGeom prst="rect">
                      <a:avLst/>
                    </a:prstGeom>
                  </pic:spPr>
                </pic:pic>
              </a:graphicData>
            </a:graphic>
            <wp14:sizeRelH relativeFrom="page">
              <wp14:pctWidth>0</wp14:pctWidth>
            </wp14:sizeRelH>
            <wp14:sizeRelV relativeFrom="page">
              <wp14:pctHeight>0</wp14:pctHeight>
            </wp14:sizeRelV>
          </wp:anchor>
        </w:drawing>
      </w:r>
    </w:p>
    <w:p w14:paraId="1146B05A" w14:textId="77777777" w:rsidR="00473F14" w:rsidRPr="00473F14" w:rsidRDefault="00473F14" w:rsidP="00473F14">
      <w:pPr>
        <w:suppressLineNumbers/>
        <w:jc w:val="both"/>
        <w:rPr>
          <w:rFonts w:ascii="Arial" w:hAnsi="Arial" w:cs="Arial"/>
        </w:rPr>
      </w:pPr>
      <w:r w:rsidRPr="00473F14">
        <w:rPr>
          <w:rFonts w:ascii="Arial" w:hAnsi="Arial" w:cs="Arial"/>
          <w:b/>
          <w:bCs/>
        </w:rPr>
        <w:t>Figure 5</w:t>
      </w:r>
      <w:r w:rsidRPr="00473F14">
        <w:rPr>
          <w:rFonts w:ascii="Arial" w:hAnsi="Arial" w:cs="Arial"/>
        </w:rPr>
        <w:t xml:space="preserve">.  Inverse isochron plot of data from 118 plagioclase crystals from the H-fall pumice.  The isochron shown here is for the 74 crystals that yield the youngest apparent </w:t>
      </w:r>
      <w:r w:rsidRPr="00473F14">
        <w:rPr>
          <w:rFonts w:ascii="Arial" w:hAnsi="Arial" w:cs="Arial"/>
          <w:vertAlign w:val="superscript"/>
        </w:rPr>
        <w:t>40</w:t>
      </w:r>
      <w:r w:rsidRPr="00473F14">
        <w:rPr>
          <w:rFonts w:ascii="Arial" w:hAnsi="Arial" w:cs="Arial"/>
        </w:rPr>
        <w:t>Ar/</w:t>
      </w:r>
      <w:r w:rsidRPr="00473F14">
        <w:rPr>
          <w:rFonts w:ascii="Arial" w:hAnsi="Arial" w:cs="Arial"/>
          <w:vertAlign w:val="superscript"/>
        </w:rPr>
        <w:t>39</w:t>
      </w:r>
      <w:r w:rsidRPr="00473F14">
        <w:rPr>
          <w:rFonts w:ascii="Arial" w:hAnsi="Arial" w:cs="Arial"/>
        </w:rPr>
        <w:t xml:space="preserve">Ar ages – these are shown with solid outlines on the error ellipses.  Crystals that give older apparent ages are shown with dashed error ellipses. Note that the </w:t>
      </w:r>
      <w:r w:rsidRPr="00473F14">
        <w:rPr>
          <w:rFonts w:ascii="Arial" w:hAnsi="Arial" w:cs="Arial"/>
          <w:vertAlign w:val="superscript"/>
        </w:rPr>
        <w:t>36</w:t>
      </w:r>
      <w:r w:rsidRPr="00473F14">
        <w:rPr>
          <w:rFonts w:ascii="Arial" w:hAnsi="Arial" w:cs="Arial"/>
        </w:rPr>
        <w:t>Ar/</w:t>
      </w:r>
      <w:r w:rsidRPr="00473F14">
        <w:rPr>
          <w:rFonts w:ascii="Arial" w:hAnsi="Arial" w:cs="Arial"/>
          <w:vertAlign w:val="superscript"/>
        </w:rPr>
        <w:t>40</w:t>
      </w:r>
      <w:r w:rsidRPr="00473F14">
        <w:rPr>
          <w:rFonts w:ascii="Arial" w:hAnsi="Arial" w:cs="Arial"/>
        </w:rPr>
        <w:t>Ar</w:t>
      </w:r>
      <w:r w:rsidRPr="00473F14">
        <w:rPr>
          <w:rFonts w:ascii="Arial" w:hAnsi="Arial" w:cs="Arial"/>
          <w:vertAlign w:val="subscript"/>
        </w:rPr>
        <w:t>o</w:t>
      </w:r>
      <w:r w:rsidRPr="00473F14">
        <w:rPr>
          <w:rFonts w:ascii="Arial" w:hAnsi="Arial" w:cs="Arial"/>
        </w:rPr>
        <w:t xml:space="preserve"> intercept value of 298.1 ± 1.2 is indistinguishable from the atmospheric ratio of 298.56 ± 0.62 of Lee et al. (2006).  Regression of all 118 data yields a </w:t>
      </w:r>
      <w:r w:rsidRPr="00473F14">
        <w:rPr>
          <w:rFonts w:ascii="Arial" w:hAnsi="Arial" w:cs="Arial"/>
          <w:vertAlign w:val="superscript"/>
        </w:rPr>
        <w:t>36</w:t>
      </w:r>
      <w:r w:rsidRPr="00473F14">
        <w:rPr>
          <w:rFonts w:ascii="Arial" w:hAnsi="Arial" w:cs="Arial"/>
        </w:rPr>
        <w:t>Ar/</w:t>
      </w:r>
      <w:r w:rsidRPr="00473F14">
        <w:rPr>
          <w:rFonts w:ascii="Arial" w:hAnsi="Arial" w:cs="Arial"/>
          <w:vertAlign w:val="superscript"/>
        </w:rPr>
        <w:t>40</w:t>
      </w:r>
      <w:r w:rsidRPr="00473F14">
        <w:rPr>
          <w:rFonts w:ascii="Arial" w:hAnsi="Arial" w:cs="Arial"/>
        </w:rPr>
        <w:t>Ar</w:t>
      </w:r>
      <w:r w:rsidRPr="00473F14">
        <w:rPr>
          <w:rFonts w:ascii="Arial" w:hAnsi="Arial" w:cs="Arial"/>
          <w:vertAlign w:val="subscript"/>
        </w:rPr>
        <w:t>o</w:t>
      </w:r>
      <w:r w:rsidRPr="00473F14">
        <w:rPr>
          <w:rFonts w:ascii="Arial" w:hAnsi="Arial" w:cs="Arial"/>
        </w:rPr>
        <w:t xml:space="preserve"> intercept value of 299.7 ± 0.9 that also is indistinguishable from the atmospheric ratio.</w:t>
      </w:r>
    </w:p>
    <w:p w14:paraId="5FE8396C" w14:textId="77777777" w:rsidR="00473F14" w:rsidRDefault="00473F14" w:rsidP="00473F14">
      <w:pPr>
        <w:suppressLineNumbers/>
        <w:jc w:val="both"/>
      </w:pPr>
    </w:p>
    <w:p w14:paraId="6AEFBE12" w14:textId="77777777" w:rsidR="00473F14" w:rsidRDefault="00473F14" w:rsidP="00473F14">
      <w:pPr>
        <w:suppressLineNumbers/>
        <w:jc w:val="both"/>
      </w:pPr>
    </w:p>
    <w:p w14:paraId="0A5BB094" w14:textId="77777777" w:rsidR="00473F14" w:rsidRDefault="00473F14" w:rsidP="00473F14">
      <w:pPr>
        <w:suppressLineNumbers/>
        <w:rPr>
          <w:b/>
          <w:color w:val="FF0000"/>
          <w:highlight w:val="yellow"/>
        </w:rPr>
      </w:pPr>
      <w:r>
        <w:rPr>
          <w:b/>
          <w:noProof/>
          <w:color w:val="FF0000"/>
          <w:highlight w:val="yellow"/>
        </w:rPr>
        <w:lastRenderedPageBreak/>
        <w:drawing>
          <wp:anchor distT="0" distB="0" distL="114300" distR="114300" simplePos="0" relativeHeight="251661312" behindDoc="0" locked="0" layoutInCell="1" allowOverlap="1" wp14:anchorId="1146621F" wp14:editId="7A6D3863">
            <wp:simplePos x="0" y="0"/>
            <wp:positionH relativeFrom="column">
              <wp:posOffset>777875</wp:posOffset>
            </wp:positionH>
            <wp:positionV relativeFrom="paragraph">
              <wp:posOffset>32385</wp:posOffset>
            </wp:positionV>
            <wp:extent cx="4419600" cy="5872480"/>
            <wp:effectExtent l="0" t="0" r="0" b="0"/>
            <wp:wrapTopAndBottom/>
            <wp:docPr id="428076630" name="image2.png" descr="A collage of graphs and diagrams&#10;&#10;Description automatically generated"/>
            <wp:cNvGraphicFramePr/>
            <a:graphic xmlns:a="http://schemas.openxmlformats.org/drawingml/2006/main">
              <a:graphicData uri="http://schemas.openxmlformats.org/drawingml/2006/picture">
                <pic:pic xmlns:pic="http://schemas.openxmlformats.org/drawingml/2006/picture">
                  <pic:nvPicPr>
                    <pic:cNvPr id="428076630" name="image2.png" descr="A collage of graphs and diagrams&#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419600" cy="5872480"/>
                    </a:xfrm>
                    <a:prstGeom prst="rect">
                      <a:avLst/>
                    </a:prstGeom>
                    <a:ln/>
                  </pic:spPr>
                </pic:pic>
              </a:graphicData>
            </a:graphic>
            <wp14:sizeRelH relativeFrom="page">
              <wp14:pctWidth>0</wp14:pctWidth>
            </wp14:sizeRelH>
            <wp14:sizeRelV relativeFrom="page">
              <wp14:pctHeight>0</wp14:pctHeight>
            </wp14:sizeRelV>
          </wp:anchor>
        </w:drawing>
      </w:r>
    </w:p>
    <w:p w14:paraId="7A91D0F0" w14:textId="77777777" w:rsidR="00473F14" w:rsidRDefault="00473F14" w:rsidP="00473F14">
      <w:pPr>
        <w:suppressLineNumbers/>
        <w:jc w:val="both"/>
        <w:rPr>
          <w:b/>
        </w:rPr>
      </w:pPr>
    </w:p>
    <w:p w14:paraId="470989B6" w14:textId="77777777" w:rsidR="00473F14" w:rsidRPr="00473F14" w:rsidRDefault="00473F14" w:rsidP="00473F14">
      <w:pPr>
        <w:suppressLineNumbers/>
        <w:jc w:val="both"/>
        <w:rPr>
          <w:rFonts w:ascii="Arial" w:hAnsi="Arial" w:cs="Arial"/>
        </w:rPr>
      </w:pPr>
      <w:r w:rsidRPr="00473F14">
        <w:rPr>
          <w:rFonts w:ascii="Arial" w:hAnsi="Arial" w:cs="Arial"/>
          <w:b/>
        </w:rPr>
        <w:t>Figure 6</w:t>
      </w:r>
      <w:r w:rsidRPr="00473F14">
        <w:rPr>
          <w:rFonts w:ascii="Arial" w:hAnsi="Arial" w:cs="Arial"/>
        </w:rPr>
        <w:t xml:space="preserve">.  Estimating the form of the relative closure distribution for </w:t>
      </w:r>
      <w:proofErr w:type="spellStart"/>
      <w:r w:rsidRPr="00473F14">
        <w:rPr>
          <w:rFonts w:ascii="Arial" w:hAnsi="Arial" w:cs="Arial"/>
        </w:rPr>
        <w:t>Ar</w:t>
      </w:r>
      <w:proofErr w:type="spellEnd"/>
      <w:r w:rsidRPr="00473F14">
        <w:rPr>
          <w:rFonts w:ascii="Arial" w:hAnsi="Arial" w:cs="Arial"/>
        </w:rPr>
        <w:t xml:space="preserve"> in feldspar both as a Probability Density Function (PDF, top) and Cumulative Distribution Function (CDF, bottom) from highly resolved </w:t>
      </w:r>
      <w:r w:rsidRPr="00473F14">
        <w:rPr>
          <w:rFonts w:ascii="Arial" w:hAnsi="Arial" w:cs="Arial"/>
          <w:vertAlign w:val="superscript"/>
        </w:rPr>
        <w:t>40</w:t>
      </w:r>
      <w:r w:rsidRPr="00473F14">
        <w:rPr>
          <w:rFonts w:ascii="Arial" w:hAnsi="Arial" w:cs="Arial"/>
        </w:rPr>
        <w:t>Ar/</w:t>
      </w:r>
      <w:r w:rsidRPr="00473F14">
        <w:rPr>
          <w:rFonts w:ascii="Arial" w:hAnsi="Arial" w:cs="Arial"/>
          <w:vertAlign w:val="superscript"/>
        </w:rPr>
        <w:t>39</w:t>
      </w:r>
      <w:r w:rsidRPr="00473F14">
        <w:rPr>
          <w:rFonts w:ascii="Arial" w:hAnsi="Arial" w:cs="Arial"/>
        </w:rPr>
        <w:t xml:space="preserve">Ar datasets, extending the approach of Keller et al. (2018) and van </w:t>
      </w:r>
      <w:proofErr w:type="spellStart"/>
      <w:r w:rsidRPr="00473F14">
        <w:rPr>
          <w:rFonts w:ascii="Arial" w:hAnsi="Arial" w:cs="Arial"/>
        </w:rPr>
        <w:t>Zalinge</w:t>
      </w:r>
      <w:proofErr w:type="spellEnd"/>
      <w:r w:rsidRPr="00473F14">
        <w:rPr>
          <w:rFonts w:ascii="Arial" w:hAnsi="Arial" w:cs="Arial"/>
        </w:rPr>
        <w:t xml:space="preserve"> et al. (2022). For cumulative probability, the individual CDFs of eleven highly resolved samples are shown (increasing towards younger ages, left), while for probability density individual and bootstrapped kernel density functions are shown (colored and blue lines), alongside an exponential fit representing a survivorship process (black). Both the estimated PDF and CDF take an approximately exponential form, consistent with a survivorship process. The similarity between the two distributions is expected, given that the CDF is the integral of the PDF, and the derivative of an exponential function is an exponential function.</w:t>
      </w:r>
    </w:p>
    <w:p w14:paraId="53F4F524" w14:textId="4726F6DC" w:rsidR="00473F14" w:rsidRDefault="00EC57DC" w:rsidP="00473F14">
      <w:pPr>
        <w:suppressLineNumbers/>
        <w:jc w:val="center"/>
        <w:rPr>
          <w:color w:val="FF0000"/>
        </w:rPr>
      </w:pPr>
      <w:r w:rsidRPr="006021ED">
        <w:rPr>
          <w:noProof/>
          <w:color w:val="FF0000"/>
        </w:rPr>
        <w:lastRenderedPageBreak/>
        <w:drawing>
          <wp:inline distT="0" distB="0" distL="0" distR="0" wp14:anchorId="3CD92C64" wp14:editId="2775E64B">
            <wp:extent cx="5943600" cy="7357110"/>
            <wp:effectExtent l="0" t="0" r="0" b="0"/>
            <wp:docPr id="954684713"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84713" name="Picture 8" descr="A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57110"/>
                    </a:xfrm>
                    <a:prstGeom prst="rect">
                      <a:avLst/>
                    </a:prstGeom>
                    <a:noFill/>
                    <a:ln>
                      <a:noFill/>
                    </a:ln>
                  </pic:spPr>
                </pic:pic>
              </a:graphicData>
            </a:graphic>
          </wp:inline>
        </w:drawing>
      </w:r>
    </w:p>
    <w:p w14:paraId="776D40BD" w14:textId="0C0586C4" w:rsidR="00473F14" w:rsidRPr="00473F14" w:rsidRDefault="00473F14" w:rsidP="00473F14">
      <w:pPr>
        <w:suppressLineNumbers/>
        <w:jc w:val="both"/>
        <w:rPr>
          <w:rFonts w:ascii="Arial" w:hAnsi="Arial" w:cs="Arial"/>
          <w:color w:val="000000" w:themeColor="text1"/>
        </w:rPr>
      </w:pPr>
      <w:r w:rsidRPr="00473F14">
        <w:rPr>
          <w:rFonts w:ascii="Arial" w:hAnsi="Arial" w:cs="Arial"/>
          <w:b/>
        </w:rPr>
        <w:t>Fi</w:t>
      </w:r>
      <w:r w:rsidRPr="00C15507">
        <w:rPr>
          <w:rFonts w:ascii="Arial" w:hAnsi="Arial" w:cs="Arial"/>
          <w:b/>
        </w:rPr>
        <w:t>gure 7</w:t>
      </w:r>
      <w:r w:rsidRPr="00C15507">
        <w:rPr>
          <w:rFonts w:ascii="Arial" w:hAnsi="Arial" w:cs="Arial"/>
        </w:rPr>
        <w:t xml:space="preserve">. </w:t>
      </w:r>
      <w:r w:rsidR="00C15507" w:rsidRPr="00C15507">
        <w:rPr>
          <w:rFonts w:ascii="Arial" w:hAnsi="Arial" w:cs="Arial"/>
        </w:rPr>
        <w:t>U-Th disequilibrium</w:t>
      </w:r>
      <w:r w:rsidR="00C15507" w:rsidRPr="00C15507">
        <w:rPr>
          <w:rFonts w:ascii="Arial" w:hAnsi="Arial" w:cs="Arial"/>
          <w:vertAlign w:val="superscript"/>
        </w:rPr>
        <w:t xml:space="preserve"> </w:t>
      </w:r>
      <w:r w:rsidR="00C15507" w:rsidRPr="00C15507">
        <w:rPr>
          <w:rFonts w:ascii="Arial" w:hAnsi="Arial" w:cs="Arial"/>
        </w:rPr>
        <w:t xml:space="preserve">zircon and </w:t>
      </w:r>
      <w:r w:rsidR="00C15507" w:rsidRPr="00C15507">
        <w:rPr>
          <w:rFonts w:ascii="Arial" w:hAnsi="Arial" w:cs="Arial"/>
          <w:vertAlign w:val="superscript"/>
        </w:rPr>
        <w:t>40</w:t>
      </w:r>
      <w:r w:rsidR="00C15507" w:rsidRPr="00C15507">
        <w:rPr>
          <w:rFonts w:ascii="Arial" w:hAnsi="Arial" w:cs="Arial"/>
        </w:rPr>
        <w:t>Ar/</w:t>
      </w:r>
      <w:r w:rsidR="00C15507" w:rsidRPr="00C15507">
        <w:rPr>
          <w:rFonts w:ascii="Arial" w:hAnsi="Arial" w:cs="Arial"/>
          <w:vertAlign w:val="superscript"/>
        </w:rPr>
        <w:t>39</w:t>
      </w:r>
      <w:r w:rsidR="00C15507" w:rsidRPr="00C15507">
        <w:rPr>
          <w:rFonts w:ascii="Arial" w:hAnsi="Arial" w:cs="Arial"/>
        </w:rPr>
        <w:t xml:space="preserve">Ar sanidine dates from </w:t>
      </w:r>
      <w:proofErr w:type="spellStart"/>
      <w:r w:rsidR="00C15507" w:rsidRPr="00C15507">
        <w:rPr>
          <w:rFonts w:ascii="Arial" w:hAnsi="Arial" w:cs="Arial"/>
        </w:rPr>
        <w:t>Mucek</w:t>
      </w:r>
      <w:proofErr w:type="spellEnd"/>
      <w:r w:rsidR="00C15507" w:rsidRPr="00C15507">
        <w:rPr>
          <w:rFonts w:ascii="Arial" w:hAnsi="Arial" w:cs="Arial"/>
        </w:rPr>
        <w:t xml:space="preserve"> et al. (2017) (A), Tierney et al. (2019) (B), </w:t>
      </w:r>
      <w:proofErr w:type="spellStart"/>
      <w:r w:rsidR="00C15507" w:rsidRPr="00C15507">
        <w:rPr>
          <w:rFonts w:ascii="Arial" w:hAnsi="Arial" w:cs="Arial"/>
        </w:rPr>
        <w:t>Storey</w:t>
      </w:r>
      <w:proofErr w:type="spellEnd"/>
      <w:r w:rsidR="00C15507" w:rsidRPr="00C15507">
        <w:rPr>
          <w:rFonts w:ascii="Arial" w:hAnsi="Arial" w:cs="Arial"/>
        </w:rPr>
        <w:t xml:space="preserve"> et al. (2012) (C), </w:t>
      </w:r>
      <w:proofErr w:type="spellStart"/>
      <w:r w:rsidR="00C15507" w:rsidRPr="00C15507">
        <w:rPr>
          <w:rFonts w:ascii="Arial" w:hAnsi="Arial" w:cs="Arial"/>
        </w:rPr>
        <w:t>Mucek</w:t>
      </w:r>
      <w:proofErr w:type="spellEnd"/>
      <w:r w:rsidR="00C15507" w:rsidRPr="00C15507">
        <w:rPr>
          <w:rFonts w:ascii="Arial" w:hAnsi="Arial" w:cs="Arial"/>
        </w:rPr>
        <w:t xml:space="preserve"> et al. (2021) (D), as indicated.</w:t>
      </w:r>
      <w:r w:rsidRPr="00473F14">
        <w:rPr>
          <w:rFonts w:ascii="Arial" w:hAnsi="Arial" w:cs="Arial"/>
          <w:color w:val="000000" w:themeColor="text1"/>
        </w:rPr>
        <w:t xml:space="preserve"> The Bayesian estimates of eruption age for the three sets of dates are shown as vertical green, blue, orange, and red lines with ±2σ uncertainty envelopes. The combined </w:t>
      </w:r>
      <w:r w:rsidRPr="00473F14">
        <w:rPr>
          <w:rFonts w:ascii="Arial" w:hAnsi="Arial" w:cs="Arial"/>
          <w:color w:val="000000" w:themeColor="text1"/>
        </w:rPr>
        <w:lastRenderedPageBreak/>
        <w:t>Bayesian eruption age of 72.4 ± 1.3 ka from these 331 dates is denoted as a vertical magenta line and ±2σ uncertainty envelope. Left panel (A) is a close up of the summary ages.</w:t>
      </w:r>
    </w:p>
    <w:p w14:paraId="35598A9F" w14:textId="77777777" w:rsidR="00473F14" w:rsidRPr="004D4E12" w:rsidRDefault="00473F14" w:rsidP="00473F14">
      <w:pPr>
        <w:suppressLineNumbers/>
        <w:jc w:val="both"/>
        <w:rPr>
          <w:color w:val="FF0000"/>
        </w:rPr>
      </w:pPr>
    </w:p>
    <w:p w14:paraId="5C3A654A" w14:textId="12EBB3AD" w:rsidR="00473F14" w:rsidRDefault="00473F14" w:rsidP="00473F14">
      <w:pPr>
        <w:suppressLineNumbers/>
      </w:pPr>
    </w:p>
    <w:p w14:paraId="474CB581" w14:textId="77777777" w:rsidR="00473F14" w:rsidRDefault="00473F14" w:rsidP="00473F14">
      <w:pPr>
        <w:suppressLineNumbers/>
      </w:pPr>
    </w:p>
    <w:p w14:paraId="64DBE5BC" w14:textId="77777777" w:rsidR="00473F14" w:rsidRDefault="00473F14" w:rsidP="00473F14">
      <w:pPr>
        <w:suppressLineNumbers/>
      </w:pPr>
    </w:p>
    <w:p w14:paraId="7AC25550" w14:textId="77777777" w:rsidR="00D47296" w:rsidRPr="004D4E12" w:rsidRDefault="00D47296" w:rsidP="00D47296">
      <w:pPr>
        <w:suppressLineNumbers/>
        <w:jc w:val="both"/>
        <w:rPr>
          <w:color w:val="FF0000"/>
        </w:rPr>
      </w:pPr>
    </w:p>
    <w:p w14:paraId="4E9AFDC1" w14:textId="6A6EDAAC" w:rsidR="00BE1EC3" w:rsidRPr="00BE1EC3" w:rsidRDefault="00BE1EC3" w:rsidP="00D47296">
      <w:pPr>
        <w:spacing w:line="360" w:lineRule="auto"/>
        <w:rPr>
          <w:rFonts w:ascii="Arial" w:hAnsi="Arial" w:cs="Arial"/>
          <w:b/>
          <w:bCs/>
          <w:color w:val="000000" w:themeColor="text1"/>
        </w:rPr>
      </w:pPr>
    </w:p>
    <w:p w14:paraId="2B05B2ED" w14:textId="265E936E" w:rsidR="00BE1EC3" w:rsidRPr="00BE1EC3" w:rsidRDefault="00BE1EC3" w:rsidP="00BE1EC3">
      <w:pPr>
        <w:spacing w:line="360" w:lineRule="auto"/>
        <w:jc w:val="center"/>
        <w:rPr>
          <w:rFonts w:ascii="Arial" w:hAnsi="Arial" w:cs="Arial"/>
          <w:b/>
          <w:bCs/>
          <w:color w:val="000000" w:themeColor="text1"/>
        </w:rPr>
      </w:pPr>
      <w:r w:rsidRPr="00BE1EC3">
        <w:rPr>
          <w:rFonts w:ascii="Arial" w:hAnsi="Arial" w:cs="Arial"/>
          <w:b/>
          <w:bCs/>
          <w:noProof/>
          <w:color w:val="000000" w:themeColor="text1"/>
        </w:rPr>
        <w:drawing>
          <wp:inline distT="0" distB="0" distL="0" distR="0" wp14:anchorId="7F1FC44C" wp14:editId="0A35E4BC">
            <wp:extent cx="5943600" cy="2133600"/>
            <wp:effectExtent l="0" t="0" r="0" b="0"/>
            <wp:docPr id="586284694" name="Picture 9" descr="A graph of 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84694" name="Picture 9" descr="A graph of a graph of a number of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14ADF176" w14:textId="77777777" w:rsidR="00BE1EC3" w:rsidRPr="00BE1EC3" w:rsidRDefault="00BE1EC3" w:rsidP="00BE1EC3">
      <w:pPr>
        <w:spacing w:line="360" w:lineRule="auto"/>
        <w:jc w:val="center"/>
        <w:rPr>
          <w:rFonts w:ascii="Arial" w:hAnsi="Arial" w:cs="Arial"/>
          <w:b/>
          <w:bCs/>
          <w:color w:val="000000" w:themeColor="text1"/>
        </w:rPr>
      </w:pPr>
    </w:p>
    <w:p w14:paraId="7014FAA8" w14:textId="74C3C2C7" w:rsidR="00BE1EC3" w:rsidRPr="00BE1EC3" w:rsidRDefault="00BE1EC3" w:rsidP="00D47296">
      <w:pPr>
        <w:spacing w:line="360" w:lineRule="auto"/>
        <w:jc w:val="both"/>
        <w:rPr>
          <w:rFonts w:ascii="Arial" w:hAnsi="Arial" w:cs="Arial"/>
          <w:color w:val="000000" w:themeColor="text1"/>
        </w:rPr>
      </w:pPr>
      <w:r w:rsidRPr="00BE1EC3">
        <w:rPr>
          <w:rFonts w:ascii="Arial" w:hAnsi="Arial" w:cs="Arial"/>
          <w:b/>
          <w:bCs/>
          <w:color w:val="000000" w:themeColor="text1"/>
        </w:rPr>
        <w:t xml:space="preserve">Figure </w:t>
      </w:r>
      <w:r w:rsidR="00D47296">
        <w:rPr>
          <w:rFonts w:ascii="Arial" w:hAnsi="Arial" w:cs="Arial"/>
          <w:b/>
          <w:bCs/>
          <w:color w:val="000000" w:themeColor="text1"/>
        </w:rPr>
        <w:t>8</w:t>
      </w:r>
      <w:r w:rsidRPr="00BE1EC3">
        <w:rPr>
          <w:rFonts w:ascii="Arial" w:hAnsi="Arial" w:cs="Arial"/>
          <w:b/>
          <w:bCs/>
          <w:color w:val="000000" w:themeColor="text1"/>
        </w:rPr>
        <w:t xml:space="preserve">.  </w:t>
      </w:r>
      <w:r w:rsidRPr="00BE1EC3">
        <w:rPr>
          <w:rFonts w:ascii="Arial" w:hAnsi="Arial" w:cs="Arial"/>
          <w:color w:val="000000" w:themeColor="text1"/>
        </w:rPr>
        <w:t>The influence of the accuracy of analytical uncertainties on Bayesian eruption age estimates. A synthetic dataset is shown, with N=64 analyses drawn from a uniform crystallization distribution alongside Gaussian analytical uncertainty, with the duration of the uniform crystallization distribution equal to twice the standard deviation of the analytical Gaussian (</w:t>
      </w:r>
      <w:proofErr w:type="spellStart"/>
      <w:r w:rsidRPr="00BE1EC3">
        <w:rPr>
          <w:rFonts w:ascii="Arial" w:hAnsi="Arial" w:cs="Arial"/>
          <w:color w:val="000000" w:themeColor="text1"/>
        </w:rPr>
        <w:t>Δt</w:t>
      </w:r>
      <w:proofErr w:type="spellEnd"/>
      <w:r w:rsidRPr="00BE1EC3">
        <w:rPr>
          <w:rFonts w:ascii="Arial" w:hAnsi="Arial" w:cs="Arial"/>
          <w:color w:val="000000" w:themeColor="text1"/>
        </w:rPr>
        <w:t>/σ = 2). Underestimation of analytical uncertainties leads to younger Bayesian eruption estimates, while overestimation of analytical uncertainties leads to Bayesian eruption estimates that more closely approach a weighted mean. The weighted mean retains a larger relative error in both cases however, as underestimation of analytical uncertainties leads to further underestimation of the weighted mean uncertainty, while in the case of overestimation of uncertainty the Bayesian estimate will always remain younger (and thus closer to the true eruption age) than the weighted mean. </w:t>
      </w:r>
    </w:p>
    <w:p w14:paraId="7739EC73" w14:textId="77777777" w:rsidR="00D47296" w:rsidRDefault="00D47296" w:rsidP="00D47296">
      <w:pPr>
        <w:spacing w:line="360" w:lineRule="auto"/>
        <w:jc w:val="center"/>
        <w:rPr>
          <w:rFonts w:ascii="Arial" w:hAnsi="Arial" w:cs="Arial"/>
          <w:b/>
          <w:bCs/>
          <w:color w:val="000000" w:themeColor="text1"/>
        </w:rPr>
      </w:pPr>
    </w:p>
    <w:p w14:paraId="0430E0C2" w14:textId="77777777" w:rsidR="00D47296" w:rsidRDefault="00D47296" w:rsidP="00D47296">
      <w:pPr>
        <w:suppressLineNumbers/>
      </w:pPr>
      <w:r>
        <w:rPr>
          <w:noProof/>
        </w:rPr>
        <w:lastRenderedPageBreak/>
        <w:drawing>
          <wp:inline distT="114300" distB="114300" distL="114300" distR="114300" wp14:anchorId="449C7689" wp14:editId="417C436E">
            <wp:extent cx="5943600" cy="3352800"/>
            <wp:effectExtent l="0" t="0" r="0" b="0"/>
            <wp:docPr id="1438473209" name="image4.png"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1438473209" name="image4.png" descr="A screenshot of a test&#10;&#10;Description automatically generated"/>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622B1205" w14:textId="77777777" w:rsidR="00D47296" w:rsidRDefault="00D47296" w:rsidP="00D47296">
      <w:pPr>
        <w:suppressLineNumbers/>
      </w:pPr>
    </w:p>
    <w:p w14:paraId="295F35B7" w14:textId="77777777" w:rsidR="00D47296" w:rsidRDefault="00D47296" w:rsidP="00D47296">
      <w:pPr>
        <w:suppressLineNumbers/>
      </w:pPr>
    </w:p>
    <w:p w14:paraId="3920D6E2" w14:textId="47432D9E" w:rsidR="00BE1EC3" w:rsidRPr="00BE1EC3" w:rsidRDefault="00BE1EC3" w:rsidP="00D47296">
      <w:pPr>
        <w:spacing w:line="360" w:lineRule="auto"/>
        <w:jc w:val="center"/>
        <w:rPr>
          <w:rFonts w:ascii="Arial" w:hAnsi="Arial" w:cs="Arial"/>
          <w:b/>
          <w:bCs/>
          <w:color w:val="000000" w:themeColor="text1"/>
        </w:rPr>
      </w:pPr>
      <w:r w:rsidRPr="00BE1EC3">
        <w:rPr>
          <w:rFonts w:ascii="Arial" w:hAnsi="Arial" w:cs="Arial"/>
          <w:b/>
          <w:bCs/>
          <w:color w:val="000000" w:themeColor="text1"/>
        </w:rPr>
        <w:br/>
      </w:r>
    </w:p>
    <w:p w14:paraId="7EE1E05F" w14:textId="7DB3C9A5" w:rsidR="0046494C" w:rsidRDefault="0046494C" w:rsidP="00BE1EC3">
      <w:pPr>
        <w:spacing w:line="360" w:lineRule="auto"/>
        <w:jc w:val="center"/>
      </w:pPr>
    </w:p>
    <w:sectPr w:rsidR="00464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B3"/>
    <w:rsid w:val="00015C52"/>
    <w:rsid w:val="00020DB9"/>
    <w:rsid w:val="001A69B3"/>
    <w:rsid w:val="001E4146"/>
    <w:rsid w:val="00281BB9"/>
    <w:rsid w:val="00417738"/>
    <w:rsid w:val="0046494C"/>
    <w:rsid w:val="00473F14"/>
    <w:rsid w:val="00481414"/>
    <w:rsid w:val="005E7F8D"/>
    <w:rsid w:val="0069443C"/>
    <w:rsid w:val="007020CA"/>
    <w:rsid w:val="00BE1EC3"/>
    <w:rsid w:val="00C15507"/>
    <w:rsid w:val="00C93C5C"/>
    <w:rsid w:val="00D47296"/>
    <w:rsid w:val="00D73817"/>
    <w:rsid w:val="00D76C0A"/>
    <w:rsid w:val="00E15713"/>
    <w:rsid w:val="00E6703E"/>
    <w:rsid w:val="00EC57DC"/>
    <w:rsid w:val="00F337C8"/>
    <w:rsid w:val="00FF7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8DEB"/>
  <w15:chartTrackingRefBased/>
  <w15:docId w15:val="{3E8547F5-5C3B-4E0F-91F2-1E3FDDBE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B3"/>
    <w:pPr>
      <w:suppressAutoHyphens/>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1A69B3"/>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rPr>
  </w:style>
  <w:style w:type="character" w:styleId="Hyperlink">
    <w:name w:val="Hyperlink"/>
    <w:basedOn w:val="DefaultParagraphFont"/>
    <w:uiPriority w:val="99"/>
    <w:unhideWhenUsed/>
    <w:rsid w:val="00694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15847">
      <w:bodyDiv w:val="1"/>
      <w:marLeft w:val="0"/>
      <w:marRight w:val="0"/>
      <w:marTop w:val="0"/>
      <w:marBottom w:val="0"/>
      <w:divBdr>
        <w:top w:val="none" w:sz="0" w:space="0" w:color="auto"/>
        <w:left w:val="none" w:sz="0" w:space="0" w:color="auto"/>
        <w:bottom w:val="none" w:sz="0" w:space="0" w:color="auto"/>
        <w:right w:val="none" w:sz="0" w:space="0" w:color="auto"/>
      </w:divBdr>
    </w:div>
    <w:div w:id="735275357">
      <w:bodyDiv w:val="1"/>
      <w:marLeft w:val="0"/>
      <w:marRight w:val="0"/>
      <w:marTop w:val="0"/>
      <w:marBottom w:val="0"/>
      <w:divBdr>
        <w:top w:val="none" w:sz="0" w:space="0" w:color="auto"/>
        <w:left w:val="none" w:sz="0" w:space="0" w:color="auto"/>
        <w:bottom w:val="none" w:sz="0" w:space="0" w:color="auto"/>
        <w:right w:val="none" w:sz="0" w:space="0" w:color="auto"/>
      </w:divBdr>
    </w:div>
    <w:div w:id="212410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ggr.12238" TargetMode="External"/><Relationship Id="rId13" Type="http://schemas.openxmlformats.org/officeDocument/2006/relationships/hyperlink" Target="https://doi.org/10.1016/s0016-7037(99)00204-5" TargetMode="External"/><Relationship Id="rId18" Type="http://schemas.openxmlformats.org/officeDocument/2006/relationships/image" Target="media/image1.jpeg"/><Relationship Id="rId26"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https://doi.org/10.1002/jqs.3265" TargetMode="External"/><Relationship Id="rId12" Type="http://schemas.openxmlformats.org/officeDocument/2006/relationships/hyperlink" Target="https://doi.org/10.1016/j.gca.2006.06.1563" TargetMode="External"/><Relationship Id="rId17" Type="http://schemas.openxmlformats.org/officeDocument/2006/relationships/hyperlink" Target="https://doi.org/10.1038/s41586-022-04921-9" TargetMode="External"/><Relationship Id="rId25"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hyperlink" Target="https://doi.org/10.1017/jfm.2018.382" TargetMode="External"/><Relationship Id="rId20" Type="http://schemas.openxmlformats.org/officeDocument/2006/relationships/image" Target="media/image3.jpeg"/><Relationship Id="rId1" Type="http://schemas.openxmlformats.org/officeDocument/2006/relationships/styles" Target="styles.xml"/><Relationship Id="rId6" Type="http://schemas.openxmlformats.org/officeDocument/2006/relationships/hyperlink" Target="https://doi.org/10.1016/j.epsl.2013.04.006" TargetMode="External"/><Relationship Id="rId11" Type="http://schemas.openxmlformats.org/officeDocument/2006/relationships/hyperlink" Target="https://doi.org/10.7185/geochemlet.1826" TargetMode="External"/><Relationship Id="rId24" Type="http://schemas.openxmlformats.org/officeDocument/2006/relationships/image" Target="media/image7.jpeg"/><Relationship Id="rId5" Type="http://schemas.openxmlformats.org/officeDocument/2006/relationships/hyperlink" Target="https://doi.org/10.1016/j.jvolgeores.2021.107276" TargetMode="External"/><Relationship Id="rId15" Type="http://schemas.openxmlformats.org/officeDocument/2006/relationships/hyperlink" Target="https://doi.org/10.1016/j.jvolgeores.2006.07.005"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s://doi.org/10.1016/j.chemgeo.2016.03.024" TargetMode="External"/><Relationship Id="rId19" Type="http://schemas.openxmlformats.org/officeDocument/2006/relationships/image" Target="media/image2.jpeg"/><Relationship Id="rId4" Type="http://schemas.openxmlformats.org/officeDocument/2006/relationships/hyperlink" Target="https://doi.org/10.1029/2018jb016418" TargetMode="External"/><Relationship Id="rId9" Type="http://schemas.openxmlformats.org/officeDocument/2006/relationships/hyperlink" Target="https://doi.org/10.1130/g24017a.1" TargetMode="External"/><Relationship Id="rId14" Type="http://schemas.openxmlformats.org/officeDocument/2006/relationships/hyperlink" Target="https://doi.org/10.1016/j.chemgeo.2022.120753" TargetMode="External"/><Relationship Id="rId22" Type="http://schemas.openxmlformats.org/officeDocument/2006/relationships/image" Target="media/image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2787</Words>
  <Characters>15891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JOHN BAUDRY</dc:creator>
  <cp:keywords/>
  <dc:description/>
  <cp:lastModifiedBy>Alec Baudry</cp:lastModifiedBy>
  <cp:revision>16</cp:revision>
  <dcterms:created xsi:type="dcterms:W3CDTF">2024-04-16T19:16:00Z</dcterms:created>
  <dcterms:modified xsi:type="dcterms:W3CDTF">2024-10-14T19:11:00Z</dcterms:modified>
</cp:coreProperties>
</file>