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85378163"/>
        <w:docPartObj>
          <w:docPartGallery w:val="Cover Pages"/>
          <w:docPartUnique/>
        </w:docPartObj>
      </w:sdtPr>
      <w:sdtEndPr>
        <w:rPr>
          <w:b/>
          <w:lang w:val="es-CR"/>
        </w:rPr>
      </w:sdtEndPr>
      <w:sdtContent>
        <w:p w:rsidR="00F333E4" w:rsidRDefault="00462F12">
          <w:pPr>
            <w:rPr>
              <w:lang w:val="es-ES"/>
            </w:rPr>
          </w:pPr>
          <w:r>
            <w:rPr>
              <w:noProof/>
              <w:lang w:eastAsia="es-CR"/>
            </w:rPr>
            <w:pict>
              <v:rect id="_x0000_s1028" style="position:absolute;margin-left:16.75pt;margin-top:20.3pt;width:576.55pt;height:89.6pt;z-index:251663360;mso-position-horizontal-relative:page;mso-position-vertical-relative:page;v-text-anchor:middle" fillcolor="#e36c0a [2409]" stroked="f">
                <v:textbox style="mso-next-textbox:#_x0000_s1028" inset="18pt,,18pt">
                  <w:txbxContent>
                    <w:p w:rsidR="00F333E4" w:rsidRPr="00F333E4" w:rsidRDefault="00462F12" w:rsidP="00F333E4">
                      <w:pPr>
                        <w:pStyle w:val="Sinespaciado"/>
                        <w:jc w:val="center"/>
                        <w:rPr>
                          <w:b/>
                          <w:smallCaps/>
                          <w:color w:val="FFFFFF" w:themeColor="background1"/>
                          <w:sz w:val="44"/>
                          <w:szCs w:val="44"/>
                        </w:rPr>
                      </w:pPr>
                      <w:sdt>
                        <w:sdtPr>
                          <w:rPr>
                            <w:b/>
                            <w:smallCaps/>
                            <w:color w:val="FFFFFF" w:themeColor="background1"/>
                            <w:sz w:val="76"/>
                            <w:szCs w:val="76"/>
                          </w:rPr>
                          <w:alias w:val="Organización"/>
                          <w:id w:val="8537835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F333E4" w:rsidRPr="00FB50E1">
                            <w:rPr>
                              <w:b/>
                              <w:smallCaps/>
                              <w:color w:val="FFFFFF" w:themeColor="background1"/>
                              <w:sz w:val="76"/>
                              <w:szCs w:val="76"/>
                            </w:rPr>
                            <w:t>ESPECIALIZACIÓN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</w:p>
        <w:p w:rsidR="00F333E4" w:rsidRDefault="00FB50E1">
          <w:pPr>
            <w:rPr>
              <w:lang w:val="es-ES"/>
            </w:rPr>
          </w:pPr>
          <w:r>
            <w:rPr>
              <w:noProof/>
              <w:lang w:eastAsia="es-CR"/>
            </w:rPr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91440</wp:posOffset>
                </wp:positionV>
                <wp:extent cx="5619750" cy="4894476"/>
                <wp:effectExtent l="19050" t="0" r="0" b="0"/>
                <wp:wrapNone/>
                <wp:docPr id="3" name="Imagen 4" descr="http://www.insoft.com.gt/images/areas_de_especializaci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www.insoft.com.gt/images/areas_de_especializacio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0" cy="4894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462F12">
            <w:rPr>
              <w:noProof/>
              <w:lang w:eastAsia="es-CR"/>
            </w:rPr>
            <w:pict>
              <v:rect id="_x0000_s1034" style="position:absolute;margin-left:366.15pt;margin-top:16.6pt;width:143pt;height:366.1pt;z-index:251662335;mso-position-horizontal-relative:text;mso-position-vertical-relative:text" fillcolor="#4bacc6 [3208]" strokecolor="#f2f2f2 [3041]" strokeweight="3pt">
                <v:shadow on="t" type="perspective" color="#205867 [1608]" opacity=".5" offset="1pt" offset2="-1pt"/>
                <v:textbox style="mso-next-textbox:#_x0000_s1034">
                  <w:txbxContent>
                    <w:p w:rsidR="00FB50E1" w:rsidRDefault="00FB50E1" w:rsidP="00FB50E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:rsidR="00FB50E1" w:rsidRDefault="00FB50E1" w:rsidP="00FB50E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:rsidR="00FB50E1" w:rsidRPr="00FB50E1" w:rsidRDefault="00FB50E1" w:rsidP="00FB50E1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FB50E1" w:rsidRPr="00FB50E1" w:rsidRDefault="00FB50E1" w:rsidP="00FB50E1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FB50E1">
                        <w:rPr>
                          <w:b/>
                          <w:sz w:val="44"/>
                          <w:szCs w:val="44"/>
                        </w:rPr>
                        <w:t>Profesionales en aduanas y comercio exterior</w:t>
                      </w:r>
                    </w:p>
                  </w:txbxContent>
                </v:textbox>
              </v:rect>
            </w:pict>
          </w:r>
        </w:p>
        <w:p w:rsidR="00F333E4" w:rsidRDefault="00462F12">
          <w:pPr>
            <w:rPr>
              <w:b/>
            </w:rPr>
          </w:pPr>
          <w:r>
            <w:rPr>
              <w:b/>
              <w:noProof/>
              <w:lang w:eastAsia="es-CR"/>
            </w:rPr>
            <w:pict>
              <v:rect id="_x0000_s1035" style="position:absolute;margin-left:-67.7pt;margin-top:413.85pt;width:575.95pt;height:197pt;z-index:251670528" fillcolor="#4bacc6 [3208]" strokecolor="#f2f2f2 [3041]" strokeweight="3pt">
                <v:shadow on="t" type="perspective" color="#205867 [1608]" opacity=".5" offset="1pt" offset2="-1pt"/>
                <v:textbox style="mso-next-textbox:#_x0000_s1035">
                  <w:txbxContent>
                    <w:sdt>
                      <w:sdtPr>
                        <w:rPr>
                          <w:rFonts w:ascii="Arial Narrow" w:eastAsiaTheme="majorEastAsia" w:hAnsi="Arial Narrow" w:cs="Times New Roman"/>
                          <w:b/>
                          <w:color w:val="FFFFFF" w:themeColor="background1"/>
                          <w:sz w:val="88"/>
                          <w:szCs w:val="88"/>
                          <w:lang w:val="es-ES"/>
                        </w:rPr>
                        <w:alias w:val="Título"/>
                        <w:id w:val="50691192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F333E4" w:rsidRPr="00477191" w:rsidRDefault="00477191" w:rsidP="00FB50E1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622423" w:themeColor="accent2" w:themeShade="7F"/>
                              <w:sz w:val="88"/>
                              <w:szCs w:val="88"/>
                              <w:lang w:val="es-ES"/>
                            </w:rPr>
                          </w:pPr>
                          <w:r w:rsidRPr="00477191">
                            <w:rPr>
                              <w:rFonts w:ascii="Arial Narrow" w:eastAsiaTheme="majorEastAsia" w:hAnsi="Arial Narrow" w:cs="Times New Roman"/>
                              <w:b/>
                              <w:color w:val="FFFFFF" w:themeColor="background1"/>
                              <w:sz w:val="88"/>
                              <w:szCs w:val="88"/>
                              <w:lang w:val="es-ES"/>
                            </w:rPr>
                            <w:t>Normas de origen en el marco de los</w:t>
                          </w:r>
                          <w:r w:rsidR="000A2B2D" w:rsidRPr="00477191">
                            <w:rPr>
                              <w:rFonts w:ascii="Arial Narrow" w:eastAsiaTheme="majorEastAsia" w:hAnsi="Arial Narrow" w:cs="Times New Roman"/>
                              <w:b/>
                              <w:color w:val="FFFFFF" w:themeColor="background1"/>
                              <w:sz w:val="88"/>
                              <w:szCs w:val="88"/>
                              <w:lang w:val="es-ES"/>
                            </w:rPr>
                            <w:t xml:space="preserve"> Tratados de libre comercio vigentes en CR</w:t>
                          </w:r>
                        </w:p>
                      </w:sdtContent>
                    </w:sdt>
                    <w:p w:rsidR="00F333E4" w:rsidRPr="00F333E4" w:rsidRDefault="00F333E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w:r>
          <w:r>
            <w:rPr>
              <w:b/>
              <w:noProof/>
              <w:lang w:eastAsia="es-CR"/>
            </w:rPr>
            <w:pict>
              <v:rect id="_x0000_s1037" style="position:absolute;margin-left:-67.7pt;margin-top:612.35pt;width:576.55pt;height:35.85pt;z-index:251672576;v-text-anchor:middle" fillcolor="white [3201]" strokecolor="#f79646 [3209]" strokeweight="2.5pt">
                <v:shadow color="#868686"/>
                <v:textbox style="mso-next-textbox:#_x0000_s1037">
                  <w:txbxContent>
                    <w:sdt>
                      <w:sdtPr>
                        <w:rPr>
                          <w:b/>
                          <w:smallCaps/>
                          <w:spacing w:val="60"/>
                          <w:sz w:val="40"/>
                          <w:szCs w:val="40"/>
                        </w:rPr>
                        <w:alias w:val="Dirección"/>
                        <w:id w:val="85378358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F333E4" w:rsidRPr="00FB50E1" w:rsidRDefault="00FB50E1">
                          <w:pPr>
                            <w:pStyle w:val="Sinespaciado"/>
                            <w:jc w:val="center"/>
                            <w:rPr>
                              <w:smallCaps/>
                              <w:spacing w:val="60"/>
                              <w:sz w:val="28"/>
                              <w:szCs w:val="28"/>
                            </w:rPr>
                          </w:pPr>
                          <w:r w:rsidRPr="00FB50E1">
                            <w:rPr>
                              <w:b/>
                              <w:smallCaps/>
                              <w:spacing w:val="60"/>
                              <w:sz w:val="40"/>
                              <w:szCs w:val="40"/>
                            </w:rPr>
                            <w:t xml:space="preserve">universidad </w:t>
                          </w:r>
                          <w:proofErr w:type="spellStart"/>
                          <w:r w:rsidRPr="00FB50E1">
                            <w:rPr>
                              <w:b/>
                              <w:smallCaps/>
                              <w:spacing w:val="60"/>
                              <w:sz w:val="40"/>
                              <w:szCs w:val="40"/>
                            </w:rPr>
                            <w:t>braulio</w:t>
                          </w:r>
                          <w:proofErr w:type="spellEnd"/>
                          <w:r w:rsidRPr="00FB50E1">
                            <w:rPr>
                              <w:b/>
                              <w:smallCaps/>
                              <w:spacing w:val="60"/>
                              <w:sz w:val="40"/>
                              <w:szCs w:val="40"/>
                            </w:rPr>
                            <w:t xml:space="preserve"> carrillo</w:t>
                          </w:r>
                        </w:p>
                      </w:sdtContent>
                    </w:sdt>
                  </w:txbxContent>
                </v:textbox>
              </v:rect>
            </w:pict>
          </w:r>
          <w:r>
            <w:rPr>
              <w:b/>
              <w:noProof/>
              <w:color w:val="E36C0A" w:themeColor="accent6" w:themeShade="BF"/>
              <w:lang w:eastAsia="es-CR"/>
            </w:rPr>
            <w:pict>
              <v:rect id="_x0000_s1032" style="position:absolute;margin-left:366.15pt;margin-top:358.65pt;width:143.05pt;height:53.7pt;z-index:251667456;v-text-anchor:middle" fillcolor="#e36c0a [2409]" strokecolor="#f2f2f2 [3041]" strokeweight="3pt">
                <v:shadow on="t" type="perspective" color="#974706 [1609]" opacity=".5" offset="1pt" offset2="-1pt"/>
                <v:textbox style="mso-next-textbox:#_x0000_s1032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56"/>
                          <w:szCs w:val="56"/>
                        </w:rPr>
                        <w:alias w:val="Año"/>
                        <w:id w:val="8537850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1-01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F333E4" w:rsidRDefault="00FD229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DBE5F1" w:themeColor="accent1" w:themeTint="33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2017</w:t>
                          </w:r>
                        </w:p>
                      </w:sdtContent>
                    </w:sdt>
                  </w:txbxContent>
                </v:textbox>
              </v:rect>
            </w:pict>
          </w:r>
          <w:r>
            <w:rPr>
              <w:b/>
              <w:noProof/>
              <w:color w:val="E36C0A" w:themeColor="accent6" w:themeShade="BF"/>
              <w:lang w:eastAsia="es-CR"/>
            </w:rPr>
            <w:pict>
              <v:rect id="_x0000_s1031" style="position:absolute;margin-left:221.55pt;margin-top:358.65pt;width:143.05pt;height:53.7pt;z-index:251666432" fillcolor="#e36c0a [2409]" strokecolor="#f2f2f2 [3041]" strokeweight="3pt">
                <v:shadow on="t" type="perspective" color="#974706 [1609]" opacity=".5" offset="1pt" offset2="-1pt"/>
              </v:rect>
            </w:pict>
          </w:r>
          <w:r>
            <w:rPr>
              <w:b/>
              <w:noProof/>
              <w:color w:val="E36C0A" w:themeColor="accent6" w:themeShade="BF"/>
              <w:lang w:eastAsia="es-CR"/>
            </w:rPr>
            <w:pict>
              <v:rect id="_x0000_s1030" style="position:absolute;margin-left:76.9pt;margin-top:358.65pt;width:143.05pt;height:53.7pt;z-index:251665408" fillcolor="#e36c0a [2409]" strokecolor="#f2f2f2 [3041]" strokeweight="3pt">
                <v:shadow on="t" type="perspective" color="#974706 [1609]" opacity=".5" offset="1pt" offset2="-1pt"/>
              </v:rect>
            </w:pict>
          </w:r>
          <w:r>
            <w:rPr>
              <w:b/>
              <w:noProof/>
              <w:color w:val="E36C0A" w:themeColor="accent6" w:themeShade="BF"/>
              <w:lang w:eastAsia="es-CR"/>
            </w:rPr>
            <w:pict>
              <v:rect id="_x0000_s1029" style="position:absolute;margin-left:-67.7pt;margin-top:358.65pt;width:143.05pt;height:53.7pt;z-index:251664384" fillcolor="#e36c0a [2409]" strokecolor="#f2f2f2 [3041]" strokeweight="3pt">
                <v:shadow on="t" type="perspective" color="#974706 [1609]" opacity=".5" offset="1pt" offset2="-1pt"/>
              </v:rect>
            </w:pict>
          </w:r>
          <w:r w:rsidR="00F333E4">
            <w:rPr>
              <w:b/>
            </w:rPr>
            <w:br w:type="page"/>
          </w:r>
        </w:p>
      </w:sdtContent>
    </w:sdt>
    <w:p w:rsidR="00F47E46" w:rsidRPr="00F47E46" w:rsidRDefault="00F47E46" w:rsidP="00F47E46">
      <w:pPr>
        <w:pStyle w:val="Sinespaciado"/>
        <w:jc w:val="center"/>
        <w:rPr>
          <w:b/>
          <w:sz w:val="40"/>
          <w:szCs w:val="40"/>
        </w:rPr>
      </w:pPr>
      <w:r w:rsidRPr="00F47E46">
        <w:rPr>
          <w:b/>
          <w:sz w:val="40"/>
          <w:szCs w:val="40"/>
        </w:rPr>
        <w:lastRenderedPageBreak/>
        <w:t>UNIVERSIDAD BRAULIO CARRILLO</w:t>
      </w:r>
    </w:p>
    <w:p w:rsidR="00F47E46" w:rsidRPr="00F47E46" w:rsidRDefault="00F47E46" w:rsidP="00F47E46">
      <w:pPr>
        <w:pStyle w:val="Sinespaciado"/>
        <w:jc w:val="center"/>
        <w:rPr>
          <w:b/>
        </w:rPr>
      </w:pPr>
      <w:r w:rsidRPr="00F47E46">
        <w:rPr>
          <w:b/>
        </w:rPr>
        <w:t>ESPECIALIZACIÓN EN NORMAS DE ORIGEN EN EL MARCO DE LOS</w:t>
      </w:r>
    </w:p>
    <w:p w:rsidR="00F47E46" w:rsidRDefault="00F47E46" w:rsidP="00F47E46">
      <w:pPr>
        <w:pStyle w:val="Sinespaciado"/>
        <w:jc w:val="center"/>
        <w:rPr>
          <w:b/>
        </w:rPr>
      </w:pPr>
      <w:r w:rsidRPr="00F47E46">
        <w:rPr>
          <w:b/>
        </w:rPr>
        <w:t>TRATADOS DE LIBRE COMERCIO VIGENTES EN CR</w:t>
      </w:r>
    </w:p>
    <w:p w:rsidR="00F47E46" w:rsidRPr="00F47E46" w:rsidRDefault="00F47E46" w:rsidP="00F47E46">
      <w:pPr>
        <w:pStyle w:val="Sinespaciado"/>
        <w:jc w:val="center"/>
        <w:rPr>
          <w:b/>
        </w:rPr>
      </w:pPr>
    </w:p>
    <w:p w:rsidR="00767494" w:rsidRPr="00C75586" w:rsidRDefault="00462F12" w:rsidP="00C75586">
      <w:pPr>
        <w:pStyle w:val="Sinespaciado"/>
        <w:spacing w:line="276" w:lineRule="auto"/>
        <w:jc w:val="both"/>
      </w:pPr>
      <w:r>
        <w:pict>
          <v:rect id="_x0000_s1038" style="position:absolute;left:0;text-align:left;margin-left:104.9pt;margin-top:60.75pt;width:518.35pt;height:41.5pt;flip:x;z-index:251675648;mso-wrap-distance-top:7.2pt;mso-wrap-distance-bottom:10.8pt;mso-position-horizontal-relative:page;mso-position-vertical-relative:page" o:allowincell="f" fillcolor="#4bacc6 [3208]" stroked="f" strokecolor="white [3212]" strokeweight="1.5pt">
            <v:shadow on="t" color="#e36c0a [2409]" offset="-80pt,-36pt" offset2="-148pt,-60pt"/>
            <v:textbox style="mso-next-textbox:#_x0000_s1038;mso-fit-shape-to-text:t" inset="36pt,0,10.8pt,0">
              <w:txbxContent>
                <w:p w:rsidR="00C75586" w:rsidRPr="00C75586" w:rsidRDefault="00C75586" w:rsidP="00C75586">
                  <w:pPr>
                    <w:pStyle w:val="Prrafodelista"/>
                    <w:pBdr>
                      <w:top w:val="single" w:sz="18" w:space="5" w:color="FFFFFF" w:themeColor="background1"/>
                      <w:left w:val="single" w:sz="18" w:space="10" w:color="FFFFFF" w:themeColor="background1"/>
                      <w:right w:val="single" w:sz="48" w:space="30" w:color="9BBB59" w:themeColor="accent3"/>
                    </w:pBdr>
                    <w:shd w:val="clear" w:color="auto" w:fill="4BACC6" w:themeFill="accent5"/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color w:val="FFFFFF" w:themeColor="background1"/>
                      <w:sz w:val="36"/>
                      <w:szCs w:val="36"/>
                      <w:lang w:val="es-ES"/>
                    </w:rPr>
                  </w:pPr>
                  <w:r w:rsidRPr="00C75586"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color w:val="FFFFFF" w:themeColor="background1"/>
                      <w:sz w:val="36"/>
                      <w:szCs w:val="36"/>
                      <w:lang w:val="es-ES"/>
                    </w:rPr>
                    <w:t>Descripción de la especialización</w:t>
                  </w:r>
                </w:p>
              </w:txbxContent>
            </v:textbox>
            <w10:wrap type="square" anchorx="page" anchory="page"/>
          </v:rect>
        </w:pict>
      </w:r>
      <w:r w:rsidR="00767494" w:rsidRPr="00767494">
        <w:t>Producto del crecimiento actual del comercio internacional y de la gran cantidad de Tratados de Libre Comercio vigentes en Costa Rica, nace esta especialización en materia de origen, a través de la cual, se busca que los profesionales vinculados en el área de aduanas y comercio, puedan comprender de mejor forma los alcances de esta materia bajo los Acuerdos Comerciales, las diferencias entre cada uno de ellos, y por supuesto, disponer de un mejor criterio técnico y especializado en cuanto a la toma de decisión sobre el cumplimiento del origen de una mercancía.</w:t>
      </w:r>
    </w:p>
    <w:p w:rsidR="00767494" w:rsidRPr="00767494" w:rsidRDefault="00767494" w:rsidP="000C06C6">
      <w:pPr>
        <w:pStyle w:val="Sinespaciado"/>
        <w:spacing w:line="276" w:lineRule="auto"/>
        <w:jc w:val="both"/>
      </w:pPr>
    </w:p>
    <w:p w:rsidR="00767494" w:rsidRDefault="00767494" w:rsidP="000C06C6">
      <w:pPr>
        <w:pStyle w:val="Sinespaciado"/>
        <w:spacing w:line="276" w:lineRule="auto"/>
        <w:jc w:val="both"/>
      </w:pPr>
      <w:r w:rsidRPr="00767494">
        <w:t>Lo anterior se logrará, por medio de información útil, reciente y actualizada, facilitada por los docentes que han sido previamente seleccionados tomando en cuenta su relación diaria con la temátic</w:t>
      </w:r>
      <w:r w:rsidR="007B1F37">
        <w:t>a abordada en cada uno de los 9</w:t>
      </w:r>
      <w:r w:rsidRPr="00767494">
        <w:t xml:space="preserve"> módulos que conforman la especialización; así como el uso de herramientas, recursos, técnicas y resolución de casos prácticos que permitan el intercambio de criterios entre todos los participantes.</w:t>
      </w:r>
    </w:p>
    <w:p w:rsidR="00C75586" w:rsidRDefault="00D76C67" w:rsidP="00C75586">
      <w:pPr>
        <w:pStyle w:val="Sinespaciado"/>
        <w:spacing w:line="276" w:lineRule="auto"/>
        <w:ind w:left="720"/>
        <w:rPr>
          <w:b/>
        </w:rPr>
      </w:pPr>
      <w:r>
        <w:rPr>
          <w:b/>
          <w:noProof/>
          <w:lang w:eastAsia="es-C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4349115</wp:posOffset>
            </wp:positionH>
            <wp:positionV relativeFrom="paragraph">
              <wp:posOffset>151765</wp:posOffset>
            </wp:positionV>
            <wp:extent cx="1231265" cy="809625"/>
            <wp:effectExtent l="38100" t="0" r="26035" b="238125"/>
            <wp:wrapSquare wrapText="bothSides"/>
            <wp:docPr id="7" name="Imagen 7" descr="http://epicqueen.com/wp-content/uploads/2014/07/WOMEN-IN-TE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picqueen.com/wp-content/uploads/2014/07/WOMEN-IN-TEC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809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7120E5" w:rsidRPr="00B04114" w:rsidRDefault="007120E5" w:rsidP="00B04114">
      <w:pPr>
        <w:pStyle w:val="Sinespaciado"/>
        <w:numPr>
          <w:ilvl w:val="0"/>
          <w:numId w:val="1"/>
        </w:numPr>
        <w:spacing w:line="276" w:lineRule="auto"/>
        <w:jc w:val="both"/>
        <w:rPr>
          <w:b/>
        </w:rPr>
      </w:pPr>
      <w:r w:rsidRPr="000C06C6">
        <w:rPr>
          <w:b/>
        </w:rPr>
        <w:t>Objetivo general:</w:t>
      </w:r>
      <w:r w:rsidR="00B04114">
        <w:rPr>
          <w:b/>
        </w:rPr>
        <w:t xml:space="preserve"> </w:t>
      </w:r>
      <w:r>
        <w:t>Crear capacidades analíticas en los profesionales de aduanas y comercio en la aplicación, determinación y verificación de las normas de origen de las mercancías bajo los</w:t>
      </w:r>
      <w:r w:rsidR="00563E11">
        <w:t xml:space="preserve"> Tratados de Libre Comercio</w:t>
      </w:r>
      <w:r>
        <w:t xml:space="preserve"> vigentes en Costa Rica</w:t>
      </w:r>
    </w:p>
    <w:p w:rsidR="007120E5" w:rsidRDefault="007120E5" w:rsidP="007120E5">
      <w:pPr>
        <w:pStyle w:val="Sinespaciado"/>
        <w:spacing w:line="276" w:lineRule="auto"/>
      </w:pPr>
    </w:p>
    <w:p w:rsidR="007120E5" w:rsidRPr="00477191" w:rsidRDefault="007120E5" w:rsidP="007120E5">
      <w:pPr>
        <w:pStyle w:val="Sinespaciado"/>
        <w:numPr>
          <w:ilvl w:val="0"/>
          <w:numId w:val="1"/>
        </w:numPr>
        <w:spacing w:line="276" w:lineRule="auto"/>
        <w:rPr>
          <w:b/>
        </w:rPr>
      </w:pPr>
      <w:r w:rsidRPr="000C06C6">
        <w:rPr>
          <w:b/>
        </w:rPr>
        <w:t>Objetivos específicos:</w:t>
      </w:r>
    </w:p>
    <w:p w:rsidR="007120E5" w:rsidRDefault="007120E5" w:rsidP="00477191">
      <w:pPr>
        <w:pStyle w:val="Sinespaciado"/>
        <w:numPr>
          <w:ilvl w:val="0"/>
          <w:numId w:val="3"/>
        </w:numPr>
        <w:spacing w:line="276" w:lineRule="auto"/>
        <w:jc w:val="both"/>
      </w:pPr>
      <w:r>
        <w:t>Conocer la importancia de las normas de origen en el comercio internacional de mercancías bajo los Acuerdos Comerciales</w:t>
      </w:r>
    </w:p>
    <w:p w:rsidR="007120E5" w:rsidRDefault="007120E5" w:rsidP="00477191">
      <w:pPr>
        <w:pStyle w:val="Sinespaciado"/>
        <w:numPr>
          <w:ilvl w:val="0"/>
          <w:numId w:val="3"/>
        </w:numPr>
        <w:spacing w:line="276" w:lineRule="auto"/>
        <w:jc w:val="both"/>
      </w:pPr>
      <w:r>
        <w:t>Comprender la estructura de un Tratado de Libre Comercio o Acuerdo Comercial, específicamente en el tema relacionado con origen de las mercancías</w:t>
      </w:r>
    </w:p>
    <w:p w:rsidR="007120E5" w:rsidRDefault="007120E5" w:rsidP="00477191">
      <w:pPr>
        <w:pStyle w:val="Sinespaciado"/>
        <w:numPr>
          <w:ilvl w:val="0"/>
          <w:numId w:val="3"/>
        </w:numPr>
        <w:spacing w:line="276" w:lineRule="auto"/>
        <w:jc w:val="both"/>
      </w:pPr>
      <w:r>
        <w:t>Aplicar adecuadamente una regla de origen específica</w:t>
      </w:r>
      <w:r w:rsidR="00B04114" w:rsidRPr="00B04114">
        <w:t xml:space="preserve"> </w:t>
      </w:r>
    </w:p>
    <w:p w:rsidR="007120E5" w:rsidRDefault="007120E5" w:rsidP="00477191">
      <w:pPr>
        <w:pStyle w:val="Sinespaciado"/>
        <w:numPr>
          <w:ilvl w:val="0"/>
          <w:numId w:val="3"/>
        </w:numPr>
        <w:spacing w:line="276" w:lineRule="auto"/>
        <w:jc w:val="both"/>
      </w:pPr>
      <w:r>
        <w:t>Identificar o</w:t>
      </w:r>
      <w:r w:rsidR="00677FEE">
        <w:t>tras normas que pueden afectar el otorgamiento de preferencias arancelarias a una mercancía originaria</w:t>
      </w:r>
    </w:p>
    <w:p w:rsidR="00477191" w:rsidRDefault="00477191" w:rsidP="00477191">
      <w:pPr>
        <w:pStyle w:val="Sinespaciado"/>
        <w:numPr>
          <w:ilvl w:val="0"/>
          <w:numId w:val="3"/>
        </w:numPr>
        <w:spacing w:line="276" w:lineRule="auto"/>
        <w:jc w:val="both"/>
      </w:pPr>
      <w:r>
        <w:t>Brindar recomendaciones prácticas para las empresas, con respecto a sus obligaciones como exportadores o importadores</w:t>
      </w:r>
    </w:p>
    <w:p w:rsidR="00677FEE" w:rsidRDefault="003F4E36" w:rsidP="00477191">
      <w:pPr>
        <w:pStyle w:val="Sinespaciado"/>
        <w:numPr>
          <w:ilvl w:val="0"/>
          <w:numId w:val="3"/>
        </w:numPr>
        <w:spacing w:line="276" w:lineRule="auto"/>
        <w:jc w:val="both"/>
      </w:pPr>
      <w:r>
        <w:t>Conocer las etapas</w:t>
      </w:r>
      <w:r w:rsidR="00677FEE">
        <w:t xml:space="preserve"> </w:t>
      </w:r>
      <w:r>
        <w:t xml:space="preserve">y partes involucradas de </w:t>
      </w:r>
      <w:r w:rsidR="00677FEE">
        <w:t>un procedimiento d</w:t>
      </w:r>
      <w:r>
        <w:t>e verificación de origen</w:t>
      </w:r>
      <w:r w:rsidR="00677FEE">
        <w:t xml:space="preserve"> </w:t>
      </w:r>
    </w:p>
    <w:p w:rsidR="00677FEE" w:rsidRDefault="00677FEE" w:rsidP="00477191">
      <w:pPr>
        <w:pStyle w:val="Sinespaciado"/>
        <w:numPr>
          <w:ilvl w:val="0"/>
          <w:numId w:val="3"/>
        </w:numPr>
        <w:spacing w:line="276" w:lineRule="auto"/>
        <w:jc w:val="both"/>
      </w:pPr>
      <w:r>
        <w:t>Comprender los aspectos claves o elementales durante un proceso de litigio, producto de una denegación de origen bajo un Acuerdo Comercial</w:t>
      </w:r>
    </w:p>
    <w:p w:rsidR="00F333E4" w:rsidRDefault="00F333E4" w:rsidP="00477191">
      <w:pPr>
        <w:pStyle w:val="Sinespaciado"/>
        <w:numPr>
          <w:ilvl w:val="0"/>
          <w:numId w:val="3"/>
        </w:numPr>
        <w:spacing w:line="276" w:lineRule="auto"/>
        <w:jc w:val="both"/>
      </w:pPr>
      <w:r>
        <w:t>Comprender el análisis realizado desde ambos puntos de vista: público y privado</w:t>
      </w:r>
    </w:p>
    <w:p w:rsidR="00477191" w:rsidRDefault="00677FEE" w:rsidP="007B1F37">
      <w:pPr>
        <w:pStyle w:val="Sinespaciado"/>
        <w:numPr>
          <w:ilvl w:val="0"/>
          <w:numId w:val="3"/>
        </w:numPr>
        <w:spacing w:line="276" w:lineRule="auto"/>
        <w:jc w:val="both"/>
      </w:pPr>
      <w:r>
        <w:t>Identificar las mejores prácticas en materia de origen de las mercancías</w:t>
      </w:r>
    </w:p>
    <w:p w:rsidR="000C06C6" w:rsidRPr="00477191" w:rsidRDefault="00F47E46" w:rsidP="00477191">
      <w:pPr>
        <w:pStyle w:val="Sinespaciado"/>
        <w:numPr>
          <w:ilvl w:val="0"/>
          <w:numId w:val="1"/>
        </w:numPr>
        <w:spacing w:line="276" w:lineRule="auto"/>
        <w:rPr>
          <w:b/>
        </w:rPr>
      </w:pPr>
      <w:r>
        <w:rPr>
          <w:b/>
          <w:noProof/>
          <w:lang w:eastAsia="es-CR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3453765</wp:posOffset>
            </wp:positionH>
            <wp:positionV relativeFrom="paragraph">
              <wp:posOffset>176530</wp:posOffset>
            </wp:positionV>
            <wp:extent cx="2286000" cy="742950"/>
            <wp:effectExtent l="0" t="0" r="0" b="0"/>
            <wp:wrapSquare wrapText="bothSides"/>
            <wp:docPr id="17" name="Imagen 17" descr="http://www.thechatbook.com/bundles/moovityfrontend/images/inicio/dudas/du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thechatbook.com/bundles/moovityfrontend/images/inicio/dudas/duda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ECECEC"/>
                        </a:clrFrom>
                        <a:clrTo>
                          <a:srgbClr val="ECECEC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06C6">
        <w:rPr>
          <w:b/>
        </w:rPr>
        <w:t>Perfil de entrada</w:t>
      </w:r>
    </w:p>
    <w:p w:rsidR="0028288F" w:rsidRDefault="00401BA3" w:rsidP="0028288F">
      <w:pPr>
        <w:pStyle w:val="Sinespaciado"/>
        <w:spacing w:line="276" w:lineRule="auto"/>
        <w:jc w:val="both"/>
      </w:pPr>
      <w:r>
        <w:t xml:space="preserve">Para </w:t>
      </w:r>
      <w:r w:rsidR="0028288F">
        <w:t>ingresar a la especialización se requiere disponer de un título de grado en administración de aduanas, comercio exterior, negocios internacionales, o similares, donde se demuestre conocimiento base en materia de origen de las mercancías.</w:t>
      </w:r>
    </w:p>
    <w:p w:rsidR="00F47E46" w:rsidRDefault="00F47E46" w:rsidP="0028288F">
      <w:pPr>
        <w:pStyle w:val="Sinespaciado"/>
        <w:spacing w:line="276" w:lineRule="auto"/>
        <w:jc w:val="both"/>
      </w:pPr>
    </w:p>
    <w:p w:rsidR="000C06C6" w:rsidRPr="00477191" w:rsidRDefault="000C06C6" w:rsidP="00477191">
      <w:pPr>
        <w:pStyle w:val="Sinespaciado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Perfil de salida</w:t>
      </w:r>
    </w:p>
    <w:p w:rsidR="000C06C6" w:rsidRDefault="006B25ED" w:rsidP="000C06C6">
      <w:pPr>
        <w:pStyle w:val="Sinespaciado"/>
        <w:spacing w:line="276" w:lineRule="auto"/>
        <w:jc w:val="both"/>
      </w:pPr>
      <w:r>
        <w:t xml:space="preserve">Los profesionales que cursen esta especialización, </w:t>
      </w:r>
      <w:r w:rsidR="00767494">
        <w:t>podrán</w:t>
      </w:r>
      <w:r>
        <w:t>:</w:t>
      </w:r>
      <w:r w:rsidR="00B235D5" w:rsidRPr="00B235D5">
        <w:t xml:space="preserve"> </w:t>
      </w:r>
    </w:p>
    <w:p w:rsidR="006B25ED" w:rsidRDefault="006B25ED" w:rsidP="000C06C6">
      <w:pPr>
        <w:pStyle w:val="Sinespaciado"/>
        <w:spacing w:line="276" w:lineRule="auto"/>
        <w:jc w:val="both"/>
      </w:pPr>
      <w:r>
        <w:t xml:space="preserve">- </w:t>
      </w:r>
      <w:r w:rsidR="00C5464C">
        <w:t>Disponer de un m</w:t>
      </w:r>
      <w:r>
        <w:t xml:space="preserve">ejor criterio para </w:t>
      </w:r>
      <w:r w:rsidR="00F47E46">
        <w:t>la toma de decisiones sobre</w:t>
      </w:r>
      <w:r>
        <w:t xml:space="preserve"> origen de la mercancía</w:t>
      </w:r>
    </w:p>
    <w:p w:rsidR="006B25ED" w:rsidRDefault="006B25ED" w:rsidP="000C06C6">
      <w:pPr>
        <w:pStyle w:val="Sinespaciado"/>
        <w:spacing w:line="276" w:lineRule="auto"/>
        <w:jc w:val="both"/>
      </w:pPr>
      <w:r>
        <w:t xml:space="preserve">- </w:t>
      </w:r>
      <w:r w:rsidR="00C5464C">
        <w:t>Conocer herramientas y recurso útiles en el análisis y determinación del origen de las mercancías bajo los Tratados de Libre Comercio vigentes en Costa Rica</w:t>
      </w:r>
    </w:p>
    <w:p w:rsidR="00C5464C" w:rsidRDefault="00C5464C" w:rsidP="000C06C6">
      <w:pPr>
        <w:pStyle w:val="Sinespaciado"/>
        <w:spacing w:line="276" w:lineRule="auto"/>
        <w:jc w:val="both"/>
      </w:pPr>
      <w:r>
        <w:t>- Observa</w:t>
      </w:r>
      <w:r w:rsidR="00767494">
        <w:t>r</w:t>
      </w:r>
      <w:r>
        <w:t xml:space="preserve"> con más cuidado aspectos relacionados con las normas de origen</w:t>
      </w:r>
    </w:p>
    <w:p w:rsidR="00767494" w:rsidRDefault="00C5464C" w:rsidP="000C06C6">
      <w:pPr>
        <w:pStyle w:val="Sinespaciado"/>
        <w:spacing w:line="276" w:lineRule="auto"/>
        <w:jc w:val="both"/>
      </w:pPr>
      <w:r>
        <w:t>- Comprender de forma más amplia las implicaciones positivas y negativas</w:t>
      </w:r>
      <w:r w:rsidR="00767494">
        <w:t xml:space="preserve"> de denegación del origen de una mercancía bajo un Acuerdo Comercial</w:t>
      </w:r>
    </w:p>
    <w:p w:rsidR="00767494" w:rsidRDefault="00767494" w:rsidP="000C06C6">
      <w:pPr>
        <w:pStyle w:val="Sinespaciado"/>
        <w:spacing w:line="276" w:lineRule="auto"/>
        <w:jc w:val="both"/>
      </w:pPr>
      <w:r>
        <w:t xml:space="preserve">- Conocer la posición del Tribunal Aduanero </w:t>
      </w:r>
      <w:r w:rsidR="00F47E46">
        <w:t>Nacional sobre</w:t>
      </w:r>
      <w:r>
        <w:t xml:space="preserve"> </w:t>
      </w:r>
      <w:r w:rsidR="00F47E46">
        <w:t xml:space="preserve">el tema de </w:t>
      </w:r>
      <w:r>
        <w:t>origen de las mercancías</w:t>
      </w:r>
    </w:p>
    <w:p w:rsidR="00C5464C" w:rsidRDefault="00767494" w:rsidP="000C06C6">
      <w:pPr>
        <w:pStyle w:val="Sinespaciado"/>
        <w:spacing w:line="276" w:lineRule="auto"/>
        <w:jc w:val="both"/>
      </w:pPr>
      <w:r>
        <w:t>- Cumplir la normativa sobre origen establecida en los TLC vigentes en Costa Rica</w:t>
      </w:r>
    </w:p>
    <w:p w:rsidR="00767494" w:rsidRPr="006B25ED" w:rsidRDefault="00767494" w:rsidP="000C06C6">
      <w:pPr>
        <w:pStyle w:val="Sinespaciado"/>
        <w:spacing w:line="276" w:lineRule="auto"/>
        <w:jc w:val="both"/>
      </w:pPr>
      <w:r>
        <w:t>- Identificar mejores prácticas comerciales relacionadas con la determinación del origen de las mercancías y los Acuerdo Comerciales</w:t>
      </w:r>
    </w:p>
    <w:p w:rsidR="006B25ED" w:rsidRDefault="006B25ED" w:rsidP="000C06C6">
      <w:pPr>
        <w:pStyle w:val="Sinespaciado"/>
        <w:spacing w:line="276" w:lineRule="auto"/>
        <w:jc w:val="both"/>
        <w:rPr>
          <w:b/>
        </w:rPr>
      </w:pPr>
    </w:p>
    <w:p w:rsidR="000C06C6" w:rsidRPr="00F47E46" w:rsidRDefault="000C06C6" w:rsidP="000C06C6">
      <w:pPr>
        <w:pStyle w:val="Sinespaciado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Metodología</w:t>
      </w:r>
    </w:p>
    <w:p w:rsidR="00E7171F" w:rsidRDefault="006B25ED" w:rsidP="000C06C6">
      <w:pPr>
        <w:pStyle w:val="Sinespaciado"/>
        <w:spacing w:line="276" w:lineRule="auto"/>
        <w:jc w:val="both"/>
      </w:pPr>
      <w:r>
        <w:t>De acuerdo a las tendencias modernas en educación, esta especialización ha sido diseñada con el fin de crear conocimiento a través de tres pilares, a saber, sesiones magistrales, casos prácticos e intercambio de opiniones entre los participantes (mesas redondas o círculos de trabajo). Esta metodología permitirá al profesional adquirir información reciente y actualizada, conocer el criterio del facilitador, compañeros, colegas y a su vez emitir sus propias opiniones en cada uno de los diez módulos.</w:t>
      </w:r>
      <w:r w:rsidR="00E7171F">
        <w:t xml:space="preserve"> Cada módulo tendrá una duración de cuatro sesiones (1 por semana) de 3 horas cada sesión</w:t>
      </w:r>
      <w:r w:rsidR="00D76C67">
        <w:t xml:space="preserve"> y se brindará un sábado libre al finalizar cada sesión</w:t>
      </w:r>
      <w:r w:rsidR="00E7171F">
        <w:t xml:space="preserve">. </w:t>
      </w:r>
    </w:p>
    <w:p w:rsidR="000C06C6" w:rsidRDefault="000C06C6" w:rsidP="000C06C6">
      <w:pPr>
        <w:pStyle w:val="Sinespaciado"/>
        <w:spacing w:line="276" w:lineRule="auto"/>
        <w:jc w:val="both"/>
        <w:rPr>
          <w:b/>
        </w:rPr>
      </w:pPr>
    </w:p>
    <w:p w:rsidR="00677FEE" w:rsidRPr="00F47E46" w:rsidRDefault="00F47E46" w:rsidP="00677FEE">
      <w:pPr>
        <w:pStyle w:val="Sinespaciado"/>
        <w:numPr>
          <w:ilvl w:val="0"/>
          <w:numId w:val="1"/>
        </w:numPr>
        <w:spacing w:line="276" w:lineRule="auto"/>
        <w:rPr>
          <w:b/>
        </w:rPr>
      </w:pPr>
      <w:r>
        <w:rPr>
          <w:b/>
          <w:noProof/>
          <w:lang w:eastAsia="es-C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4692015</wp:posOffset>
            </wp:positionH>
            <wp:positionV relativeFrom="paragraph">
              <wp:posOffset>128270</wp:posOffset>
            </wp:positionV>
            <wp:extent cx="923925" cy="923925"/>
            <wp:effectExtent l="19050" t="0" r="9525" b="0"/>
            <wp:wrapSquare wrapText="bothSides"/>
            <wp:docPr id="10" name="Imagen 10" descr="C:\Users\Willian\Documents\My Dropbox\fotos shutterstock (1)\puzzle\shutterstock_71932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llian\Documents\My Dropbox\fotos shutterstock (1)\puzzle\shutterstock_7193263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7FEE" w:rsidRPr="000C06C6">
        <w:rPr>
          <w:b/>
        </w:rPr>
        <w:t>Módulos del programa</w:t>
      </w:r>
    </w:p>
    <w:p w:rsidR="000C06C6" w:rsidRPr="003F4E36" w:rsidRDefault="000C06C6" w:rsidP="00575AA1">
      <w:pPr>
        <w:pStyle w:val="Sinespaciado"/>
        <w:numPr>
          <w:ilvl w:val="0"/>
          <w:numId w:val="4"/>
        </w:numPr>
        <w:spacing w:line="276" w:lineRule="auto"/>
        <w:jc w:val="both"/>
      </w:pPr>
      <w:r w:rsidRPr="003F4E36">
        <w:t>Comercio internacional y Tratados de Libre Come</w:t>
      </w:r>
      <w:r w:rsidR="00563E11" w:rsidRPr="003F4E36">
        <w:t>rcio</w:t>
      </w:r>
      <w:r w:rsidR="00477191" w:rsidRPr="003F4E36">
        <w:t xml:space="preserve"> negociados por Costa Rica</w:t>
      </w:r>
    </w:p>
    <w:p w:rsidR="00477191" w:rsidRPr="003F4E36" w:rsidRDefault="00477191" w:rsidP="00575AA1">
      <w:pPr>
        <w:pStyle w:val="Sinespaciado"/>
        <w:numPr>
          <w:ilvl w:val="0"/>
          <w:numId w:val="4"/>
        </w:numPr>
        <w:spacing w:line="276" w:lineRule="auto"/>
        <w:jc w:val="both"/>
      </w:pPr>
      <w:r w:rsidRPr="003F4E36">
        <w:t>Normas de origen I</w:t>
      </w:r>
    </w:p>
    <w:p w:rsidR="00477191" w:rsidRPr="003F4E36" w:rsidRDefault="00477191" w:rsidP="00575AA1">
      <w:pPr>
        <w:pStyle w:val="Sinespaciado"/>
        <w:numPr>
          <w:ilvl w:val="0"/>
          <w:numId w:val="4"/>
        </w:numPr>
        <w:spacing w:line="276" w:lineRule="auto"/>
        <w:jc w:val="both"/>
      </w:pPr>
      <w:r w:rsidRPr="003F4E36">
        <w:t>Normas de origen II</w:t>
      </w:r>
    </w:p>
    <w:p w:rsidR="004B3002" w:rsidRPr="003F4E36" w:rsidRDefault="00477191" w:rsidP="00575AA1">
      <w:pPr>
        <w:pStyle w:val="Sinespaciado"/>
        <w:numPr>
          <w:ilvl w:val="0"/>
          <w:numId w:val="4"/>
        </w:numPr>
        <w:spacing w:line="276" w:lineRule="auto"/>
        <w:jc w:val="both"/>
      </w:pPr>
      <w:r w:rsidRPr="003F4E36">
        <w:t>Prueba documental del origen: la certificación del origen</w:t>
      </w:r>
    </w:p>
    <w:p w:rsidR="00477191" w:rsidRPr="003F4E36" w:rsidRDefault="00477191" w:rsidP="00477191">
      <w:pPr>
        <w:pStyle w:val="Sinespaciado"/>
        <w:numPr>
          <w:ilvl w:val="0"/>
          <w:numId w:val="4"/>
        </w:numPr>
        <w:spacing w:line="276" w:lineRule="auto"/>
        <w:jc w:val="both"/>
      </w:pPr>
      <w:r w:rsidRPr="003F4E36">
        <w:t>Procedimientos de verificación de origen de las mercancías en el marco de los TLC</w:t>
      </w:r>
    </w:p>
    <w:p w:rsidR="002F5490" w:rsidRPr="003F4E36" w:rsidRDefault="002F5490" w:rsidP="002F5490">
      <w:pPr>
        <w:pStyle w:val="Sinespaciado"/>
        <w:numPr>
          <w:ilvl w:val="0"/>
          <w:numId w:val="4"/>
        </w:numPr>
        <w:spacing w:line="276" w:lineRule="auto"/>
        <w:jc w:val="both"/>
      </w:pPr>
      <w:r w:rsidRPr="003F4E36">
        <w:t>Administración de los TLC y obligaciones de los exportadores e importadores</w:t>
      </w:r>
    </w:p>
    <w:p w:rsidR="004B3002" w:rsidRPr="003F4E36" w:rsidRDefault="00477191" w:rsidP="00575AA1">
      <w:pPr>
        <w:pStyle w:val="Sinespaciado"/>
        <w:numPr>
          <w:ilvl w:val="0"/>
          <w:numId w:val="4"/>
        </w:numPr>
        <w:spacing w:line="276" w:lineRule="auto"/>
        <w:jc w:val="both"/>
      </w:pPr>
      <w:r w:rsidRPr="003F4E36">
        <w:t xml:space="preserve">Jurisprudencia </w:t>
      </w:r>
      <w:r w:rsidR="004B3002" w:rsidRPr="003F4E36">
        <w:t>del Tribunal Aduanero Nacional en materia de origen de las mercancías</w:t>
      </w:r>
    </w:p>
    <w:p w:rsidR="004B3002" w:rsidRPr="003F4E36" w:rsidRDefault="000A2B2D" w:rsidP="00575AA1">
      <w:pPr>
        <w:pStyle w:val="Sinespaciado"/>
        <w:numPr>
          <w:ilvl w:val="0"/>
          <w:numId w:val="4"/>
        </w:numPr>
        <w:spacing w:line="276" w:lineRule="auto"/>
        <w:jc w:val="both"/>
      </w:pPr>
      <w:r w:rsidRPr="003F4E36">
        <w:t>L</w:t>
      </w:r>
      <w:r w:rsidR="004B3002" w:rsidRPr="003F4E36">
        <w:t xml:space="preserve">itigio por diferencias en origen, ante el Servicio Nacional de Aduanas y el Tribunal </w:t>
      </w:r>
      <w:bookmarkStart w:id="0" w:name="_GoBack"/>
      <w:bookmarkEnd w:id="0"/>
      <w:r w:rsidR="004B3002" w:rsidRPr="003F4E36">
        <w:t>Aduanero Nacional</w:t>
      </w:r>
    </w:p>
    <w:p w:rsidR="00153AFC" w:rsidRPr="003F4E36" w:rsidRDefault="00563E11" w:rsidP="00FD2293">
      <w:pPr>
        <w:pStyle w:val="Sinespaciado"/>
        <w:numPr>
          <w:ilvl w:val="0"/>
          <w:numId w:val="4"/>
        </w:numPr>
        <w:spacing w:line="276" w:lineRule="auto"/>
        <w:jc w:val="both"/>
      </w:pPr>
      <w:r w:rsidRPr="003F4E36">
        <w:t>Auditoria</w:t>
      </w:r>
      <w:r w:rsidR="004B3002" w:rsidRPr="003F4E36">
        <w:t xml:space="preserve"> y mejores prácticas</w:t>
      </w:r>
      <w:r w:rsidRPr="003F4E36">
        <w:t xml:space="preserve"> en la determinación del origen</w:t>
      </w:r>
      <w:r w:rsidR="009676BE">
        <w:t xml:space="preserve"> (taller práctico)</w:t>
      </w:r>
    </w:p>
    <w:sectPr w:rsidR="00153AFC" w:rsidRPr="003F4E36" w:rsidSect="00C75586"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F12" w:rsidRDefault="00462F12" w:rsidP="00C75586">
      <w:pPr>
        <w:spacing w:after="0" w:line="240" w:lineRule="auto"/>
      </w:pPr>
      <w:r>
        <w:separator/>
      </w:r>
    </w:p>
  </w:endnote>
  <w:endnote w:type="continuationSeparator" w:id="0">
    <w:p w:rsidR="00462F12" w:rsidRDefault="00462F12" w:rsidP="00C7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E36" w:rsidRPr="003F4E36" w:rsidRDefault="00F47E46" w:rsidP="003F4E36">
    <w:pPr>
      <w:pStyle w:val="Sinespaciado"/>
      <w:spacing w:line="276" w:lineRule="auto"/>
      <w:jc w:val="center"/>
      <w:rPr>
        <w:b/>
        <w:sz w:val="20"/>
        <w:szCs w:val="20"/>
      </w:rPr>
    </w:pPr>
    <w:r w:rsidRPr="003F4E36">
      <w:rPr>
        <w:b/>
        <w:sz w:val="20"/>
        <w:szCs w:val="20"/>
      </w:rPr>
      <w:t xml:space="preserve">TEL: 2222-6780 / 2223-9717 </w:t>
    </w:r>
    <w:r w:rsidR="003F4E36" w:rsidRPr="003F4E36">
      <w:rPr>
        <w:b/>
        <w:sz w:val="20"/>
        <w:szCs w:val="20"/>
      </w:rPr>
      <w:t>WWW.UBRAULIOCARRILLO.COM</w:t>
    </w:r>
  </w:p>
  <w:p w:rsidR="003F4E36" w:rsidRPr="003F4E36" w:rsidRDefault="003F4E36" w:rsidP="003F4E36">
    <w:pPr>
      <w:pStyle w:val="Sinespaciado"/>
      <w:jc w:val="center"/>
      <w:rPr>
        <w:b/>
        <w:sz w:val="20"/>
        <w:szCs w:val="20"/>
      </w:rPr>
    </w:pPr>
    <w:r w:rsidRPr="003F4E36">
      <w:rPr>
        <w:b/>
        <w:sz w:val="20"/>
        <w:szCs w:val="20"/>
      </w:rPr>
      <w:t xml:space="preserve">EDUCACION.CONTINUA@UBRAULIOCARRILLO.COM / </w:t>
    </w:r>
    <w:r w:rsidR="00F47E46" w:rsidRPr="003F4E36">
      <w:rPr>
        <w:b/>
        <w:sz w:val="20"/>
        <w:szCs w:val="20"/>
      </w:rPr>
      <w:t>ADMISIONES@UBRAULIOCARRILLO.COM</w:t>
    </w:r>
  </w:p>
  <w:p w:rsidR="003F4E36" w:rsidRDefault="003F4E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F12" w:rsidRDefault="00462F12" w:rsidP="00C75586">
      <w:pPr>
        <w:spacing w:after="0" w:line="240" w:lineRule="auto"/>
      </w:pPr>
      <w:r>
        <w:separator/>
      </w:r>
    </w:p>
  </w:footnote>
  <w:footnote w:type="continuationSeparator" w:id="0">
    <w:p w:rsidR="00462F12" w:rsidRDefault="00462F12" w:rsidP="00C75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3E6"/>
    <w:multiLevelType w:val="hybridMultilevel"/>
    <w:tmpl w:val="2228BD6E"/>
    <w:lvl w:ilvl="0" w:tplc="4076626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B2CD8"/>
    <w:multiLevelType w:val="hybridMultilevel"/>
    <w:tmpl w:val="0E0AF1DA"/>
    <w:lvl w:ilvl="0" w:tplc="FD7C1E7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E25D6"/>
    <w:multiLevelType w:val="hybridMultilevel"/>
    <w:tmpl w:val="527CCD16"/>
    <w:lvl w:ilvl="0" w:tplc="4076626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45EBE"/>
    <w:multiLevelType w:val="hybridMultilevel"/>
    <w:tmpl w:val="B4080934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A5279"/>
    <w:multiLevelType w:val="hybridMultilevel"/>
    <w:tmpl w:val="2228BD6E"/>
    <w:lvl w:ilvl="0" w:tplc="4076626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32B60"/>
    <w:multiLevelType w:val="hybridMultilevel"/>
    <w:tmpl w:val="6AEEB858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E13A7"/>
    <w:multiLevelType w:val="hybridMultilevel"/>
    <w:tmpl w:val="2228BD6E"/>
    <w:lvl w:ilvl="0" w:tplc="4076626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C62EC"/>
    <w:multiLevelType w:val="hybridMultilevel"/>
    <w:tmpl w:val="2228BD6E"/>
    <w:lvl w:ilvl="0" w:tplc="4076626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200D9"/>
    <w:multiLevelType w:val="hybridMultilevel"/>
    <w:tmpl w:val="527CCD16"/>
    <w:lvl w:ilvl="0" w:tplc="4076626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D71D1"/>
    <w:multiLevelType w:val="hybridMultilevel"/>
    <w:tmpl w:val="2228BD6E"/>
    <w:lvl w:ilvl="0" w:tplc="4076626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A0147"/>
    <w:multiLevelType w:val="hybridMultilevel"/>
    <w:tmpl w:val="2228BD6E"/>
    <w:lvl w:ilvl="0" w:tplc="4076626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C16D0"/>
    <w:multiLevelType w:val="hybridMultilevel"/>
    <w:tmpl w:val="2228BD6E"/>
    <w:lvl w:ilvl="0" w:tplc="4076626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36B1D"/>
    <w:multiLevelType w:val="hybridMultilevel"/>
    <w:tmpl w:val="2228BD6E"/>
    <w:lvl w:ilvl="0" w:tplc="4076626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E0674"/>
    <w:multiLevelType w:val="hybridMultilevel"/>
    <w:tmpl w:val="2228BD6E"/>
    <w:lvl w:ilvl="0" w:tplc="4076626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73A25"/>
    <w:multiLevelType w:val="hybridMultilevel"/>
    <w:tmpl w:val="2228BD6E"/>
    <w:lvl w:ilvl="0" w:tplc="4076626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30B16"/>
    <w:multiLevelType w:val="hybridMultilevel"/>
    <w:tmpl w:val="FE280FC4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B321B"/>
    <w:multiLevelType w:val="hybridMultilevel"/>
    <w:tmpl w:val="E71CD734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43287"/>
    <w:multiLevelType w:val="hybridMultilevel"/>
    <w:tmpl w:val="7D6E68F6"/>
    <w:lvl w:ilvl="0" w:tplc="4076626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16"/>
  </w:num>
  <w:num w:numId="6">
    <w:abstractNumId w:val="15"/>
  </w:num>
  <w:num w:numId="7">
    <w:abstractNumId w:val="7"/>
  </w:num>
  <w:num w:numId="8">
    <w:abstractNumId w:val="8"/>
  </w:num>
  <w:num w:numId="9">
    <w:abstractNumId w:val="17"/>
  </w:num>
  <w:num w:numId="10">
    <w:abstractNumId w:val="12"/>
  </w:num>
  <w:num w:numId="11">
    <w:abstractNumId w:val="0"/>
  </w:num>
  <w:num w:numId="12">
    <w:abstractNumId w:val="9"/>
  </w:num>
  <w:num w:numId="13">
    <w:abstractNumId w:val="6"/>
  </w:num>
  <w:num w:numId="14">
    <w:abstractNumId w:val="14"/>
  </w:num>
  <w:num w:numId="15">
    <w:abstractNumId w:val="11"/>
  </w:num>
  <w:num w:numId="16">
    <w:abstractNumId w:val="4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20E5"/>
    <w:rsid w:val="000A2B2D"/>
    <w:rsid w:val="000B713E"/>
    <w:rsid w:val="000C06C6"/>
    <w:rsid w:val="00126984"/>
    <w:rsid w:val="00153AFC"/>
    <w:rsid w:val="0028288F"/>
    <w:rsid w:val="002C4601"/>
    <w:rsid w:val="002F5490"/>
    <w:rsid w:val="00344606"/>
    <w:rsid w:val="003A73C5"/>
    <w:rsid w:val="003B7717"/>
    <w:rsid w:val="003B7BE9"/>
    <w:rsid w:val="003F4E36"/>
    <w:rsid w:val="00401BA3"/>
    <w:rsid w:val="0040628D"/>
    <w:rsid w:val="00437498"/>
    <w:rsid w:val="00462F12"/>
    <w:rsid w:val="00477191"/>
    <w:rsid w:val="004B3002"/>
    <w:rsid w:val="004E6552"/>
    <w:rsid w:val="004F6CE7"/>
    <w:rsid w:val="0050288D"/>
    <w:rsid w:val="0056166A"/>
    <w:rsid w:val="00563E11"/>
    <w:rsid w:val="00575AA1"/>
    <w:rsid w:val="005D7A28"/>
    <w:rsid w:val="00631D7E"/>
    <w:rsid w:val="00677FEE"/>
    <w:rsid w:val="006845BA"/>
    <w:rsid w:val="006B25ED"/>
    <w:rsid w:val="006B358D"/>
    <w:rsid w:val="006C3A29"/>
    <w:rsid w:val="007120E5"/>
    <w:rsid w:val="00742B5B"/>
    <w:rsid w:val="00767494"/>
    <w:rsid w:val="00784266"/>
    <w:rsid w:val="007B1F37"/>
    <w:rsid w:val="007F5A2C"/>
    <w:rsid w:val="00873CDC"/>
    <w:rsid w:val="00940699"/>
    <w:rsid w:val="009676BE"/>
    <w:rsid w:val="009B37DD"/>
    <w:rsid w:val="009D195F"/>
    <w:rsid w:val="00A1598D"/>
    <w:rsid w:val="00AA42E7"/>
    <w:rsid w:val="00AA47C5"/>
    <w:rsid w:val="00B04114"/>
    <w:rsid w:val="00B12017"/>
    <w:rsid w:val="00B235D5"/>
    <w:rsid w:val="00BB6542"/>
    <w:rsid w:val="00C13C08"/>
    <w:rsid w:val="00C5464C"/>
    <w:rsid w:val="00C65A52"/>
    <w:rsid w:val="00C75586"/>
    <w:rsid w:val="00D76C67"/>
    <w:rsid w:val="00E37F4D"/>
    <w:rsid w:val="00E7171F"/>
    <w:rsid w:val="00F22FFA"/>
    <w:rsid w:val="00F333E4"/>
    <w:rsid w:val="00F45F03"/>
    <w:rsid w:val="00F47E46"/>
    <w:rsid w:val="00F66467"/>
    <w:rsid w:val="00FA22A3"/>
    <w:rsid w:val="00FB50E1"/>
    <w:rsid w:val="00FD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,"/>
  <w14:docId w14:val="21A67E43"/>
  <w15:docId w15:val="{AED87FB9-DDC7-4384-AFC3-73E6140D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7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120E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3E4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33E4"/>
  </w:style>
  <w:style w:type="paragraph" w:styleId="Prrafodelista">
    <w:name w:val="List Paragraph"/>
    <w:basedOn w:val="Normal"/>
    <w:uiPriority w:val="34"/>
    <w:qFormat/>
    <w:rsid w:val="00C755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5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86"/>
  </w:style>
  <w:style w:type="paragraph" w:styleId="Piedepgina">
    <w:name w:val="footer"/>
    <w:basedOn w:val="Normal"/>
    <w:link w:val="PiedepginaCar"/>
    <w:uiPriority w:val="99"/>
    <w:unhideWhenUsed/>
    <w:rsid w:val="00C75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86"/>
  </w:style>
  <w:style w:type="character" w:styleId="Hipervnculo">
    <w:name w:val="Hyperlink"/>
    <w:basedOn w:val="Fuentedeprrafopredeter"/>
    <w:uiPriority w:val="99"/>
    <w:unhideWhenUsed/>
    <w:rsid w:val="003F4E36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3F4E3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>universidad braulio carrillo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728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Normas de origen en el marco de los Tratados de libre comercio vigentes en CR</vt:lpstr>
    </vt:vector>
  </TitlesOfParts>
  <Company>ESPECIALIZACIÓN</Company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 de origen en el marco de los Tratados de libre comercio vigentes en CR</dc:title>
  <dc:creator>Willim Cordero</dc:creator>
  <cp:lastModifiedBy>William</cp:lastModifiedBy>
  <cp:revision>9</cp:revision>
  <dcterms:created xsi:type="dcterms:W3CDTF">2017-03-22T15:06:00Z</dcterms:created>
  <dcterms:modified xsi:type="dcterms:W3CDTF">2017-06-26T15:53:00Z</dcterms:modified>
</cp:coreProperties>
</file>