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t xml:space="preserve">Results</w:t>
      </w:r>
    </w:p>
    <w:p>
      <w:pPr>
        <w:pStyle w:val="Heading2"/>
        <w:spacing w:after="160" w:before="120"/>
      </w:pPr>
      <w:r>
        <w:t xml:space="preserve">Leaf nitrogen concentration and nitrogen per unit area</w:t>
      </w:r>
    </w:p>
    <w:p>
      <w:pPr>
        <w:spacing w:after="200" w:line="288"/>
      </w:pPr>
      <w:r>
        <w:rPr>
          <w:sz w:val="22"/>
          <w:szCs w:val="22"/>
        </w:rPr>
        <w:t xml:space="preserve">In control plots, leaf nitrogen concentration (LNC) was highest in the two species occurring at 1000 m, Clarisia racemosa (17.39 ± 2.56 mg g⁻¹) and Pouteria torta (15.55 ± 1.36 mg g⁻¹). Species at 2000 m and 3000 m showed comparable, generally lower control-plot LNC: Myrcia sp. nov. (8.82 ± 1.17 mg g⁻¹) and Alchornea lojaensis (11.61 ± 1.50 mg g⁻¹) at 2000 m, and Hedyosmum purpurascens (14.31 ± 1.09 mg g⁻¹) and Weinmannia loxensis (10.43 ± 1.34 mg g⁻¹) at 3000 m (Table S1).</w:t>
      </w:r>
    </w:p>
    <w:p>
      <w:pPr>
        <w:spacing w:after="200" w:line="288"/>
      </w:pPr>
      <w:r>
        <w:rPr>
          <w:sz w:val="22"/>
          <w:szCs w:val="22"/>
        </w:rPr>
        <w:t xml:space="preserve">Nitrogen addition increased LNC in four of the six species; the exceptions were P. torta and W. loxensis, which showed no clear response to N alone. Instead, P. torta showed a significant increase in leaf nitrogen concentration following phosphorus addition, suggesting that its nitrogen acquisition was more responsive to improved phosphorus availability than to direct nitrogen supply. Under the combined N+P treatment, LNC increased relative to the control in P. torta and A. lojaensis, and showed a marginal increase in Myrcia sp. nov.</w:t>
      </w:r>
    </w:p>
    <w:p>
      <w:pPr>
        <w:spacing w:after="200" w:line="288"/>
      </w:pPr>
      <w:r>
        <w:rPr>
          <w:sz w:val="22"/>
          <w:szCs w:val="22"/>
        </w:rPr>
        <w:t xml:space="preserve">Nitrogen per unit leaf area (Narea) followed a similar elevational pattern to LNC, with the highest control-plot values recorded in the two species at 2000 m, Myrcia sp. nov. (2.43 ± 0.31 g m⁻²) and A. lojaensis (3.27 ± 0.41 g m⁻²). Nitrogen addition significantly increased Narea in all three species from the 2000 m and 3000 m sites — A. lojaensis, Myrcia sp. nov., and H. purpurascens — indicating a consistent capacity for nitrogen accumulation per unit leaf area at higher elevations. In P. torta, phosphorus addition produced a marginal increase in Narea (p = 0.09).</w:t>
      </w:r>
    </w:p>
    <w:p>
      <w:pPr>
        <w:pStyle w:val="Heading2"/>
        <w:spacing w:after="160" w:before="200"/>
      </w:pPr>
      <w:r>
        <w:t xml:space="preserve">Leaf phosphorus concentration and phosphorus per unit area</w:t>
      </w:r>
    </w:p>
    <w:p>
      <w:pPr>
        <w:spacing w:after="200" w:line="288"/>
      </w:pPr>
      <w:r>
        <w:rPr>
          <w:sz w:val="22"/>
          <w:szCs w:val="22"/>
        </w:rPr>
        <w:t xml:space="preserve">Leaf phosphorus concentration (LPC) showed no clear elevational pattern, and control-plot values were broadly comparable across species: P. torta (0.64 ± 0.14 mg g⁻¹), C. racemosa (0.79 ± 0.05 mg g⁻¹), A. lojaensis (0.78 ± 0.12 mg g⁻¹), H. purpurascens (0.84 ± 0.08 mg g⁻¹), and W. loxensis (0.56 ± 0.05 mg g⁻¹). By contrast, phosphorus addition produced a consistent and significant increase in LPC across all species under the additive model, and the same pattern held for phosphorus per unit leaf area (Parea), which increased under P addition in every species.</w:t>
      </w:r>
    </w:p>
    <w:p>
      <w:pPr>
        <w:spacing w:after="200" w:line="288"/>
      </w:pPr>
      <w:r>
        <w:rPr>
          <w:sz w:val="22"/>
          <w:szCs w:val="22"/>
        </w:rPr>
        <w:t xml:space="preserve">Under the combined N+P treatment, LPC was higher than in the control in four of the six species — C. racemosa, A. lojaensis, and Myrcia sp. nov. among them. For Myrcia sp. nov. and W. loxensis, however, the best-supported model included a significant N × P interaction with an antagonistic form, indicating that the combined effect of the two nutrients on LPC was smaller than the sum of their individual effects.</w:t>
      </w:r>
    </w:p>
    <w:p>
      <w:pPr>
        <w:pStyle w:val="Heading2"/>
        <w:spacing w:after="160" w:before="200"/>
      </w:pPr>
      <w:r>
        <w:t xml:space="preserve">Foliar N:P ratios</w:t>
      </w:r>
    </w:p>
    <w:p>
      <w:pPr>
        <w:spacing w:after="200" w:line="288"/>
      </w:pPr>
      <w:r>
        <w:rPr>
          <w:sz w:val="22"/>
          <w:szCs w:val="22"/>
        </w:rPr>
        <w:t xml:space="preserve">In control plots, foliar N:P ratios above 20 were found in P. torta (25.34 ± 5.86) and C. racemosa (21.87 ± 2.18), both at 1000 m, and in Myrcia sp. nov. (22.90 ± 4.05) at 2000 m. Lower control-plot N:P ratios were observed in A. lojaensis (15.07 ± 2.24), H. purpurascens (17.17 ± 1.02), and W. loxensis (18.65 ± 1.67).</w:t>
      </w:r>
    </w:p>
    <w:p>
      <w:pPr>
        <w:spacing w:after="200" w:line="288"/>
      </w:pPr>
      <w:r>
        <w:rPr>
          <w:sz w:val="22"/>
          <w:szCs w:val="22"/>
        </w:rPr>
        <w:t xml:space="preserve">Nitrogen addition alone generally increased N:P ratios across species, with the strongest responses in A. lojaensis and H. purpurascens. Conversely, because phosphorus addition consistently raised LPC (see above), foliar N:P ratios declined under both the P-only and combined N+P treatments: the improved phosphorus acquisition induced by these treatments raised foliar phosphorus concentrations and thereby lowered the N:P ratio.</w:t>
      </w:r>
    </w:p>
    <w:p>
      <w:pPr>
        <w:pStyle w:val="Heading2"/>
        <w:spacing w:after="160" w:before="200"/>
      </w:pPr>
      <w:r>
        <w:t xml:space="preserve">Morphological traits</w:t>
      </w:r>
    </w:p>
    <w:p>
      <w:pPr>
        <w:spacing w:after="200" w:line="288"/>
      </w:pPr>
      <w:r>
        <w:rPr>
          <w:sz w:val="22"/>
          <w:szCs w:val="22"/>
        </w:rPr>
        <w:t xml:space="preserve">Morphological traits were markedly less responsive to nutrient addition than the foliar nutrient concentrations described above. Across the five traits examined — specific leaf area (SLA), thickness, toughness (force to punch), leaf area (LA), and dry matter content (DMC) — only 4 of 60 species × treatment coefficients were statistically significant, and no consistent pattern emerged across species for any single trait (Table SX).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S1. Foliar functional traits by elevation, species, and nutrient-addition treatment</w:t>
      </w:r>
    </w:p>
    <w:p>
      <w:pPr>
        <w:spacing w:after="200"/>
      </w:pPr>
      <w:r>
        <w:rPr>
          <w:i/>
          <w:iCs/>
          <w:sz w:val="18"/>
          <w:szCs w:val="18"/>
        </w:rPr>
        <w:t xml:space="preserve">Values are means ± standard deviation. C = control, N = nitrogen addition, P = phosphorus addition, NP = combined nitrogen and phosphorus addition.</w:t>
      </w:r>
    </w:p>
    <w:tbl>
      <w:tblPr>
        <w:tblW w:type="dxa" w:w="146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100"/>
        <w:gridCol w:w="2000"/>
        <w:gridCol w:w="1100"/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100"/>
            <w:shd w:fill="2F5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Elevation (m)</w:t>
            </w:r>
          </w:p>
        </w:tc>
        <w:tc>
          <w:tcPr>
            <w:tcW w:type="dxa" w:w="2000"/>
            <w:shd w:fill="2F5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Species</w:t>
            </w:r>
          </w:p>
        </w:tc>
        <w:tc>
          <w:tcPr>
            <w:tcW w:type="dxa" w:w="1100"/>
            <w:shd w:fill="2F5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  <w:tc>
          <w:tcPr>
            <w:tcW w:type="dxa" w:w="1040"/>
            <w:shd w:fill="2F5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δ13C (‰ vs V-PDB)</w:t>
            </w:r>
          </w:p>
        </w:tc>
        <w:tc>
          <w:tcPr>
            <w:tcW w:type="dxa" w:w="1040"/>
            <w:shd w:fill="2F5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iWUE (μmol/mol)</w:t>
            </w:r>
          </w:p>
        </w:tc>
        <w:tc>
          <w:tcPr>
            <w:tcW w:type="dxa" w:w="1040"/>
            <w:shd w:fill="2F5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LNC (mg g⁻¹)</w:t>
            </w:r>
          </w:p>
        </w:tc>
        <w:tc>
          <w:tcPr>
            <w:tcW w:type="dxa" w:w="1040"/>
            <w:shd w:fill="2F5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LPC (mg g⁻¹)</w:t>
            </w:r>
          </w:p>
        </w:tc>
        <w:tc>
          <w:tcPr>
            <w:tcW w:type="dxa" w:w="1040"/>
            <w:shd w:fill="2F5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LCC (mg g⁻¹)</w:t>
            </w:r>
          </w:p>
        </w:tc>
        <w:tc>
          <w:tcPr>
            <w:tcW w:type="dxa" w:w="1040"/>
            <w:shd w:fill="2F5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N_area (g m⁻²)</w:t>
            </w:r>
          </w:p>
        </w:tc>
        <w:tc>
          <w:tcPr>
            <w:tcW w:type="dxa" w:w="1040"/>
            <w:shd w:fill="2F5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P_area (g m⁻²)</w:t>
            </w:r>
          </w:p>
        </w:tc>
        <w:tc>
          <w:tcPr>
            <w:tcW w:type="dxa" w:w="1040"/>
            <w:shd w:fill="2F5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N:P</w:t>
            </w:r>
          </w:p>
        </w:tc>
        <w:tc>
          <w:tcPr>
            <w:tcW w:type="dxa" w:w="1040"/>
            <w:shd w:fill="2F5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C:N</w:t>
            </w:r>
          </w:p>
        </w:tc>
        <w:tc>
          <w:tcPr>
            <w:tcW w:type="dxa" w:w="1040"/>
            <w:shd w:fill="2F523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LMA (g/m²)</w:t>
            </w:r>
          </w:p>
        </w:tc>
      </w:tr>
      <w:tr>
        <w:tc>
          <w:tcPr>
            <w:tcW w:type="dxa" w:w="1100"/>
            <w:vMerge w:val="restart"/>
            <w:shd w:fill="E8EF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2000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Clarisia  racemosa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Control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-30.63 ± 0.42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36.98 ± 5.19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17.39 ± 2.56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0.79 ± 0.05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421.37 ± 14.36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1.89 ± 0.22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0.09 ± 0.01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21.87 ± 2.18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24.51 ± 2.92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109.65 ± 12.98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-31.80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22.59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20.06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447.15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22.29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89.24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N+P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-30.88 ± 0.36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33.97 ± 4.43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23.65 ± 1.50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1.15 ± 0.14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430.50 ± 14.05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2.19 ± 0.07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0.11 ± 0.02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20.83 ± 3.48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18.28 ± 1.73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92.81 ± 7.27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-29.84 ± 1.24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46.63 ± 15.20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19.62 ± 2.69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1.17 ± 0.17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438.34 ± 12.74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2.05 ± 0.25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0.12 ± 0.02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16.87 ± 2.64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22.65 ± 3.13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104.87 ± 6.63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000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Pouteria torta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Control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-31.54 ± 0.89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25.74 ± 11.00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15.55 ± 1.36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0.64 ± 0.14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478.45 ± 7.46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1.94 ± 0.26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0.08 ± 0.01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25.34 ± 5.86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30.27 ± 2.26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124.79 ± 13.53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-30.96 ± 0.99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32.91 ± 12.12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15.83 ± 1.16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0.69 ± 0.20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479.33 ± 5.57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2.05 ± 0.28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0.09 ± 0.02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24.42 ± 5.57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30.68 ± 2.54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130.76 ± 23.72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N+P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-32.15 ± 0.88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18.33 ± 10.84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16.43 ± 1.07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0.72 ± 0.07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477.88 ± 5.65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2.04 ± 0.15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0.09 ± 0.01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23.00 ± 1.54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29.18 ± 1.88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124.93 ± 13.88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-31.27 ± 0.93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29.13 ± 11.48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16.68 ± 1.52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0.77 ± 0.13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479.21 ± 5.51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2.17 ± 0.32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0.10 ± 0.01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22.47 ± 5.11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28.90 ± 2.18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130.47 ± 19.67</w:t>
            </w:r>
          </w:p>
        </w:tc>
      </w:tr>
      <w:tr>
        <w:tc>
          <w:tcPr>
            <w:tcW w:type="dxa" w:w="1100"/>
            <w:vMerge w:val="restart"/>
            <w:shd w:fill="E8EF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2000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Alchornea lojaensis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Control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-26.51 ± 0.89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87.61 ± 10.75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11.61 ± 1.50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0.78 ± 0.12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489.94 ± 9.19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3.27 ± 0.41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0.22 ± 0.04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15.07 ± 2.24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43.02 ± 6.87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283.91 ± 33.02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-26.57 ± 1.13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86.90 ± 13.72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13.14 ± 1.82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0.79 ± 0.15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487.69 ± 10.08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3.59 ± 0.64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0.21 ± 0.04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16.83 ± 1.83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37.70 ± 4.76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272.72 ± 24.68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N+P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-26.77 ± 1.45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84.43 ± 17.61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12.04 ± 1.60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1.32 ± 0.33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490.56 ± 10.44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3.51 ± 0.53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0.39 ± 0.12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9.59 ± 2.28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40.47 ± 4.66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292.24 ± 28.66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-26.78 ± 1.38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84.40 ± 16.74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11.07 ± 1.49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1.22 ± 0.31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486.81 ± 5.06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3.13 ± 0.62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0.35 ± 0.10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9.58 ± 2.61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43.38 ± 4.67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282.56 ± 38.74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000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Myrcia sp nov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Control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-27.79 ± 1.15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72.02 ± 13.97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8.82 ± 1.17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0.43 ± 0.17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472.37 ± 9.44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2.43 ± 0.31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0.12 ± 0.06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22.90 ± 4.05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54.22 ± 6.88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279.18 ± 29.99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-27.24 ± 0.92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78.70 ± 11.13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9.99 ± 0.83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0.43 ± 0.03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470.86 ± 6.79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2.82 ± 0.18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0.12 ± 0.01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23.54 ± 2.22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47.43 ± 4.13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283.62 ± 21.17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N+P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-27.39 ± 0.94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76.85 ± 11.46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9.89 ± 0.76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0.90 ± 0.37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464.73 ± 6.29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2.74 ± 0.18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0.25 ± 0.10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12.30 ± 3.81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47.26 ± 3.86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277.49 ± 19.23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-27.34 ± 0.66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77.63 ± 8.05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8.19 ± 0.95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1.70 ± 0.66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469.88 ± 9.99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2.40 ± 0.31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0.50 ± 0.23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6.34 ± 5.05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58.04 ± 6.25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294.01 ± 34.93</w:t>
            </w:r>
          </w:p>
        </w:tc>
      </w:tr>
      <w:tr>
        <w:tc>
          <w:tcPr>
            <w:tcW w:type="dxa" w:w="1100"/>
            <w:vMerge w:val="restart"/>
            <w:shd w:fill="E8EFE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2000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Hedyosmun  purpurascens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Control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-26.81 ± 1.44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83.75 ± 17.60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14.31 ± 1.09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0.84 ± 0.08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438.02 ± 6.14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2.15 ± 0.39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0.12 ± 0.02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17.17 ± 1.02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30.78 ± 2.77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151.75 ± 36.15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-26.36 ± 1.88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89.21 ± 22.89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17.31 ± 3.35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0.81 ± 0.05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434.66 ± 9.24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2.79 ± 0.31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0.13 ± 0.01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21.41 ± 3.92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25.88 ± 4.81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163.15 ± 16.45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N+P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-24.85 ± 1.27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107.56 ± 15.36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17.08 ± 1.68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1.07 ± 0.08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442.68 ± 6.62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2.59 ± 0.23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0.16 ± 0.01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15.94 ± 0.42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26.10 ± 2.81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152.19 ± 12.12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-27.44 ± 1.68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76.01 ± 20.52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15.53 ± 1.66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1.53 ± 0.38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437.23 ± 6.37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2.07 ± 0.49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 ± 0.07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10.75 ± 1.85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28.39 ± 2.64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132.70 ± 23.55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2000"/>
            <w:vMerge w:val="restart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Weinmania  loxensis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Control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-27.70 ± 0.27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72.87 ± 3.29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10.43 ± 1.34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0.56 ± 0.05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444.08 ± 7.83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1.48 ± 0.08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0.08 ± 0.01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18.65 ± 1.67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43.15 ± 5.79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143.54 ± 13.32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-28.06 ± 0.90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68.51 ± 10.95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11.47 ± 1.77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0.61 ± 0.05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445.46 ± 14.20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1.67 ± 0.30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0.09 ± 0.02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18.89 ± 1.99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39.49 ± 5.23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145.96 ± 19.85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N+P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-29.03 ± 0.79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56.60 ± 9.70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11.17 ± 0.14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0.72 ± 0.07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460.10 ± 9.12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1.55 ± 0.12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0.10 ± 0.00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15.57 ± 1.25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41.18 ± 0.31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139.03 ± 12.31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 addition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-28.38 ± 1.13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64.54 ± 13.80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10.73 ± 1.70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1.64 ± 0.44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440.55 ± 11.17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1.48 ± 0.26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0.23 ± 0.06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7.31 ± 3.43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41.73 ± 5.19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138.13 ± 7.51</w:t>
            </w:r>
          </w:p>
        </w:tc>
      </w:tr>
    </w:tbl>
    <w:sectPr>
      <w:pgSz w:w="15840" w:h="12240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2026-07-15T21:27:14.956Z</dcterms:created>
  <dcterms:modified xsi:type="dcterms:W3CDTF">2026-07-15T21:27:14.957Z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