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Results</w:t>
      </w:r>
    </w:p>
    <w:p>
      <w:pPr>
        <w:pStyle w:val="Heading2"/>
        <w:spacing w:after="160" w:before="200"/>
      </w:pPr>
      <w:r>
        <w:t xml:space="preserve">Nitrogen relations</w:t>
      </w:r>
    </w:p>
    <w:p>
      <w:pPr>
        <w:spacing w:after="200" w:line="288"/>
      </w:pPr>
      <w:r>
        <w:rPr>
          <w:sz w:val="22"/>
          <w:szCs w:val="22"/>
        </w:rPr>
        <w:t xml:space="preserve">Mass-based leaf nitrogen concentration (Nmass) increased significantly with nitrogen addition in four of the six species: Clarisia racemosa (Δ = 3.66 ± 1.31 mg g⁻¹, p = 0.03), Alchornea lojaensis (Δ = 1.27 ± 0.49, p = 0.01), Myrcia sp. nov. (Δ = 1.41 ± 0.27, p &lt; 0.01), and Hedyosmum purpurascens (Δ = 2.34 ± 0.92, p = 0.02). Pouteria torta and Weinmannia loxensis showed no significant Nmass response to nitrogen (p = 0.86 and p = 0.30, respectively). Instead, P. torta showed a marginal increase in Nmass following phosphorus addition (Δ = 0.82 ± 0.44, p = 0.07), and C. racemosa showed a comparable marginal phosphorus response alongside its significant nitrogen effect (Δ = 2.66 ± 1.37, p = 0.09), suggesting that nitrogen accumulation at the 1000 m sites may be partly co-limited by phosphorus availability.</w:t>
      </w:r>
    </w:p>
    <w:p>
      <w:pPr>
        <w:spacing w:after="200" w:line="288"/>
      </w:pPr>
      <w:r>
        <w:rPr>
          <w:sz w:val="22"/>
          <w:szCs w:val="22"/>
        </w:rPr>
        <w:t xml:space="preserve">Nitrogen per unit leaf area (Narea) followed a similar, elevation-linked pattern: significant increases under nitrogen addition were confined to the three species from the 2000 m and 3000 m sites — A. lojaensis (Δ = 0.35 ± 0.17 g m⁻², p = 0.05), Myrcia sp. nov. (Δ = 0.36 ± 0.07, p &lt; 0.01), and H. purpurascens (Δ = 0.59 ± 0.16, p &lt; 0.01). Narea in P. torta again showed only a marginal response, this time to phosphorus addition (Δ = 0.23 ± 0.12, p = 0.09), consistent with its Nmass result; C. racemosa and W. loxensis showed no significant Narea response to either nutrient.</w:t>
      </w:r>
    </w:p>
    <w:p>
      <w:pPr>
        <w:pStyle w:val="Heading2"/>
        <w:spacing w:after="160" w:before="200"/>
      </w:pPr>
      <w:r>
        <w:t xml:space="preserve">Carbon concentration</w:t>
      </w:r>
    </w:p>
    <w:p>
      <w:pPr>
        <w:spacing w:after="200" w:line="288"/>
      </w:pPr>
      <w:r>
        <w:rPr>
          <w:sz w:val="22"/>
          <w:szCs w:val="22"/>
        </w:rPr>
        <w:t xml:space="preserve">Foliar carbon metrics (Cmass, Carea, LCC) were largely insensitive to nutrient addition. The one clear exception was a significant decline in Carea in C. racemosa under nitrogen addition (Δ = −4.79 ± 1.57 mg g⁻¹, p = 0.02); Myrcia sp. nov. showed a marginal decline in Cmass under phosphorus addition (Δ = −4.41 ± 2.38, p = 0.07). No other species-by-trait combination reached significance for carbon concentration.</w:t>
      </w:r>
    </w:p>
    <w:p>
      <w:pPr>
        <w:pStyle w:val="Heading2"/>
        <w:spacing w:after="160" w:before="200"/>
      </w:pPr>
      <w:r>
        <w:t xml:space="preserve">Phosphorus relations</w:t>
      </w:r>
    </w:p>
    <w:p>
      <w:pPr>
        <w:spacing w:after="200" w:line="288"/>
      </w:pPr>
      <w:r>
        <w:rPr>
          <w:sz w:val="22"/>
          <w:szCs w:val="22"/>
        </w:rPr>
        <w:t xml:space="preserve">Leaf phosphorus concentration (LPC) increased significantly with phosphorus addition in five of the six species: C. racemosa (Δ = 0.32 ± 0.09 mg g⁻¹, p &lt; 0.01), A. lojaensis (Δ = 0.48 ± 0.07, p &lt; 0.01), Myrcia sp. nov. (Δ = 1.26 ± 0.15, p &lt; 0.01), H. purpurascens (Δ = 0.50 ± 0.10, p &lt; 0.01), and W. loxensis (Δ = 1.08 ± 0.16, p &lt; 0.01). In P. torta the response was only marginal (Δ = 0.08 ± 0.05, p = 0.13 on the raw scale; p = 0.08 on the log-transformed scale), the weakest phosphorus response of the six species. Phosphorus per unit leaf area (Parea) mirrored this pattern almost exactly, increasing significantly with phosphorus addition in all six species, including P. torta (Δ = 0.01 ± 0.00, p = 0.02).</w:t>
      </w:r>
    </w:p>
    <w:p>
      <w:pPr>
        <w:spacing w:after="200" w:line="288"/>
      </w:pPr>
      <w:r>
        <w:rPr>
          <w:sz w:val="22"/>
          <w:szCs w:val="22"/>
        </w:rPr>
        <w:t xml:space="preserve">For LPC, the best-supported models for Myrcia sp. nov. and W. loxensis retained a significant nitrogen × phosphorus interaction, and in both cases the interaction was negative — opposite in sign to the main phosphorus effect (Myrcia: Δ = −0.79 ± 0.22, p &lt; 0.01; W. loxensis: Δ = −0.96 ± 0.27, p &lt; 0.01). This is an antagonistic interaction: the combined N+P treatment raised LPC by less than the sum of the individual nitrogen and phosphorus effects would predict. H. purpurascens additionally showed a marginal decline in LPC under nitrogen addition alone (Δ = −0.20 ± 0.10, p = 0.06).</w:t>
      </w:r>
    </w:p>
    <w:p>
      <w:pPr>
        <w:pStyle w:val="Heading2"/>
        <w:spacing w:after="160" w:before="200"/>
      </w:pPr>
      <w:r>
        <w:t xml:space="preserve">Foliar N:P stoichiometry</w:t>
      </w:r>
    </w:p>
    <w:p>
      <w:pPr>
        <w:spacing w:after="200" w:line="288"/>
      </w:pPr>
      <w:r>
        <w:rPr>
          <w:sz w:val="22"/>
          <w:szCs w:val="22"/>
        </w:rPr>
        <w:t xml:space="preserve">Because phosphorus addition consistently raised LPC while having little effect on Nmass, foliar N:P ratios declined under phosphorus-containing treatments in most species. The strongest and most consistent phosphorus effects were in A. lojaensis (Δ = −6.30 ± 0.65, p &lt; 0.01), H. purpurascens (Δ = −5.98 ± 1.14, p &lt; 0.01), Myrcia sp. nov. (Δ = −16.58 ± 1.54, p &lt; 0.01), and W. loxensis (Δ = −11.34 ± 1.51, p &lt; 0.01). Nitrogen addition alone increased N:P ratios in A. lojaensis (marginal, Δ = 1.18 ± 0.66, p = 0.08) and, more strongly, in H. purpurascens (Δ = 4.61 ± 1.11, p &lt; 0.01), consistent with the Nmass results above. In P. torta and C. racemosa, neither nutrient produced a significant change in N:P (all p &gt; 0.10), though C. racemosa showed a marginal decline under phosphorus (Δ = −3.31 ± 1.74, p = 0.10).</w:t>
      </w:r>
    </w:p>
    <w:p>
      <w:pPr>
        <w:spacing w:after="200" w:line="288"/>
      </w:pPr>
      <w:r>
        <w:rPr>
          <w:sz w:val="22"/>
          <w:szCs w:val="22"/>
        </w:rPr>
        <w:t xml:space="preserve">The N:P models for Myrcia sp. nov. and W. loxensis again retained significant, positive nitrogen × phosphorus interaction terms (Δ = 5.22 ± 2.28, p = 0.03; Δ = 8.03 ± 2.58, p &lt; 0.01, respectively) — the mirror image of the antagonistic LPC interaction described above, since a smaller-than-additive rise in LPC under N+P translates into a smaller-than-additive drop in N:P.</w:t>
      </w:r>
    </w:p>
    <w:p>
      <w:pPr>
        <w:pStyle w:val="Heading2"/>
        <w:spacing w:after="160" w:before="200"/>
      </w:pPr>
      <w:r>
        <w:t xml:space="preserve">Gas exchange and water-use efficiency</w:t>
      </w:r>
    </w:p>
    <w:p>
      <w:pPr>
        <w:spacing w:after="200" w:line="288"/>
      </w:pPr>
      <w:r>
        <w:rPr>
          <w:sz w:val="22"/>
          <w:szCs w:val="22"/>
        </w:rPr>
        <w:t xml:space="preserve">Intrinsic water-use efficiency (iWUE), carbon isotope composition (δ13C), and estimated intercellular CO2 concentration (Ci) showed essentially no response to nutrient addition in any species (all p &gt; 0.10 except as noted below). The one exception was C. racemosa, which showed a marginal decline in iWUE under nitrogen addition (Δ = −13.14 ± 5.71 μmol/mol, p = 0.05), together with a marginal decline in δ13C (Δ = −1.07 ± 0.47‰, p = 0.06) and a marginal increase in Ci (Δ = 0.05 ± 0.02, p = 0.05). These three marginal shifts are internally consistent and point toward a possible, though not statistically robust, reduction in water-use efficiency in this species under nitrogen enrichment. No other species showed even marginal gas-exchange responses.</w:t>
      </w:r>
    </w:p>
    <w:p>
      <w:pPr>
        <w:pStyle w:val="Heading2"/>
        <w:spacing w:after="160" w:before="200"/>
      </w:pPr>
      <w:r>
        <w:t xml:space="preserve">Leaf morphology</w:t>
      </w:r>
    </w:p>
    <w:p>
      <w:pPr>
        <w:spacing w:after="200" w:line="288"/>
      </w:pPr>
      <w:r>
        <w:rPr>
          <w:sz w:val="22"/>
          <w:szCs w:val="22"/>
        </w:rPr>
        <w:t xml:space="preserve">Leaf morphological traits (SLA, thickness, toughness, leaf area, and dry matter content) were the least responsive trait group. Across 60 species × nutrient coefficients (5 traits × 6 species × 2 nutrients), only three reached significance at p &lt; 0.05: an increase in SLA in C. racemosa under nitrogen addition (Δ = 13.58 ± 4.75, p = 0.02), a decrease in leaf area in A. lojaensis under nitrogen addition (Δ = −5.87 ± 2.65, p = 0.03), and a decrease in dry matter content in H. purpurascens under phosphorus addition (Δ = −32.37 ± 11.87, p = 0.01). A further four coefficients were marginal (0.05 &lt; p &lt; 0.10): leaf thickness and dry matter content in C. racemosa, toughness in A. lojaensis, and leaf area in H. purpurascens. No trait showed a consistent direction of response across species, and no nitrogen × phosphorus interaction was retained in any of the best-supported morphology models.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2026-07-15T22:21:02.300Z</dcterms:created>
  <dcterms:modified xsi:type="dcterms:W3CDTF">2026-07-15T22:21:02.315Z</dcterms:modified>
</cp:coreProperties>
</file>

<file path=docProps/custom.xml><?xml version="1.0" encoding="utf-8"?>
<Properties xmlns="http://schemas.openxmlformats.org/officeDocument/2006/custom-properties" xmlns:vt="http://schemas.openxmlformats.org/officeDocument/2006/docPropsVTypes"/>
</file>