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28B749C" w14:textId="77777777" w:rsidR="00214C06" w:rsidRDefault="00214C06">
      <w:pPr>
        <w:rPr>
          <w:b/>
          <w:sz w:val="20"/>
          <w:u w:val="single"/>
        </w:rPr>
      </w:pPr>
    </w:p>
    <w:p w14:paraId="7B056C5F" w14:textId="77777777" w:rsidR="00214C06" w:rsidRPr="00214C06" w:rsidRDefault="00214C06" w:rsidP="00214C06">
      <w:pPr>
        <w:pStyle w:val="NormalWeb"/>
      </w:pPr>
      <w:r>
        <w:rPr>
          <w:rStyle w:val="Textoennegrita"/>
        </w:rPr>
        <w:t>Stable Water-Use Effi</w:t>
      </w:r>
      <w:r w:rsidR="000F6E65">
        <w:rPr>
          <w:rStyle w:val="Textoennegrita"/>
        </w:rPr>
        <w:t>ciency despite changes in Leaf Nutrient content: Results after</w:t>
      </w:r>
      <w:r>
        <w:rPr>
          <w:rStyle w:val="Textoennegrita"/>
        </w:rPr>
        <w:t xml:space="preserve"> a 15-Year Nutrient Manipulation Experiment in tropical mountain forest from </w:t>
      </w:r>
      <w:r w:rsidR="000F6E65">
        <w:rPr>
          <w:rStyle w:val="Textoennegrita"/>
        </w:rPr>
        <w:t>South-</w:t>
      </w:r>
      <w:r>
        <w:rPr>
          <w:rStyle w:val="Textoennegrita"/>
        </w:rPr>
        <w:t>Ecuador.</w:t>
      </w:r>
    </w:p>
    <w:p w14:paraId="1A1B6157" w14:textId="77777777" w:rsidR="00BA1C42" w:rsidRDefault="00D65821">
      <w:pPr>
        <w:rPr>
          <w:b/>
          <w:sz w:val="20"/>
          <w:u w:val="single"/>
        </w:rPr>
      </w:pPr>
      <w:proofErr w:type="spellStart"/>
      <w:r w:rsidRPr="00E00BEA">
        <w:rPr>
          <w:b/>
          <w:sz w:val="20"/>
          <w:u w:val="single"/>
        </w:rPr>
        <w:t>Introduction</w:t>
      </w:r>
      <w:proofErr w:type="spellEnd"/>
    </w:p>
    <w:p w14:paraId="2771FE94" w14:textId="77777777" w:rsidR="005843CF" w:rsidRPr="00297FF4" w:rsidRDefault="00214C06" w:rsidP="00297FF4">
      <w:pPr>
        <w:pStyle w:val="NormalWeb"/>
        <w:numPr>
          <w:ilvl w:val="0"/>
          <w:numId w:val="7"/>
        </w:numPr>
        <w:rPr>
          <w:rFonts w:asciiTheme="majorHAnsi" w:hAnsiTheme="majorHAnsi" w:cstheme="majorHAnsi"/>
          <w:sz w:val="20"/>
        </w:rPr>
      </w:pPr>
      <w:r w:rsidRPr="00214C06">
        <w:rPr>
          <w:rStyle w:val="Textoennegrita"/>
          <w:rFonts w:asciiTheme="majorHAnsi" w:hAnsiTheme="majorHAnsi" w:cstheme="majorHAnsi"/>
          <w:sz w:val="20"/>
        </w:rPr>
        <w:t>Intrinsic water-use efficiency (</w:t>
      </w:r>
      <w:proofErr w:type="spellStart"/>
      <w:r w:rsidRPr="00214C06">
        <w:rPr>
          <w:rStyle w:val="Textoennegrita"/>
          <w:rFonts w:asciiTheme="majorHAnsi" w:hAnsiTheme="majorHAnsi" w:cstheme="majorHAnsi"/>
          <w:sz w:val="20"/>
        </w:rPr>
        <w:t>iWUE</w:t>
      </w:r>
      <w:proofErr w:type="spellEnd"/>
      <w:r w:rsidRPr="00214C06">
        <w:rPr>
          <w:rStyle w:val="Textoennegrita"/>
          <w:rFonts w:asciiTheme="majorHAnsi" w:hAnsiTheme="majorHAnsi" w:cstheme="majorHAnsi"/>
          <w:sz w:val="20"/>
        </w:rPr>
        <w:t>)</w:t>
      </w:r>
      <w:r w:rsidRPr="00214C06">
        <w:rPr>
          <w:rFonts w:asciiTheme="majorHAnsi" w:hAnsiTheme="majorHAnsi" w:cstheme="majorHAnsi"/>
          <w:sz w:val="20"/>
        </w:rPr>
        <w:t xml:space="preserve"> is a key physiological </w:t>
      </w:r>
      <w:r>
        <w:rPr>
          <w:rFonts w:asciiTheme="majorHAnsi" w:hAnsiTheme="majorHAnsi" w:cstheme="majorHAnsi"/>
          <w:sz w:val="20"/>
        </w:rPr>
        <w:t>parameter that links</w:t>
      </w:r>
      <w:r w:rsidRPr="00214C06">
        <w:rPr>
          <w:rFonts w:asciiTheme="majorHAnsi" w:hAnsiTheme="majorHAnsi" w:cstheme="majorHAnsi"/>
          <w:sz w:val="20"/>
        </w:rPr>
        <w:t xml:space="preserve"> the carbon and water cycles</w:t>
      </w:r>
      <w:r>
        <w:rPr>
          <w:rFonts w:asciiTheme="majorHAnsi" w:hAnsiTheme="majorHAnsi" w:cstheme="majorHAnsi"/>
          <w:sz w:val="20"/>
        </w:rPr>
        <w:t>. It reflects</w:t>
      </w:r>
      <w:r w:rsidRPr="00214C06">
        <w:rPr>
          <w:rFonts w:asciiTheme="majorHAnsi" w:hAnsiTheme="majorHAnsi" w:cstheme="majorHAnsi"/>
          <w:sz w:val="20"/>
        </w:rPr>
        <w:t xml:space="preserve"> how plants balance carbon assimilation with stomatal regulation of water loss.</w:t>
      </w:r>
    </w:p>
    <w:p w14:paraId="19464F02" w14:textId="77777777" w:rsidR="00621125" w:rsidRPr="00621125" w:rsidRDefault="00297FF4" w:rsidP="005843CF">
      <w:pPr>
        <w:pStyle w:val="NormalWeb"/>
        <w:numPr>
          <w:ilvl w:val="0"/>
          <w:numId w:val="7"/>
        </w:numPr>
        <w:rPr>
          <w:rStyle w:val="Textoennegrita"/>
          <w:rFonts w:asciiTheme="majorHAnsi" w:hAnsiTheme="majorHAnsi" w:cstheme="majorHAnsi"/>
          <w:b w:val="0"/>
          <w:bCs w:val="0"/>
          <w:sz w:val="20"/>
        </w:rPr>
      </w:pPr>
      <w:r>
        <w:rPr>
          <w:rStyle w:val="Textoennegrita"/>
          <w:rFonts w:asciiTheme="majorHAnsi" w:hAnsiTheme="majorHAnsi" w:cstheme="majorHAnsi"/>
          <w:sz w:val="20"/>
        </w:rPr>
        <w:t>Nutrient addition experiments as a tool for standardize and collect data</w:t>
      </w:r>
      <w:r w:rsidRPr="00297FF4">
        <w:rPr>
          <w:rStyle w:val="Textoennegrita"/>
          <w:rFonts w:asciiTheme="majorHAnsi" w:hAnsiTheme="majorHAnsi" w:cstheme="majorHAnsi"/>
          <w:b w:val="0"/>
          <w:sz w:val="20"/>
        </w:rPr>
        <w:t xml:space="preserve">: </w:t>
      </w:r>
    </w:p>
    <w:p w14:paraId="5B40418A" w14:textId="661AAD49" w:rsidR="005843CF" w:rsidRPr="005843CF" w:rsidRDefault="005843CF" w:rsidP="00621125">
      <w:pPr>
        <w:pStyle w:val="NormalWeb"/>
        <w:ind w:left="1080"/>
        <w:rPr>
          <w:rFonts w:asciiTheme="majorHAnsi" w:hAnsiTheme="majorHAnsi" w:cstheme="majorHAnsi"/>
          <w:sz w:val="20"/>
        </w:rPr>
      </w:pPr>
      <w:r w:rsidRPr="00297FF4">
        <w:rPr>
          <w:rStyle w:val="Textoennegrita"/>
          <w:rFonts w:asciiTheme="majorHAnsi" w:hAnsiTheme="majorHAnsi" w:cstheme="majorHAnsi"/>
          <w:b w:val="0"/>
          <w:sz w:val="20"/>
        </w:rPr>
        <w:fldChar w:fldCharType="begin" w:fldLock="1"/>
      </w:r>
      <w:r w:rsidRPr="00297FF4">
        <w:rPr>
          <w:rStyle w:val="Textoennegrita"/>
          <w:rFonts w:asciiTheme="majorHAnsi" w:hAnsiTheme="majorHAnsi" w:cstheme="majorHAnsi"/>
          <w:b w:val="0"/>
          <w:sz w:val="20"/>
        </w:rPr>
        <w:instrText>ADDIN CSL_CITATION {"citationItems":[{"id":"ITEM-1","itemData":{"DOI":"10.1002/ecm.1382","ISSN":"15577015","abstract":"I present a meta-analysis of plant responses to 48 nutrient addition experiments conducted with native species in naturally growing tropical forests, exclusive of mangrove forests. The added nutrients include nitrogen (N) in 36 experiments, phosphorus (P) in 33 experiments, calcium and potassium in one experiment each, and various mixtures of essential nutrients in the remaining experiments. I evaluate the hypotheses that nutrients limit tropical forest plants, nutrient limitation is stronger in successional than in old-growth forests, P but not N is limiting in lowland forests, and N is limiting in montane forests. Responses to the most complete nutrient mix used in each experiment were strong for plant functions that contribute to aboveground production (Hedges’ g averages 0.87) and nonsignificant for fine root biomass. Responses to N addition and to P addition were strong for tissue concentrations of the added element (Hedges’ g averages 0.75 and 1.4, respectively), moderate for fine litter production (0.64 and 0.65, respectively), moderate to weak for plant growth (0.46 and 0.37, respectively) and nonsignificant for fine root biomass. Growth responses were stronger in successional than in old-growth forests. All responses were unrelated to elevation. The 48 experiments included 30 factorial nitrogen-phosphorus experiments that enable additional direct tests of the widely cited hypotheses that P limitation is stronger than N limitation in lowland forests and vice versa in montane forests. Both hypotheses were rejected. The N × P interaction effect was nonsignificant across the factorial experiments. In conclusion, nutrients clearly limit tropical forest plants. Limitation by N is widespread in both lowland and montane forests, and the same is true for P. Single experiments identify limitation by calcium and potassium, and correlative studies suggest limitation by calcium, potassium, and magnesium. The available evidence is consistent with the possibility that most macronutrients limit tropical forest plants; however, experiments focus almost exclusively on N and P. The way forward will include taking fuller advantage of existing nutrient addition experiments, siting new experiments strategically, and developing cost-effective methods to assay responses to all of the essential nutrients soils supply to plants.","author":[{"dropping-particle":"","family":"Wright","given":"S. Joseph","non-dropping-particle":"","parse-names":false,"suffix":""}],"container-title":"Ecological Monographs","id":"ITEM-1","issue":"4","issued":{"date-parts":[["2019","11","1"]]},"publisher":"Ecological Society of America","title":"Plant responses to nutrient addition experiments conducted in tropical forests","type":"article-journal","volume":"89"},"uris":["http://www.mendeley.com/documents/?uuid=341a40b4-3a05-3f12-baa9-6d155595d103"]}],"mendeley":{"formattedCitation":"(Wright 2019)","plainTextFormattedCitation":"(Wright 2019)","previouslyFormattedCitation":"(Wright 2019)"},"properties":{"noteIndex":0},"schema":"https://github.com/citation-style-language/schema/raw/master/csl-citation.json"}</w:instrText>
      </w:r>
      <w:r w:rsidRPr="00297FF4">
        <w:rPr>
          <w:rStyle w:val="Textoennegrita"/>
          <w:rFonts w:asciiTheme="majorHAnsi" w:hAnsiTheme="majorHAnsi" w:cstheme="majorHAnsi"/>
          <w:b w:val="0"/>
          <w:sz w:val="20"/>
        </w:rPr>
        <w:fldChar w:fldCharType="separate"/>
      </w:r>
      <w:r w:rsidRPr="00297FF4">
        <w:rPr>
          <w:rStyle w:val="Textoennegrita"/>
          <w:rFonts w:asciiTheme="majorHAnsi" w:hAnsiTheme="majorHAnsi" w:cstheme="majorHAnsi"/>
          <w:b w:val="0"/>
          <w:noProof/>
          <w:sz w:val="20"/>
        </w:rPr>
        <w:t>(Wright 2019)</w:t>
      </w:r>
      <w:r w:rsidRPr="00297FF4">
        <w:rPr>
          <w:rStyle w:val="Textoennegrita"/>
          <w:rFonts w:asciiTheme="majorHAnsi" w:hAnsiTheme="majorHAnsi" w:cstheme="majorHAnsi"/>
          <w:b w:val="0"/>
          <w:sz w:val="20"/>
        </w:rPr>
        <w:fldChar w:fldCharType="end"/>
      </w:r>
      <w:r w:rsidRPr="00297FF4">
        <w:rPr>
          <w:rStyle w:val="Textoennegrita"/>
          <w:rFonts w:asciiTheme="majorHAnsi" w:hAnsiTheme="majorHAnsi" w:cstheme="majorHAnsi"/>
          <w:b w:val="0"/>
          <w:sz w:val="20"/>
        </w:rPr>
        <w:t xml:space="preserve"> has an overview of tropical experiments. </w:t>
      </w:r>
      <w:r w:rsidRPr="00297FF4">
        <w:rPr>
          <w:rStyle w:val="Textoennegrita"/>
          <w:rFonts w:asciiTheme="majorHAnsi" w:hAnsiTheme="majorHAnsi" w:cstheme="majorHAnsi"/>
          <w:b w:val="0"/>
          <w:sz w:val="20"/>
        </w:rPr>
        <w:fldChar w:fldCharType="begin" w:fldLock="1"/>
      </w:r>
      <w:r w:rsidRPr="00297FF4">
        <w:rPr>
          <w:rStyle w:val="Textoennegrita"/>
          <w:rFonts w:asciiTheme="majorHAnsi" w:hAnsiTheme="majorHAnsi" w:cstheme="majorHAnsi"/>
          <w:b w:val="0"/>
          <w:sz w:val="20"/>
        </w:rPr>
        <w:instrText>ADDIN CSL_CITATION {"citationItems":[{"id":"ITEM-1","itemData":{"DOI":"10.1007/978-3-319-27422-5_13","abstract":"Highly productive tropical forests often occur on nutrient-poor soilsSoil\n        . The apparent lack of a relationship between tree growthTree growth\n         and site fertility has generated decades of research into which nutrients, if any, limit tropical forest...","author":[{"dropping-particle":"","family":"Sayer","given":"E. J.","non-dropping-particle":"","parse-names":false,"suffix":""},{"dropping-particle":"","family":"Banin","given":"L. F.","non-dropping-particle":"","parse-names":false,"suffix":""}],"container-title":"Tree Physiology","id":"ITEM-1","issued":{"date-parts":[["2016"]]},"page":"275-297","publisher":"Springer, Cham","title":"Tree Nutrient Status and Nutrient Cycling in Tropical Forest—Lessons from Fertilization Experiments","type":"article-journal","volume":"6"},"uris":["http://www.mendeley.com/documents/?uuid=f5f3f002-5b7b-3907-a413-51a195b1dce8"]}],"mendeley":{"formattedCitation":"(Sayer &amp; Banin 2016)","plainTextFormattedCitation":"(Sayer &amp; Banin 2016)","previouslyFormattedCitation":"(Sayer &amp; Banin 2016)"},"properties":{"noteIndex":0},"schema":"https://github.com/citation-style-language/schema/raw/master/csl-citation.json"}</w:instrText>
      </w:r>
      <w:r w:rsidRPr="00297FF4">
        <w:rPr>
          <w:rStyle w:val="Textoennegrita"/>
          <w:rFonts w:asciiTheme="majorHAnsi" w:hAnsiTheme="majorHAnsi" w:cstheme="majorHAnsi"/>
          <w:b w:val="0"/>
          <w:sz w:val="20"/>
        </w:rPr>
        <w:fldChar w:fldCharType="separate"/>
      </w:r>
      <w:r w:rsidRPr="00297FF4">
        <w:rPr>
          <w:rStyle w:val="Textoennegrita"/>
          <w:rFonts w:asciiTheme="majorHAnsi" w:hAnsiTheme="majorHAnsi" w:cstheme="majorHAnsi"/>
          <w:b w:val="0"/>
          <w:noProof/>
          <w:sz w:val="20"/>
        </w:rPr>
        <w:t>(Sayer &amp; Banin 2016)</w:t>
      </w:r>
      <w:r w:rsidRPr="00297FF4">
        <w:rPr>
          <w:rStyle w:val="Textoennegrita"/>
          <w:rFonts w:asciiTheme="majorHAnsi" w:hAnsiTheme="majorHAnsi" w:cstheme="majorHAnsi"/>
          <w:b w:val="0"/>
          <w:sz w:val="20"/>
        </w:rPr>
        <w:fldChar w:fldCharType="end"/>
      </w:r>
      <w:r w:rsidRPr="00297FF4">
        <w:rPr>
          <w:rStyle w:val="Textoennegrita"/>
          <w:rFonts w:asciiTheme="majorHAnsi" w:hAnsiTheme="majorHAnsi" w:cstheme="majorHAnsi"/>
          <w:b w:val="0"/>
          <w:sz w:val="20"/>
        </w:rPr>
        <w:t xml:space="preserve"> Meta-analyzes of tropical mountains.</w:t>
      </w:r>
      <w:r w:rsidRPr="00297FF4">
        <w:rPr>
          <w:rStyle w:val="Textoennegrita"/>
          <w:rFonts w:asciiTheme="majorHAnsi" w:hAnsiTheme="majorHAnsi" w:cstheme="majorHAnsi"/>
          <w:b w:val="0"/>
          <w:sz w:val="20"/>
        </w:rPr>
        <w:fldChar w:fldCharType="begin" w:fldLock="1"/>
      </w:r>
      <w:r w:rsidRPr="00297FF4">
        <w:rPr>
          <w:rStyle w:val="Textoennegrita"/>
          <w:rFonts w:asciiTheme="majorHAnsi" w:hAnsiTheme="majorHAnsi" w:cstheme="majorHAnsi"/>
          <w:b w:val="0"/>
          <w:sz w:val="20"/>
        </w:rPr>
        <w:instrText>ADDIN CSL_CITATION {"citationItems":[{"id":"ITEM-1","itemData":{"DOI":"10.1017/S0266467415000619","ISSN":"14697831","abstract":"Tropical montane forests (TMF) are associated with a widely observed suite of characteristics encompassing forest structure, plant traits and biogeochemistry. With respect to nutrient relations, montane forests are characterized by slow decomposition of organic matter, high investment in below-ground biomass and poor litter quality, relative to tropical lowland forests. However, within TMF there is considerable variation in substrate age, parent material, disturbance and species composition. Here we emphasize that many TMFs are likely to be co-limited by multiple nutrients, and that feedback among soil properties, species traits, microbial communities and environmental conditions drive forest productivity and soil carbon storage. To date, studies of the biogeochemistry of montane forests have been restricted to a few, mostly neotropical, sites and focused mainly on trees while ignoring mycorrhizas, epiphytes and microbial community structure. Incorporating the geographic, environmental and biotic variability in TMF will lead to a greater recognition of plant-soil feedbacks that are critical to understanding constraints on productivity, both under present conditions and under future climate, nitrogen-deposition and land-use scenarios.","author":[{"dropping-particle":"","family":"Dalling","given":"James W.","non-dropping-particle":"","parse-names":false,"suffix":""},{"dropping-particle":"","family":"Heineman","given":"Katherine","non-dropping-particle":"","parse-names":false,"suffix":""},{"dropping-particle":"","family":"González","given":"Grizelle","non-dropping-particle":"","parse-names":false,"suffix":""},{"dropping-particle":"","family":"Ostertag","given":"Rebecca","non-dropping-particle":"","parse-names":false,"suffix":""}],"container-title":"Journal of Tropical Ecology","id":"ITEM-1","issue":"5","issued":{"date-parts":[["2016","9","1"]]},"page":"368-383","publisher":"Cambridge University Press","title":"Geographic, environmental and biotic sources of variation in the nutrient relations of tropical montane forests","type":"article-journal","volume":"32"},"uris":["http://www.mendeley.com/documents/?uuid=8c92cfc6-37d7-3593-aa4e-4bc85ccc58fc"]}],"mendeley":{"formattedCitation":"(Dalling et al. 2016)","plainTextFormattedCitation":"(Dalling et al. 2016)","previouslyFormattedCitation":"(Dalling et al. 2016)"},"properties":{"noteIndex":0},"schema":"https://github.com/citation-style-language/schema/raw/master/csl-citation.json"}</w:instrText>
      </w:r>
      <w:r w:rsidRPr="00297FF4">
        <w:rPr>
          <w:rStyle w:val="Textoennegrita"/>
          <w:rFonts w:asciiTheme="majorHAnsi" w:hAnsiTheme="majorHAnsi" w:cstheme="majorHAnsi"/>
          <w:b w:val="0"/>
          <w:sz w:val="20"/>
        </w:rPr>
        <w:fldChar w:fldCharType="separate"/>
      </w:r>
      <w:r w:rsidRPr="00297FF4">
        <w:rPr>
          <w:rStyle w:val="Textoennegrita"/>
          <w:rFonts w:asciiTheme="majorHAnsi" w:hAnsiTheme="majorHAnsi" w:cstheme="majorHAnsi"/>
          <w:b w:val="0"/>
          <w:noProof/>
          <w:sz w:val="20"/>
        </w:rPr>
        <w:t>(Dalling et al. 2016)</w:t>
      </w:r>
      <w:r w:rsidRPr="00297FF4">
        <w:rPr>
          <w:rStyle w:val="Textoennegrita"/>
          <w:rFonts w:asciiTheme="majorHAnsi" w:hAnsiTheme="majorHAnsi" w:cstheme="majorHAnsi"/>
          <w:b w:val="0"/>
          <w:sz w:val="20"/>
        </w:rPr>
        <w:fldChar w:fldCharType="end"/>
      </w:r>
      <w:r w:rsidRPr="00297FF4">
        <w:rPr>
          <w:rStyle w:val="Textoennegrita"/>
          <w:rFonts w:asciiTheme="majorHAnsi" w:hAnsiTheme="majorHAnsi" w:cstheme="majorHAnsi"/>
          <w:b w:val="0"/>
          <w:sz w:val="20"/>
        </w:rPr>
        <w:t xml:space="preserve"> also an overview on nutrients on mountain forests.</w:t>
      </w:r>
    </w:p>
    <w:p w14:paraId="6C17DE90" w14:textId="77777777" w:rsidR="00621125" w:rsidRDefault="00214C06" w:rsidP="005843CF">
      <w:pPr>
        <w:pStyle w:val="NormalWeb"/>
        <w:numPr>
          <w:ilvl w:val="0"/>
          <w:numId w:val="7"/>
        </w:numPr>
        <w:rPr>
          <w:rFonts w:asciiTheme="majorHAnsi" w:hAnsiTheme="majorHAnsi" w:cstheme="majorHAnsi"/>
          <w:sz w:val="20"/>
        </w:rPr>
      </w:pPr>
      <w:r w:rsidRPr="00214C06">
        <w:rPr>
          <w:rStyle w:val="Textoennegrita"/>
          <w:rFonts w:asciiTheme="majorHAnsi" w:hAnsiTheme="majorHAnsi" w:cstheme="majorHAnsi"/>
          <w:sz w:val="20"/>
        </w:rPr>
        <w:t>NUMEX</w:t>
      </w:r>
      <w:r w:rsidRPr="00214C06">
        <w:rPr>
          <w:rFonts w:asciiTheme="majorHAnsi" w:hAnsiTheme="majorHAnsi" w:cstheme="majorHAnsi"/>
          <w:sz w:val="20"/>
        </w:rPr>
        <w:t xml:space="preserve"> is a long-term nutrient manipulation experiment established in </w:t>
      </w:r>
      <w:r w:rsidRPr="00214C06">
        <w:rPr>
          <w:rStyle w:val="Textoennegrita"/>
          <w:rFonts w:asciiTheme="majorHAnsi" w:hAnsiTheme="majorHAnsi" w:cstheme="majorHAnsi"/>
          <w:sz w:val="20"/>
        </w:rPr>
        <w:t>2009</w:t>
      </w:r>
      <w:r w:rsidRPr="00214C06">
        <w:rPr>
          <w:rFonts w:asciiTheme="majorHAnsi" w:hAnsiTheme="majorHAnsi" w:cstheme="majorHAnsi"/>
          <w:sz w:val="20"/>
        </w:rPr>
        <w:t xml:space="preserve"> in a tropical montane forest, designed to evaluate ecosystem responses to sustained, moderate additions of nitrogen (N) and phosphorus (P).</w:t>
      </w:r>
    </w:p>
    <w:p w14:paraId="4B1F39CD" w14:textId="2876AEAD" w:rsidR="005843CF" w:rsidRPr="005843CF" w:rsidRDefault="005843CF" w:rsidP="00621125">
      <w:pPr>
        <w:pStyle w:val="NormalWeb"/>
        <w:ind w:left="1080"/>
        <w:rPr>
          <w:rFonts w:asciiTheme="majorHAnsi" w:hAnsiTheme="majorHAnsi" w:cstheme="majorHAnsi"/>
          <w:sz w:val="20"/>
        </w:rPr>
      </w:pPr>
      <w:r>
        <w:rPr>
          <w:rFonts w:asciiTheme="majorHAnsi" w:hAnsiTheme="majorHAnsi" w:cstheme="majorHAnsi"/>
          <w:sz w:val="20"/>
        </w:rPr>
        <w:t xml:space="preserve"> Use </w:t>
      </w:r>
      <w:r>
        <w:rPr>
          <w:rFonts w:asciiTheme="majorHAnsi" w:hAnsiTheme="majorHAnsi" w:cstheme="majorHAnsi"/>
          <w:sz w:val="20"/>
        </w:rPr>
        <w:fldChar w:fldCharType="begin" w:fldLock="1"/>
      </w:r>
      <w:r w:rsidR="00764D88">
        <w:rPr>
          <w:rFonts w:asciiTheme="majorHAnsi" w:hAnsiTheme="majorHAnsi" w:cstheme="majorHAnsi"/>
          <w:sz w:val="20"/>
        </w:rPr>
        <w:instrText>ADDIN CSL_CITATION {"citationItems":[{"id":"ITEM-1","itemData":{"DOI":"10.1371/JOURNAL.PONE.0047128","ISSN":"19326203","PMID":"23071734","abstract":"Tropical regions are facing increasing atmospheric inputs of nutrients, which will have unknown consequences for the structure and functioning of these systems. Here, we show that Neotropical montane rainforests respond rapidly to moderate additions of N (50 kg ha-1 yr-1) and P (10 kg ha-1 yr-1). Monitoring of nutrient fluxes demonstrated that the majority of added nutrients remained in the system, in either soil or vegetation. N and P additions led to not only an increase in foliar N and P concentrations, but also altered soil microbial biomass, standing fine root biomass, stem growth, and litterfall. The different effects suggest that trees are primarily limited by P, whereas some processes-notably aboveground productivity-are limited by both N and P. Highly variable and partly contrasting responses of different tree species suggest marked changes in species composition and diversity of these forests by nutrient inputs in the long term. The unexpectedly fast response of the ecosystem to moderate nutrient additions suggests high vulnerability of tropical montane forests to the expected increase in nutrient inputs. © 2012 Homeier et al.","author":[{"dropping-particle":"","family":"Homeier","given":"Jürgen","non-dropping-particle":"","parse-names":false,"suffix":""},{"dropping-particle":"","family":"Hertel","given":"Dietrich","non-dropping-particle":"","parse-names":false,"suffix":""},{"dropping-particle":"","family":"Camenzind","given":"Tessa","non-dropping-particle":"","parse-names":false,"suffix":""},{"dropping-particle":"","family":"Cumbicus","given":"Nixon L.","non-dropping-particle":"","parse-names":false,"suffix":""},{"dropping-particle":"","family":"Maraun","given":"Mark","non-dropping-particle":"","parse-names":false,"suffix":""},{"dropping-particle":"","family":"Martinson","given":"Guntars O.","non-dropping-particle":"","parse-names":false,"suffix":""},{"dropping-particle":"","family":"Poma","given":"L. Nohemy","non-dropping-particle":"","parse-names":false,"suffix":""},{"dropping-particle":"","family":"Rillig","given":"Matthias C.","non-dropping-particle":"","parse-names":false,"suffix":""},{"dropping-particle":"","family":"Sandmann","given":"Dorothee","non-dropping-particle":"","parse-names":false,"suffix":""},{"dropping-particle":"","family":"Scheu","given":"Stefan","non-dropping-particle":"","parse-names":false,"suffix":""},{"dropping-particle":"","family":"Veldkamp","given":"Edzo","non-dropping-particle":"","parse-names":false,"suffix":""},{"dropping-particle":"","family":"Wilcke","given":"Wolfgang","non-dropping-particle":"","parse-names":false,"suffix":""},{"dropping-particle":"","family":"Wullaert","given":"Hans","non-dropping-particle":"","parse-names":false,"suffix":""},{"dropping-particle":"","family":"Leuschner","given":"Christoph","non-dropping-particle":"","parse-names":false,"suffix":""}],"container-title":"PLoS ONE","id":"ITEM-1","issue":"10","issued":{"date-parts":[["2012","10","10"]]},"page":"e47128","title":"Tropical Andean Forests Are Highly Susceptible to Nutrient Inputs—Rapid Effects of Experimental N and P Addition to an Ecuadorian Montane Forest","type":"article-journal","volume":"7"},"uris":["http://www.mendeley.com/documents/?uuid=27a9dcaf-0fa1-3c69-a1d3-90c4b9e1aa5c"]},{"id":"ITEM-2","itemData":{"DOI":"10.1111/btp.12518","ISSN":"17447429","abstract":"Global changes in nutrient deposition rates are likely to have profound effects on plant communities, particularly in the nutrient-limited systems of the tropics. We studied the effects of increased nutrient availability on the seedlings of six tree species in montane forests of southern Ecuador in situ. After five years of continued N, P, or N+P addition, naturally grown seedlings of each of the two most common species at each elevation (1000, 2000, and 3000 m asl) were harvested for analyses of leaf morphology, nutrient content, herbivory, and tissue biomass allocation. Most species showed increased foliar N and P concentrations after addition of each respective element. Leaf tissue N:P ratios of &gt;20 in the control plants of all species suggest that P is more growth-limiting in these forests than N. Leaf morphological responses to nutrient addition were species and nutrient specific, with some species (Hedyosmum purparescens, Graffenrieda emarginata) exhibiting increased specific leaf area (SLA), and others (Graffenrieda harlingii) increased leaf area ratios (LAR). Pouteria torta (1000 m) had lower SLA and LAR after P addition. Increased herbivory was only evident in G. emarginata (after N and N+P addition). Only the species from 3000 m asl modified biomass allocation after nutrient addition. In general, N and N+P addition more strongly affected the species studied at the upper elevations, whereas P addition had a similar range of effects on the species at all elevations. We conclude that the responses of the studied tropical montane forest tree seedlings to chronic N and P addition are highly species-specific and that successful adaptation to increased nutrient availability will depend on species-specific morphological and physiological plasticity.","author":[{"dropping-particle":"","family":"Cárate-Tandalla","given":"Daisy","non-dropping-particle":"","parse-names":false,"suffix":""},{"dropping-particle":"","family":"Camenzind","given":"Tessa","non-dropping-particle":"","parse-names":false,"suffix":""},{"dropping-particle":"","family":"Leuschner","given":"Christoph","non-dropping-particle":"","parse-names":false,"suffix":""},{"dropping-particle":"","family":"Homeier","given":"Jürgen","non-dropping-particle":"","parse-names":false,"suffix":""}],"container-title":"Biotropica","id":"ITEM-2","issue":"2","issued":{"date-parts":[["2018","3","1"]]},"page":"234-245","publisher":"Blackwell Publishing Ltd","title":"Contrasting species responses to continued nitrogen and phosphorus addition in tropical montane forest tree seedlings","type":"article-journal","volume":"50"},"uris":["http://www.mendeley.com/documents/?uuid=e18483b0-e8bf-3e51-a4ca-5661cac205b0"]}],"mendeley":{"formattedCitation":"(Homeier et al. 2012; Cárate-Tandalla et al. 2018a)","plainTextFormattedCitation":"(Homeier et al. 2012; Cárate-Tandalla et al. 2018a)","previouslyFormattedCitation":"(Homeier et al. 2012; Cárate-Tandalla et al. 2018a)"},"properties":{"noteIndex":0},"schema":"https://github.com/citation-style-language/schema/raw/master/csl-citation.json"}</w:instrText>
      </w:r>
      <w:r>
        <w:rPr>
          <w:rFonts w:asciiTheme="majorHAnsi" w:hAnsiTheme="majorHAnsi" w:cstheme="majorHAnsi"/>
          <w:sz w:val="20"/>
        </w:rPr>
        <w:fldChar w:fldCharType="separate"/>
      </w:r>
      <w:r w:rsidR="00764D88" w:rsidRPr="00764D88">
        <w:rPr>
          <w:rFonts w:asciiTheme="majorHAnsi" w:hAnsiTheme="majorHAnsi" w:cstheme="majorHAnsi"/>
          <w:noProof/>
          <w:sz w:val="20"/>
        </w:rPr>
        <w:t>(Homeier et al. 2012; Cárate-Tandalla et al. 2018a)</w:t>
      </w:r>
      <w:r>
        <w:rPr>
          <w:rFonts w:asciiTheme="majorHAnsi" w:hAnsiTheme="majorHAnsi" w:cstheme="majorHAnsi"/>
          <w:sz w:val="20"/>
        </w:rPr>
        <w:fldChar w:fldCharType="end"/>
      </w:r>
      <w:r>
        <w:rPr>
          <w:rFonts w:asciiTheme="majorHAnsi" w:hAnsiTheme="majorHAnsi" w:cstheme="majorHAnsi"/>
          <w:sz w:val="20"/>
        </w:rPr>
        <w:t xml:space="preserve"> for references on the experiment. </w:t>
      </w:r>
    </w:p>
    <w:p w14:paraId="07F9522E" w14:textId="77777777" w:rsidR="005843CF" w:rsidRPr="005843CF" w:rsidRDefault="00214C06" w:rsidP="005843CF">
      <w:pPr>
        <w:pStyle w:val="NormalWeb"/>
        <w:numPr>
          <w:ilvl w:val="0"/>
          <w:numId w:val="7"/>
        </w:numPr>
        <w:rPr>
          <w:rFonts w:asciiTheme="majorHAnsi" w:hAnsiTheme="majorHAnsi" w:cstheme="majorHAnsi"/>
          <w:sz w:val="20"/>
        </w:rPr>
      </w:pPr>
      <w:r w:rsidRPr="00214C06">
        <w:rPr>
          <w:rStyle w:val="Textoennegrita"/>
          <w:rFonts w:asciiTheme="majorHAnsi" w:hAnsiTheme="majorHAnsi" w:cstheme="majorHAnsi"/>
          <w:sz w:val="20"/>
        </w:rPr>
        <w:t>Montane tropical forests often exhibit complex biogeochemical limitations.</w:t>
      </w:r>
      <w:r w:rsidRPr="00214C06">
        <w:rPr>
          <w:rFonts w:asciiTheme="majorHAnsi" w:hAnsiTheme="majorHAnsi" w:cstheme="majorHAnsi"/>
          <w:sz w:val="20"/>
        </w:rPr>
        <w:t xml:space="preserve"> Evidence from NUMEX suggests that these ecosystems may be </w:t>
      </w:r>
      <w:r w:rsidRPr="00214C06">
        <w:rPr>
          <w:rStyle w:val="Textoennegrita"/>
          <w:rFonts w:asciiTheme="majorHAnsi" w:hAnsiTheme="majorHAnsi" w:cstheme="majorHAnsi"/>
          <w:sz w:val="20"/>
        </w:rPr>
        <w:t>co-limited by nitrogen and phosphorus</w:t>
      </w:r>
      <w:r w:rsidRPr="00214C06">
        <w:rPr>
          <w:rFonts w:asciiTheme="majorHAnsi" w:hAnsiTheme="majorHAnsi" w:cstheme="majorHAnsi"/>
          <w:sz w:val="20"/>
        </w:rPr>
        <w:t>, influencing nutrient cycling, productivity, and leaf functional traits.</w:t>
      </w:r>
      <w:r w:rsidR="00297FF4">
        <w:rPr>
          <w:rFonts w:asciiTheme="majorHAnsi" w:hAnsiTheme="majorHAnsi" w:cstheme="majorHAnsi"/>
          <w:sz w:val="20"/>
        </w:rPr>
        <w:t xml:space="preserve"> Use available information from NUMEX.</w:t>
      </w:r>
    </w:p>
    <w:p w14:paraId="02D266FC" w14:textId="0C02380D" w:rsidR="00214C06" w:rsidRDefault="00214C06" w:rsidP="00214C06">
      <w:pPr>
        <w:pStyle w:val="NormalWeb"/>
        <w:numPr>
          <w:ilvl w:val="0"/>
          <w:numId w:val="7"/>
        </w:numPr>
        <w:rPr>
          <w:rFonts w:asciiTheme="majorHAnsi" w:hAnsiTheme="majorHAnsi" w:cstheme="majorHAnsi"/>
          <w:sz w:val="20"/>
        </w:rPr>
      </w:pPr>
      <w:r w:rsidRPr="00214C06">
        <w:rPr>
          <w:rStyle w:val="Textoennegrita"/>
          <w:rFonts w:asciiTheme="majorHAnsi" w:hAnsiTheme="majorHAnsi" w:cstheme="majorHAnsi"/>
          <w:sz w:val="20"/>
        </w:rPr>
        <w:t xml:space="preserve">Studies examining how nutrient availability affects </w:t>
      </w:r>
      <w:proofErr w:type="spellStart"/>
      <w:r w:rsidRPr="00214C06">
        <w:rPr>
          <w:rStyle w:val="Textoennegrita"/>
          <w:rFonts w:asciiTheme="majorHAnsi" w:hAnsiTheme="majorHAnsi" w:cstheme="majorHAnsi"/>
          <w:sz w:val="20"/>
        </w:rPr>
        <w:t>iWUE</w:t>
      </w:r>
      <w:proofErr w:type="spellEnd"/>
      <w:r w:rsidRPr="00214C06">
        <w:rPr>
          <w:rStyle w:val="Textoennegrita"/>
          <w:rFonts w:asciiTheme="majorHAnsi" w:hAnsiTheme="majorHAnsi" w:cstheme="majorHAnsi"/>
          <w:sz w:val="20"/>
        </w:rPr>
        <w:t xml:space="preserve"> in tropical montane forests remain scarce.</w:t>
      </w:r>
      <w:r w:rsidRPr="00214C06">
        <w:rPr>
          <w:rFonts w:asciiTheme="majorHAnsi" w:hAnsiTheme="majorHAnsi" w:cstheme="majorHAnsi"/>
          <w:sz w:val="20"/>
        </w:rPr>
        <w:t xml:space="preserve"> Most experimental evidence on nutrient–water use interactio</w:t>
      </w:r>
      <w:r>
        <w:rPr>
          <w:rFonts w:asciiTheme="majorHAnsi" w:hAnsiTheme="majorHAnsi" w:cstheme="majorHAnsi"/>
          <w:sz w:val="20"/>
        </w:rPr>
        <w:t>ns comes from temperate systems</w:t>
      </w:r>
      <w:r w:rsidRPr="00621125">
        <w:rPr>
          <w:rFonts w:ascii="Arial" w:hAnsi="Arial" w:cs="Arial"/>
          <w:sz w:val="20"/>
        </w:rPr>
        <w:t>.</w:t>
      </w:r>
      <w:r w:rsidR="00621125" w:rsidRPr="00621125">
        <w:rPr>
          <w:rFonts w:ascii="Arial" w:hAnsi="Arial" w:cs="Arial"/>
          <w:sz w:val="20"/>
        </w:rPr>
        <w:t xml:space="preserve"> Previous studies suggest that nutrient deposition can increase traits associated with higher photosynthetic </w:t>
      </w:r>
      <w:proofErr w:type="gramStart"/>
      <w:r w:rsidR="00621125" w:rsidRPr="00621125">
        <w:rPr>
          <w:rFonts w:ascii="Arial" w:hAnsi="Arial" w:cs="Arial"/>
          <w:sz w:val="20"/>
        </w:rPr>
        <w:t>capacity ,particularly</w:t>
      </w:r>
      <w:proofErr w:type="gramEnd"/>
      <w:r w:rsidR="00621125" w:rsidRPr="00621125">
        <w:rPr>
          <w:rFonts w:ascii="Arial" w:hAnsi="Arial" w:cs="Arial"/>
          <w:sz w:val="20"/>
        </w:rPr>
        <w:t xml:space="preserve"> in nitrogen-limited ecosystems (Huang et al., 2016).</w:t>
      </w:r>
      <w:r w:rsidR="00621125" w:rsidRPr="00576705">
        <w:rPr>
          <w:sz w:val="20"/>
        </w:rPr>
        <w:t xml:space="preserve"> </w:t>
      </w:r>
      <w:r w:rsidR="000F6E65">
        <w:rPr>
          <w:rFonts w:asciiTheme="majorHAnsi" w:hAnsiTheme="majorHAnsi" w:cstheme="majorHAnsi"/>
          <w:sz w:val="20"/>
        </w:rPr>
        <w:t xml:space="preserve"> Revision on </w:t>
      </w:r>
      <w:proofErr w:type="spellStart"/>
      <w:r w:rsidR="000F6E65">
        <w:rPr>
          <w:rFonts w:asciiTheme="majorHAnsi" w:hAnsiTheme="majorHAnsi" w:cstheme="majorHAnsi"/>
          <w:sz w:val="20"/>
        </w:rPr>
        <w:t>NutNet</w:t>
      </w:r>
      <w:proofErr w:type="spellEnd"/>
      <w:r w:rsidR="000F6E65">
        <w:rPr>
          <w:rFonts w:asciiTheme="majorHAnsi" w:hAnsiTheme="majorHAnsi" w:cstheme="majorHAnsi"/>
          <w:sz w:val="20"/>
        </w:rPr>
        <w:t xml:space="preserve"> bibliography. </w:t>
      </w:r>
    </w:p>
    <w:p w14:paraId="41A2CA85" w14:textId="5C27E33B" w:rsidR="00576705" w:rsidRPr="00A41D43" w:rsidRDefault="00576705" w:rsidP="00A41D43">
      <w:pPr>
        <w:rPr>
          <w:i/>
          <w:sz w:val="20"/>
          <w:lang w:val="en-US"/>
        </w:rPr>
      </w:pPr>
      <w:r w:rsidRPr="00576705">
        <w:rPr>
          <w:sz w:val="20"/>
          <w:lang w:val="en-US"/>
        </w:rPr>
        <w:t>Under scenarios of increasing atmospheric nutrient deposition, intrinsic water-use efficiency (</w:t>
      </w:r>
      <w:proofErr w:type="spellStart"/>
      <w:r w:rsidRPr="00576705">
        <w:rPr>
          <w:sz w:val="20"/>
          <w:lang w:val="en-US"/>
        </w:rPr>
        <w:t>iWUE</w:t>
      </w:r>
      <w:proofErr w:type="spellEnd"/>
      <w:r w:rsidRPr="00576705">
        <w:rPr>
          <w:sz w:val="20"/>
          <w:lang w:val="en-US"/>
        </w:rPr>
        <w:t xml:space="preserve">) can be used as a physiological proxy to evaluate how nutrient availability influences the balance between carbon assimilation and stomatal regulation. </w:t>
      </w:r>
      <w:r w:rsidRPr="00576705">
        <w:rPr>
          <w:i/>
          <w:sz w:val="20"/>
          <w:lang w:val="en-US"/>
        </w:rPr>
        <w:t xml:space="preserve">Here, we use the </w:t>
      </w:r>
      <w:proofErr w:type="spellStart"/>
      <w:r w:rsidRPr="00576705">
        <w:rPr>
          <w:i/>
          <w:sz w:val="20"/>
          <w:lang w:val="en-US"/>
        </w:rPr>
        <w:t>elevational</w:t>
      </w:r>
      <w:proofErr w:type="spellEnd"/>
      <w:r w:rsidRPr="00576705">
        <w:rPr>
          <w:i/>
          <w:sz w:val="20"/>
          <w:lang w:val="en-US"/>
        </w:rPr>
        <w:t xml:space="preserve"> gradient of the experiment </w:t>
      </w:r>
      <w:r w:rsidR="00A41D43">
        <w:rPr>
          <w:i/>
          <w:sz w:val="20"/>
          <w:lang w:val="en-US"/>
        </w:rPr>
        <w:t xml:space="preserve">to evaluate how leaf nutrients, </w:t>
      </w:r>
      <w:r w:rsidRPr="00576705">
        <w:rPr>
          <w:i/>
          <w:sz w:val="20"/>
          <w:lang w:val="en-US"/>
        </w:rPr>
        <w:t xml:space="preserve">structural traits </w:t>
      </w:r>
      <w:r w:rsidR="00A41D43">
        <w:rPr>
          <w:i/>
          <w:sz w:val="20"/>
          <w:lang w:val="en-US"/>
        </w:rPr>
        <w:t xml:space="preserve">and </w:t>
      </w:r>
      <w:proofErr w:type="spellStart"/>
      <w:r w:rsidR="00A41D43">
        <w:rPr>
          <w:i/>
          <w:sz w:val="20"/>
          <w:lang w:val="en-US"/>
        </w:rPr>
        <w:t>iWUE</w:t>
      </w:r>
      <w:proofErr w:type="spellEnd"/>
      <w:r w:rsidR="00A41D43">
        <w:rPr>
          <w:i/>
          <w:sz w:val="20"/>
          <w:lang w:val="en-US"/>
        </w:rPr>
        <w:t xml:space="preserve"> respond after fertilization treatments. </w:t>
      </w:r>
      <w:r w:rsidRPr="00A41D43">
        <w:rPr>
          <w:sz w:val="20"/>
          <w:lang w:val="en-US"/>
        </w:rPr>
        <w:t xml:space="preserve">We hypothesize that moderate nutrient addition will increase </w:t>
      </w:r>
      <w:proofErr w:type="spellStart"/>
      <w:r w:rsidRPr="00A41D43">
        <w:rPr>
          <w:sz w:val="20"/>
          <w:lang w:val="en-US"/>
        </w:rPr>
        <w:t>iWUE</w:t>
      </w:r>
      <w:proofErr w:type="spellEnd"/>
      <w:r w:rsidRPr="00A41D43">
        <w:rPr>
          <w:sz w:val="20"/>
          <w:lang w:val="en-US"/>
        </w:rPr>
        <w:t>, particula</w:t>
      </w:r>
      <w:r w:rsidR="00621125" w:rsidRPr="00A41D43">
        <w:rPr>
          <w:sz w:val="20"/>
          <w:lang w:val="en-US"/>
        </w:rPr>
        <w:t>rly in nitrogen/phosphorus limited areas</w:t>
      </w:r>
      <w:r w:rsidRPr="00A41D43">
        <w:rPr>
          <w:sz w:val="20"/>
          <w:lang w:val="en-US"/>
        </w:rPr>
        <w:t>.</w:t>
      </w:r>
    </w:p>
    <w:p w14:paraId="13BEB3F4" w14:textId="73AC452C" w:rsidR="00297FF4" w:rsidRPr="009B184F" w:rsidRDefault="00214C06" w:rsidP="009B184F">
      <w:pPr>
        <w:rPr>
          <w:b/>
          <w:sz w:val="20"/>
          <w:lang w:val="en-US"/>
        </w:rPr>
      </w:pPr>
      <w:r>
        <w:rPr>
          <w:b/>
          <w:sz w:val="20"/>
          <w:lang w:val="en-US"/>
        </w:rPr>
        <w:t>Research Questions</w:t>
      </w:r>
    </w:p>
    <w:p w14:paraId="160A53F6" w14:textId="70709F1C" w:rsidR="005843CF" w:rsidRPr="005843CF" w:rsidRDefault="005843CF" w:rsidP="005843CF">
      <w:pPr>
        <w:rPr>
          <w:i/>
          <w:sz w:val="20"/>
          <w:lang w:val="en-US"/>
        </w:rPr>
      </w:pPr>
      <w:r>
        <w:rPr>
          <w:i/>
          <w:sz w:val="20"/>
          <w:lang w:val="en-US"/>
        </w:rPr>
        <w:t xml:space="preserve">RQ1. What is the effect </w:t>
      </w:r>
      <w:proofErr w:type="gramStart"/>
      <w:r>
        <w:rPr>
          <w:i/>
          <w:sz w:val="20"/>
          <w:lang w:val="en-US"/>
        </w:rPr>
        <w:t xml:space="preserve">of </w:t>
      </w:r>
      <w:r w:rsidRPr="005843CF">
        <w:rPr>
          <w:i/>
          <w:sz w:val="20"/>
          <w:lang w:val="en-US"/>
        </w:rPr>
        <w:t xml:space="preserve"> moderate</w:t>
      </w:r>
      <w:proofErr w:type="gramEnd"/>
      <w:r w:rsidRPr="005843CF">
        <w:rPr>
          <w:i/>
          <w:sz w:val="20"/>
          <w:lang w:val="en-US"/>
        </w:rPr>
        <w:t xml:space="preserve"> nutrient addition</w:t>
      </w:r>
      <w:r>
        <w:rPr>
          <w:i/>
          <w:sz w:val="20"/>
          <w:lang w:val="en-US"/>
        </w:rPr>
        <w:t xml:space="preserve"> to</w:t>
      </w:r>
      <w:r w:rsidRPr="00214C06">
        <w:rPr>
          <w:i/>
          <w:sz w:val="20"/>
          <w:lang w:val="en-US"/>
        </w:rPr>
        <w:t xml:space="preserve"> </w:t>
      </w:r>
      <w:r w:rsidRPr="00853281">
        <w:rPr>
          <w:i/>
          <w:sz w:val="20"/>
          <w:highlight w:val="yellow"/>
          <w:lang w:val="en-US"/>
        </w:rPr>
        <w:t>leaf</w:t>
      </w:r>
      <w:r w:rsidR="00853281">
        <w:rPr>
          <w:i/>
          <w:sz w:val="20"/>
          <w:highlight w:val="yellow"/>
          <w:lang w:val="en-US"/>
        </w:rPr>
        <w:t xml:space="preserve"> foliar</w:t>
      </w:r>
      <w:r w:rsidRPr="00853281">
        <w:rPr>
          <w:i/>
          <w:sz w:val="20"/>
          <w:highlight w:val="yellow"/>
          <w:lang w:val="en-US"/>
        </w:rPr>
        <w:t xml:space="preserve"> nutrients</w:t>
      </w:r>
      <w:r w:rsidRPr="00214C06">
        <w:rPr>
          <w:i/>
          <w:sz w:val="20"/>
          <w:lang w:val="en-US"/>
        </w:rPr>
        <w:t xml:space="preserve"> (</w:t>
      </w:r>
      <w:proofErr w:type="spellStart"/>
      <w:r w:rsidRPr="00214C06">
        <w:rPr>
          <w:i/>
          <w:sz w:val="20"/>
          <w:lang w:val="en-US"/>
        </w:rPr>
        <w:t>Nmass</w:t>
      </w:r>
      <w:proofErr w:type="spellEnd"/>
      <w:r w:rsidRPr="00214C06">
        <w:rPr>
          <w:i/>
          <w:sz w:val="20"/>
          <w:lang w:val="en-US"/>
        </w:rPr>
        <w:t xml:space="preserve"> and </w:t>
      </w:r>
      <w:proofErr w:type="spellStart"/>
      <w:r w:rsidRPr="00214C06">
        <w:rPr>
          <w:i/>
          <w:sz w:val="20"/>
          <w:lang w:val="en-US"/>
        </w:rPr>
        <w:t>Narea</w:t>
      </w:r>
      <w:proofErr w:type="spellEnd"/>
      <w:r w:rsidRPr="00214C06">
        <w:rPr>
          <w:i/>
          <w:sz w:val="20"/>
          <w:lang w:val="en-US"/>
        </w:rPr>
        <w:t>) and key leaf structural traits (SLA</w:t>
      </w:r>
      <w:r w:rsidRPr="005843CF">
        <w:rPr>
          <w:i/>
          <w:sz w:val="20"/>
          <w:lang w:val="en-US"/>
        </w:rPr>
        <w:t xml:space="preserve"> after 15 years of fertilization across treatments in an </w:t>
      </w:r>
      <w:proofErr w:type="spellStart"/>
      <w:r w:rsidRPr="005843CF">
        <w:rPr>
          <w:i/>
          <w:sz w:val="20"/>
          <w:lang w:val="en-US"/>
        </w:rPr>
        <w:t>elevational</w:t>
      </w:r>
      <w:proofErr w:type="spellEnd"/>
      <w:r w:rsidRPr="005843CF">
        <w:rPr>
          <w:i/>
          <w:sz w:val="20"/>
          <w:lang w:val="en-US"/>
        </w:rPr>
        <w:t xml:space="preserve"> gradient?</w:t>
      </w:r>
    </w:p>
    <w:p w14:paraId="2543CEAE" w14:textId="77777777" w:rsidR="00297FF4" w:rsidRDefault="005843CF" w:rsidP="00297FF4">
      <w:pPr>
        <w:pStyle w:val="Prrafodelista"/>
        <w:numPr>
          <w:ilvl w:val="0"/>
          <w:numId w:val="9"/>
        </w:numPr>
        <w:rPr>
          <w:i/>
          <w:sz w:val="20"/>
          <w:lang w:val="en-US"/>
        </w:rPr>
      </w:pPr>
      <w:r>
        <w:rPr>
          <w:i/>
          <w:sz w:val="20"/>
          <w:lang w:val="en-US"/>
        </w:rPr>
        <w:t>SLA no big change but leaf nutrients respond strongly – P in particular.</w:t>
      </w:r>
    </w:p>
    <w:p w14:paraId="355CABBB" w14:textId="509336EA" w:rsidR="00297FF4" w:rsidRDefault="00297FF4" w:rsidP="00297FF4">
      <w:pPr>
        <w:pStyle w:val="Prrafodelista"/>
        <w:numPr>
          <w:ilvl w:val="0"/>
          <w:numId w:val="9"/>
        </w:numPr>
        <w:rPr>
          <w:i/>
          <w:sz w:val="20"/>
          <w:lang w:val="en-US"/>
        </w:rPr>
      </w:pPr>
      <w:r>
        <w:rPr>
          <w:i/>
          <w:sz w:val="20"/>
          <w:lang w:val="en-US"/>
        </w:rPr>
        <w:t>Fig 1.</w:t>
      </w:r>
    </w:p>
    <w:p w14:paraId="49C47D01" w14:textId="6999F642" w:rsidR="00621125" w:rsidRDefault="00621125" w:rsidP="00621125">
      <w:pPr>
        <w:rPr>
          <w:i/>
          <w:sz w:val="20"/>
          <w:lang w:val="en-US"/>
        </w:rPr>
      </w:pPr>
      <w:r>
        <w:rPr>
          <w:i/>
          <w:sz w:val="20"/>
          <w:lang w:val="en-US"/>
        </w:rPr>
        <w:t>RQ2</w:t>
      </w:r>
      <w:r w:rsidRPr="00214C06">
        <w:rPr>
          <w:i/>
          <w:sz w:val="20"/>
          <w:lang w:val="en-US"/>
        </w:rPr>
        <w:t xml:space="preserve">. Does moderate nutrient addition affect </w:t>
      </w:r>
      <w:r w:rsidRPr="00853281">
        <w:rPr>
          <w:i/>
          <w:sz w:val="20"/>
          <w:highlight w:val="yellow"/>
          <w:lang w:val="en-US"/>
        </w:rPr>
        <w:t>intrinsic water-use efficiency (</w:t>
      </w:r>
      <w:proofErr w:type="spellStart"/>
      <w:r w:rsidRPr="00853281">
        <w:rPr>
          <w:i/>
          <w:sz w:val="20"/>
          <w:highlight w:val="yellow"/>
          <w:lang w:val="en-US"/>
        </w:rPr>
        <w:t>iWUE</w:t>
      </w:r>
      <w:proofErr w:type="spellEnd"/>
      <w:r w:rsidRPr="00853281">
        <w:rPr>
          <w:i/>
          <w:sz w:val="20"/>
          <w:highlight w:val="yellow"/>
          <w:lang w:val="en-US"/>
        </w:rPr>
        <w:t>)</w:t>
      </w:r>
      <w:r w:rsidRPr="00214C06">
        <w:rPr>
          <w:i/>
          <w:sz w:val="20"/>
          <w:lang w:val="en-US"/>
        </w:rPr>
        <w:t xml:space="preserve"> after 15 years of f</w:t>
      </w:r>
      <w:r>
        <w:rPr>
          <w:i/>
          <w:sz w:val="20"/>
          <w:lang w:val="en-US"/>
        </w:rPr>
        <w:t xml:space="preserve">ertilization across treatments in an </w:t>
      </w:r>
      <w:proofErr w:type="spellStart"/>
      <w:r>
        <w:rPr>
          <w:i/>
          <w:sz w:val="20"/>
          <w:lang w:val="en-US"/>
        </w:rPr>
        <w:t>elevational</w:t>
      </w:r>
      <w:proofErr w:type="spellEnd"/>
      <w:r>
        <w:rPr>
          <w:i/>
          <w:sz w:val="20"/>
          <w:lang w:val="en-US"/>
        </w:rPr>
        <w:t xml:space="preserve"> gradient?</w:t>
      </w:r>
    </w:p>
    <w:p w14:paraId="11FC7771" w14:textId="77777777" w:rsidR="00621125" w:rsidRDefault="00621125" w:rsidP="00621125">
      <w:pPr>
        <w:pStyle w:val="Prrafodelista"/>
        <w:numPr>
          <w:ilvl w:val="0"/>
          <w:numId w:val="9"/>
        </w:numPr>
        <w:rPr>
          <w:i/>
          <w:sz w:val="20"/>
          <w:lang w:val="en-US"/>
        </w:rPr>
      </w:pPr>
      <w:r>
        <w:rPr>
          <w:i/>
          <w:sz w:val="20"/>
          <w:lang w:val="en-US"/>
        </w:rPr>
        <w:t xml:space="preserve">No response in terms of </w:t>
      </w:r>
      <w:proofErr w:type="spellStart"/>
      <w:r>
        <w:rPr>
          <w:i/>
          <w:sz w:val="20"/>
          <w:lang w:val="en-US"/>
        </w:rPr>
        <w:t>iWUE</w:t>
      </w:r>
      <w:proofErr w:type="spellEnd"/>
      <w:r>
        <w:rPr>
          <w:i/>
          <w:sz w:val="20"/>
          <w:lang w:val="en-US"/>
        </w:rPr>
        <w:t xml:space="preserve"> between treatments and in different elevations.</w:t>
      </w:r>
    </w:p>
    <w:p w14:paraId="1D7EE8FE" w14:textId="77777777" w:rsidR="00621125" w:rsidRDefault="00621125" w:rsidP="00621125">
      <w:pPr>
        <w:pStyle w:val="Prrafodelista"/>
        <w:numPr>
          <w:ilvl w:val="0"/>
          <w:numId w:val="9"/>
        </w:numPr>
        <w:rPr>
          <w:i/>
          <w:sz w:val="20"/>
          <w:lang w:val="en-US"/>
        </w:rPr>
      </w:pPr>
      <w:r>
        <w:rPr>
          <w:i/>
          <w:sz w:val="20"/>
          <w:lang w:val="en-US"/>
        </w:rPr>
        <w:t>Fig 1.</w:t>
      </w:r>
    </w:p>
    <w:p w14:paraId="3AAE8C85" w14:textId="77777777" w:rsidR="00621125" w:rsidRPr="00621125" w:rsidRDefault="00621125" w:rsidP="00621125">
      <w:pPr>
        <w:rPr>
          <w:i/>
          <w:sz w:val="20"/>
          <w:lang w:val="en-US"/>
        </w:rPr>
      </w:pPr>
    </w:p>
    <w:p w14:paraId="3F34EBAB" w14:textId="77777777" w:rsidR="00297FF4" w:rsidRPr="00297FF4" w:rsidRDefault="00297FF4" w:rsidP="00297FF4">
      <w:pPr>
        <w:rPr>
          <w:i/>
          <w:sz w:val="20"/>
          <w:lang w:val="en-US"/>
        </w:rPr>
      </w:pPr>
      <w:commentRangeStart w:id="0"/>
      <w:r>
        <w:rPr>
          <w:noProof/>
          <w:lang w:val="en-US"/>
        </w:rPr>
        <w:drawing>
          <wp:inline distT="0" distB="0" distL="0" distR="0" wp14:anchorId="5B853734" wp14:editId="20A39F82">
            <wp:extent cx="5343525" cy="2916997"/>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
                    <a:srcRect l="22403" t="18110" r="7332" b="11323"/>
                    <a:stretch/>
                  </pic:blipFill>
                  <pic:spPr bwMode="auto">
                    <a:xfrm>
                      <a:off x="0" y="0"/>
                      <a:ext cx="5348785" cy="2919868"/>
                    </a:xfrm>
                    <a:prstGeom prst="rect">
                      <a:avLst/>
                    </a:prstGeom>
                    <a:ln>
                      <a:noFill/>
                    </a:ln>
                    <a:extLst>
                      <a:ext uri="{53640926-AAD7-44D8-BBD7-CCE9431645EC}">
                        <a14:shadowObscured xmlns:a14="http://schemas.microsoft.com/office/drawing/2010/main"/>
                      </a:ext>
                    </a:extLst>
                  </pic:spPr>
                </pic:pic>
              </a:graphicData>
            </a:graphic>
          </wp:inline>
        </w:drawing>
      </w:r>
      <w:commentRangeEnd w:id="0"/>
      <w:r>
        <w:rPr>
          <w:rStyle w:val="Refdecomentario"/>
        </w:rPr>
        <w:commentReference w:id="0"/>
      </w:r>
    </w:p>
    <w:p w14:paraId="6C41C494" w14:textId="77777777" w:rsidR="00297FF4" w:rsidRPr="00297FF4" w:rsidRDefault="00297FF4" w:rsidP="00297FF4">
      <w:pPr>
        <w:ind w:left="360"/>
        <w:rPr>
          <w:i/>
          <w:sz w:val="20"/>
          <w:lang w:val="en-US"/>
        </w:rPr>
      </w:pPr>
    </w:p>
    <w:p w14:paraId="321F4A38" w14:textId="3AF55006" w:rsidR="005843CF" w:rsidRDefault="00214C06" w:rsidP="005843CF">
      <w:pPr>
        <w:rPr>
          <w:i/>
          <w:sz w:val="20"/>
          <w:lang w:val="en-US"/>
        </w:rPr>
      </w:pPr>
      <w:r w:rsidRPr="005843CF">
        <w:rPr>
          <w:i/>
          <w:sz w:val="20"/>
          <w:highlight w:val="yellow"/>
          <w:lang w:val="en-US"/>
        </w:rPr>
        <w:t>R</w:t>
      </w:r>
      <w:r w:rsidR="00621125">
        <w:rPr>
          <w:i/>
          <w:sz w:val="20"/>
          <w:highlight w:val="yellow"/>
          <w:lang w:val="en-US"/>
        </w:rPr>
        <w:t>Q3</w:t>
      </w:r>
      <w:r w:rsidR="005843CF" w:rsidRPr="005843CF">
        <w:rPr>
          <w:i/>
          <w:sz w:val="20"/>
          <w:highlight w:val="yellow"/>
          <w:lang w:val="en-US"/>
        </w:rPr>
        <w:t xml:space="preserve">. What is the relationship </w:t>
      </w:r>
      <w:proofErr w:type="gramStart"/>
      <w:r w:rsidR="005843CF" w:rsidRPr="005843CF">
        <w:rPr>
          <w:i/>
          <w:sz w:val="20"/>
          <w:highlight w:val="yellow"/>
          <w:lang w:val="en-US"/>
        </w:rPr>
        <w:t>betw</w:t>
      </w:r>
      <w:r w:rsidR="00297FF4">
        <w:rPr>
          <w:i/>
          <w:sz w:val="20"/>
          <w:highlight w:val="yellow"/>
          <w:lang w:val="en-US"/>
        </w:rPr>
        <w:t xml:space="preserve">een </w:t>
      </w:r>
      <w:r w:rsidRPr="005843CF">
        <w:rPr>
          <w:i/>
          <w:sz w:val="20"/>
          <w:highlight w:val="yellow"/>
          <w:lang w:val="en-US"/>
        </w:rPr>
        <w:t xml:space="preserve"> leaf</w:t>
      </w:r>
      <w:proofErr w:type="gramEnd"/>
      <w:r w:rsidRPr="005843CF">
        <w:rPr>
          <w:i/>
          <w:sz w:val="20"/>
          <w:highlight w:val="yellow"/>
          <w:lang w:val="en-US"/>
        </w:rPr>
        <w:t xml:space="preserve"> nutrients (</w:t>
      </w:r>
      <w:proofErr w:type="spellStart"/>
      <w:r w:rsidRPr="005843CF">
        <w:rPr>
          <w:i/>
          <w:sz w:val="20"/>
          <w:highlight w:val="yellow"/>
          <w:lang w:val="en-US"/>
        </w:rPr>
        <w:t>Nmass</w:t>
      </w:r>
      <w:proofErr w:type="spellEnd"/>
      <w:r w:rsidRPr="005843CF">
        <w:rPr>
          <w:i/>
          <w:sz w:val="20"/>
          <w:highlight w:val="yellow"/>
          <w:lang w:val="en-US"/>
        </w:rPr>
        <w:t xml:space="preserve"> and </w:t>
      </w:r>
      <w:proofErr w:type="spellStart"/>
      <w:r w:rsidRPr="005843CF">
        <w:rPr>
          <w:i/>
          <w:sz w:val="20"/>
          <w:highlight w:val="yellow"/>
          <w:lang w:val="en-US"/>
        </w:rPr>
        <w:t>Narea</w:t>
      </w:r>
      <w:proofErr w:type="spellEnd"/>
      <w:r w:rsidRPr="005843CF">
        <w:rPr>
          <w:i/>
          <w:sz w:val="20"/>
          <w:highlight w:val="yellow"/>
          <w:lang w:val="en-US"/>
        </w:rPr>
        <w:t xml:space="preserve">) and </w:t>
      </w:r>
      <w:r w:rsidR="005843CF" w:rsidRPr="005843CF">
        <w:rPr>
          <w:i/>
          <w:sz w:val="20"/>
          <w:highlight w:val="yellow"/>
          <w:lang w:val="en-US"/>
        </w:rPr>
        <w:t xml:space="preserve">morphology </w:t>
      </w:r>
      <w:r w:rsidRPr="005843CF">
        <w:rPr>
          <w:i/>
          <w:sz w:val="20"/>
          <w:highlight w:val="yellow"/>
          <w:lang w:val="en-US"/>
        </w:rPr>
        <w:t xml:space="preserve">(SLA) to </w:t>
      </w:r>
      <w:proofErr w:type="spellStart"/>
      <w:r w:rsidRPr="005843CF">
        <w:rPr>
          <w:i/>
          <w:sz w:val="20"/>
          <w:highlight w:val="yellow"/>
          <w:lang w:val="en-US"/>
        </w:rPr>
        <w:t>iWUE</w:t>
      </w:r>
      <w:proofErr w:type="spellEnd"/>
      <w:r w:rsidR="003D6F84">
        <w:rPr>
          <w:i/>
          <w:sz w:val="20"/>
          <w:highlight w:val="yellow"/>
          <w:lang w:val="en-US"/>
        </w:rPr>
        <w:t xml:space="preserve"> at the different altitudes</w:t>
      </w:r>
      <w:r w:rsidR="00A0727D" w:rsidRPr="005843CF">
        <w:rPr>
          <w:i/>
          <w:sz w:val="20"/>
          <w:highlight w:val="yellow"/>
          <w:lang w:val="en-US"/>
        </w:rPr>
        <w:t>?</w:t>
      </w:r>
      <w:r w:rsidR="0060223B">
        <w:rPr>
          <w:i/>
          <w:sz w:val="20"/>
          <w:lang w:val="en-US"/>
        </w:rPr>
        <w:t xml:space="preserve"> – No treatments</w:t>
      </w:r>
      <w:proofErr w:type="gramStart"/>
      <w:r w:rsidR="0060223B">
        <w:rPr>
          <w:i/>
          <w:sz w:val="20"/>
          <w:lang w:val="en-US"/>
        </w:rPr>
        <w:t>?</w:t>
      </w:r>
      <w:r w:rsidR="004E0AAF">
        <w:rPr>
          <w:i/>
          <w:sz w:val="20"/>
          <w:lang w:val="en-US"/>
        </w:rPr>
        <w:t>-</w:t>
      </w:r>
      <w:proofErr w:type="gramEnd"/>
      <w:r w:rsidR="004E0AAF">
        <w:rPr>
          <w:i/>
          <w:sz w:val="20"/>
          <w:lang w:val="en-US"/>
        </w:rPr>
        <w:t xml:space="preserve"> Better for supplementary</w:t>
      </w:r>
    </w:p>
    <w:p w14:paraId="756F01E9" w14:textId="69944BC4" w:rsidR="00576705" w:rsidRPr="00576705" w:rsidRDefault="00621125" w:rsidP="00297FF4">
      <w:pPr>
        <w:pStyle w:val="Prrafodelista"/>
        <w:numPr>
          <w:ilvl w:val="0"/>
          <w:numId w:val="9"/>
        </w:numPr>
        <w:rPr>
          <w:i/>
          <w:sz w:val="20"/>
          <w:lang w:val="en-US"/>
        </w:rPr>
      </w:pPr>
      <w:r>
        <w:rPr>
          <w:i/>
          <w:sz w:val="20"/>
          <w:lang w:val="en-US"/>
        </w:rPr>
        <w:t xml:space="preserve">Which analysis? SMA has been done. </w:t>
      </w:r>
      <w:proofErr w:type="gramStart"/>
      <w:r>
        <w:rPr>
          <w:i/>
          <w:sz w:val="20"/>
          <w:lang w:val="en-US"/>
        </w:rPr>
        <w:t xml:space="preserve">Check </w:t>
      </w:r>
      <w:r w:rsidR="00297FF4">
        <w:rPr>
          <w:i/>
          <w:sz w:val="20"/>
          <w:lang w:val="en-US"/>
        </w:rPr>
        <w:t xml:space="preserve"> </w:t>
      </w:r>
      <w:proofErr w:type="spellStart"/>
      <w:r w:rsidR="00297FF4">
        <w:rPr>
          <w:i/>
          <w:sz w:val="20"/>
          <w:lang w:val="en-US"/>
        </w:rPr>
        <w:t>lmer</w:t>
      </w:r>
      <w:proofErr w:type="spellEnd"/>
      <w:proofErr w:type="gramEnd"/>
      <w:r w:rsidR="00297FF4">
        <w:rPr>
          <w:i/>
          <w:sz w:val="20"/>
          <w:lang w:val="en-US"/>
        </w:rPr>
        <w:t xml:space="preserve"> (R </w:t>
      </w:r>
      <w:r w:rsidR="00297FF4" w:rsidRPr="00297FF4">
        <w:rPr>
          <w:i/>
          <w:sz w:val="20"/>
          <w:lang w:val="en-US"/>
        </w:rPr>
        <w:t>~</w:t>
      </w:r>
      <w:r w:rsidR="00297FF4">
        <w:rPr>
          <w:i/>
          <w:sz w:val="20"/>
          <w:lang w:val="en-US"/>
        </w:rPr>
        <w:t xml:space="preserve"> </w:t>
      </w:r>
      <w:proofErr w:type="spellStart"/>
      <w:r w:rsidR="00297FF4">
        <w:rPr>
          <w:i/>
          <w:sz w:val="20"/>
          <w:lang w:val="en-US"/>
        </w:rPr>
        <w:t>Narea</w:t>
      </w:r>
      <w:proofErr w:type="spellEnd"/>
      <w:r w:rsidR="00297FF4">
        <w:rPr>
          <w:i/>
          <w:sz w:val="20"/>
          <w:lang w:val="en-US"/>
        </w:rPr>
        <w:t xml:space="preserve"> * Treat ).</w:t>
      </w:r>
    </w:p>
    <w:p w14:paraId="3EA930FE" w14:textId="572C8E94" w:rsidR="00297FF4" w:rsidRDefault="00297FF4" w:rsidP="00297FF4">
      <w:pPr>
        <w:rPr>
          <w:i/>
          <w:sz w:val="20"/>
          <w:lang w:val="en-US"/>
        </w:rPr>
      </w:pPr>
    </w:p>
    <w:p w14:paraId="450E0E89" w14:textId="6EAD0658" w:rsidR="00A0727D" w:rsidRPr="00241C89" w:rsidRDefault="00576705" w:rsidP="00214C06">
      <w:pPr>
        <w:rPr>
          <w:i/>
          <w:sz w:val="20"/>
          <w:lang w:val="en-US"/>
        </w:rPr>
      </w:pPr>
      <w:r w:rsidRPr="00576705">
        <w:rPr>
          <w:i/>
          <w:noProof/>
          <w:sz w:val="20"/>
          <w:lang w:val="en-US"/>
        </w:rPr>
        <w:drawing>
          <wp:inline distT="0" distB="0" distL="0" distR="0" wp14:anchorId="5C7E510B" wp14:editId="74F7F620">
            <wp:extent cx="6565846" cy="2876550"/>
            <wp:effectExtent l="0" t="0" r="6985" b="0"/>
            <wp:docPr id="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5"/>
                    <pic:cNvPicPr>
                      <a:picLocks noChangeAspect="1"/>
                    </pic:cNvPicPr>
                  </pic:nvPicPr>
                  <pic:blipFill rotWithShape="1">
                    <a:blip r:embed="rId9"/>
                    <a:srcRect l="1056" t="18263" r="1343" b="2796"/>
                    <a:stretch/>
                  </pic:blipFill>
                  <pic:spPr>
                    <a:xfrm>
                      <a:off x="0" y="0"/>
                      <a:ext cx="6573941" cy="2880096"/>
                    </a:xfrm>
                    <a:prstGeom prst="rect">
                      <a:avLst/>
                    </a:prstGeom>
                  </pic:spPr>
                </pic:pic>
              </a:graphicData>
            </a:graphic>
          </wp:inline>
        </w:drawing>
      </w:r>
    </w:p>
    <w:p w14:paraId="475080D3" w14:textId="6366AA91" w:rsidR="008219B3" w:rsidRDefault="00EA49AE" w:rsidP="004F1127">
      <w:pPr>
        <w:rPr>
          <w:rStyle w:val="Hipervnculo"/>
          <w:b/>
          <w:sz w:val="20"/>
          <w:lang w:val="en-US"/>
        </w:rPr>
      </w:pPr>
      <w:r w:rsidRPr="00241C89">
        <w:rPr>
          <w:b/>
          <w:sz w:val="20"/>
          <w:lang w:val="en-US"/>
        </w:rPr>
        <w:t>M</w:t>
      </w:r>
      <w:r w:rsidR="008219B3">
        <w:rPr>
          <w:b/>
          <w:sz w:val="20"/>
          <w:lang w:val="en-US"/>
        </w:rPr>
        <w:t xml:space="preserve">aterial and methods – </w:t>
      </w:r>
      <w:hyperlink r:id="rId10" w:history="1">
        <w:r w:rsidR="008219B3" w:rsidRPr="008219B3">
          <w:rPr>
            <w:rStyle w:val="Hipervnculo"/>
            <w:b/>
            <w:sz w:val="20"/>
            <w:lang w:val="en-US"/>
          </w:rPr>
          <w:t xml:space="preserve">link to </w:t>
        </w:r>
        <w:proofErr w:type="spellStart"/>
        <w:r w:rsidR="008219B3" w:rsidRPr="008219B3">
          <w:rPr>
            <w:rStyle w:val="Hipervnculo"/>
            <w:b/>
            <w:sz w:val="20"/>
            <w:lang w:val="en-US"/>
          </w:rPr>
          <w:t>Dropbpox</w:t>
        </w:r>
        <w:proofErr w:type="spellEnd"/>
      </w:hyperlink>
    </w:p>
    <w:p w14:paraId="74AA5E9B" w14:textId="6CBC61A1" w:rsidR="00621125" w:rsidRDefault="00621125" w:rsidP="004F1127">
      <w:pPr>
        <w:rPr>
          <w:b/>
          <w:sz w:val="20"/>
          <w:lang w:val="en-US"/>
        </w:rPr>
      </w:pPr>
      <w:proofErr w:type="spellStart"/>
      <w:r>
        <w:rPr>
          <w:rStyle w:val="Hipervnculo"/>
          <w:b/>
          <w:sz w:val="20"/>
          <w:lang w:val="en-US"/>
        </w:rPr>
        <w:t>Pendiente</w:t>
      </w:r>
      <w:proofErr w:type="spellEnd"/>
      <w:r>
        <w:rPr>
          <w:rStyle w:val="Hipervnculo"/>
          <w:b/>
          <w:sz w:val="20"/>
          <w:lang w:val="en-US"/>
        </w:rPr>
        <w:t xml:space="preserve">: To create a chart with the tree species and their characteristics. </w:t>
      </w:r>
    </w:p>
    <w:p w14:paraId="766AFD6F" w14:textId="77777777" w:rsidR="00A0727D" w:rsidRPr="008219B3" w:rsidRDefault="00A74651" w:rsidP="004F1127">
      <w:pPr>
        <w:rPr>
          <w:b/>
          <w:sz w:val="20"/>
          <w:lang w:val="en-US"/>
        </w:rPr>
      </w:pPr>
      <w:r w:rsidRPr="00A0727D">
        <w:rPr>
          <w:b/>
          <w:sz w:val="20"/>
          <w:lang w:val="en-US"/>
        </w:rPr>
        <w:t>Discussion</w:t>
      </w:r>
    </w:p>
    <w:p w14:paraId="693CDE57" w14:textId="640787C5" w:rsidR="00C965B3" w:rsidRPr="00C965B3" w:rsidRDefault="00A0727D" w:rsidP="00C965B3">
      <w:pPr>
        <w:ind w:left="360"/>
        <w:rPr>
          <w:b/>
          <w:bCs/>
          <w:sz w:val="20"/>
          <w:lang w:val="en-US"/>
        </w:rPr>
      </w:pPr>
      <w:r>
        <w:rPr>
          <w:sz w:val="20"/>
          <w:lang w:val="en-US"/>
        </w:rPr>
        <w:lastRenderedPageBreak/>
        <w:t xml:space="preserve"> </w:t>
      </w:r>
      <w:r w:rsidR="00C965B3" w:rsidRPr="00C965B3">
        <w:rPr>
          <w:b/>
          <w:bCs/>
          <w:sz w:val="20"/>
          <w:lang w:val="en-US"/>
        </w:rPr>
        <w:t xml:space="preserve">1. Leaf </w:t>
      </w:r>
      <w:r w:rsidR="00764D88">
        <w:rPr>
          <w:b/>
          <w:bCs/>
          <w:sz w:val="20"/>
          <w:lang w:val="en-US"/>
        </w:rPr>
        <w:t xml:space="preserve">morphology </w:t>
      </w:r>
      <w:r w:rsidR="00C965B3" w:rsidRPr="00C965B3">
        <w:rPr>
          <w:b/>
          <w:bCs/>
          <w:sz w:val="20"/>
          <w:lang w:val="en-US"/>
        </w:rPr>
        <w:t xml:space="preserve">under </w:t>
      </w:r>
      <w:proofErr w:type="gramStart"/>
      <w:r w:rsidR="00C965B3" w:rsidRPr="00C965B3">
        <w:rPr>
          <w:b/>
          <w:bCs/>
          <w:sz w:val="20"/>
          <w:lang w:val="en-US"/>
        </w:rPr>
        <w:t>fertilization</w:t>
      </w:r>
      <w:r w:rsidR="001063AE">
        <w:rPr>
          <w:b/>
          <w:bCs/>
          <w:sz w:val="20"/>
          <w:lang w:val="en-US"/>
        </w:rPr>
        <w:t xml:space="preserve"> :</w:t>
      </w:r>
      <w:proofErr w:type="gramEnd"/>
      <w:r w:rsidR="001063AE">
        <w:rPr>
          <w:b/>
          <w:bCs/>
          <w:sz w:val="20"/>
          <w:lang w:val="en-US"/>
        </w:rPr>
        <w:t xml:space="preserve"> Not</w:t>
      </w:r>
    </w:p>
    <w:p w14:paraId="6212616E" w14:textId="2B853228" w:rsidR="00764D88" w:rsidRDefault="00C965B3" w:rsidP="00C965B3">
      <w:pPr>
        <w:ind w:left="360"/>
        <w:rPr>
          <w:sz w:val="20"/>
          <w:lang w:val="en-US"/>
        </w:rPr>
      </w:pPr>
      <w:r w:rsidRPr="00C965B3">
        <w:rPr>
          <w:sz w:val="20"/>
          <w:lang w:val="en-US"/>
        </w:rPr>
        <w:t>Leaf structural traits such as SLA showed minimal response to long-term nutrient addition</w:t>
      </w:r>
      <w:r>
        <w:rPr>
          <w:sz w:val="20"/>
          <w:lang w:val="en-US"/>
        </w:rPr>
        <w:t xml:space="preserve"> –just </w:t>
      </w:r>
      <w:proofErr w:type="spellStart"/>
      <w:r w:rsidRPr="00C965B3">
        <w:rPr>
          <w:i/>
          <w:sz w:val="20"/>
          <w:lang w:val="en-US"/>
        </w:rPr>
        <w:t>Clarisia</w:t>
      </w:r>
      <w:proofErr w:type="spellEnd"/>
      <w:r w:rsidRPr="00C965B3">
        <w:rPr>
          <w:i/>
          <w:sz w:val="20"/>
          <w:lang w:val="en-US"/>
        </w:rPr>
        <w:t xml:space="preserve"> </w:t>
      </w:r>
      <w:proofErr w:type="spellStart"/>
      <w:r w:rsidRPr="00C965B3">
        <w:rPr>
          <w:i/>
          <w:sz w:val="20"/>
          <w:lang w:val="en-US"/>
        </w:rPr>
        <w:t>racemosa</w:t>
      </w:r>
      <w:proofErr w:type="spellEnd"/>
      <w:r w:rsidR="00764D88">
        <w:rPr>
          <w:sz w:val="20"/>
          <w:lang w:val="en-US"/>
        </w:rPr>
        <w:t xml:space="preserve"> – indicating this trait is not very </w:t>
      </w:r>
      <w:r w:rsidRPr="00C965B3">
        <w:rPr>
          <w:sz w:val="20"/>
          <w:lang w:val="en-US"/>
        </w:rPr>
        <w:t>sensitive to increased nutrient availability.</w:t>
      </w:r>
      <w:r w:rsidR="00764D88">
        <w:rPr>
          <w:sz w:val="20"/>
          <w:lang w:val="en-US"/>
        </w:rPr>
        <w:t xml:space="preserve"> </w:t>
      </w:r>
    </w:p>
    <w:p w14:paraId="17EA1C12" w14:textId="04A0CCBA" w:rsidR="00764D88" w:rsidRDefault="00764D88" w:rsidP="00764D88">
      <w:pPr>
        <w:pStyle w:val="Prrafodelista"/>
        <w:numPr>
          <w:ilvl w:val="0"/>
          <w:numId w:val="7"/>
        </w:numPr>
        <w:rPr>
          <w:sz w:val="20"/>
          <w:lang w:val="en-US"/>
        </w:rPr>
      </w:pPr>
      <w:r>
        <w:rPr>
          <w:sz w:val="20"/>
          <w:lang w:val="en-US"/>
        </w:rPr>
        <w:fldChar w:fldCharType="begin" w:fldLock="1"/>
      </w:r>
      <w:r>
        <w:rPr>
          <w:sz w:val="20"/>
          <w:lang w:val="en-US"/>
        </w:rPr>
        <w:instrText>ADDIN CSL_CITATION {"citationItems":[{"id":"ITEM-1","itemData":{"DOI":"10.1371/JOURNAL.PONE.0047128","ISSN":"19326203","PMID":"23071734","abstract":"Tropical regions are facing increasing atmospheric inputs of nutrients, which will have unknown consequences for the structure and functioning of these systems. Here, we show that Neotropical montane rainforests respond rapidly to moderate additions of N (50 kg ha-1 yr-1) and P (10 kg ha-1 yr-1). Monitoring of nutrient fluxes demonstrated that the majority of added nutrients remained in the system, in either soil or vegetation. N and P additions led to not only an increase in foliar N and P concentrations, but also altered soil microbial biomass, standing fine root biomass, stem growth, and litterfall. The different effects suggest that trees are primarily limited by P, whereas some processes-notably aboveground productivity-are limited by both N and P. Highly variable and partly contrasting responses of different tree species suggest marked changes in species composition and diversity of these forests by nutrient inputs in the long term. The unexpectedly fast response of the ecosystem to moderate nutrient additions suggests high vulnerability of tropical montane forests to the expected increase in nutrient inputs. © 2012 Homeier et al.","author":[{"dropping-particle":"","family":"Homeier","given":"Jürgen","non-dropping-particle":"","parse-names":false,"suffix":""},{"dropping-particle":"","family":"Hertel","given":"Dietrich","non-dropping-particle":"","parse-names":false,"suffix":""},{"dropping-particle":"","family":"Camenzind","given":"Tessa","non-dropping-particle":"","parse-names":false,"suffix":""},{"dropping-particle":"","family":"Cumbicus","given":"Nixon L.","non-dropping-particle":"","parse-names":false,"suffix":""},{"dropping-particle":"","family":"Maraun","given":"Mark","non-dropping-particle":"","parse-names":false,"suffix":""},{"dropping-particle":"","family":"Martinson","given":"Guntars O.","non-dropping-particle":"","parse-names":false,"suffix":""},{"dropping-particle":"","family":"Poma","given":"L. Nohemy","non-dropping-particle":"","parse-names":false,"suffix":""},{"dropping-particle":"","family":"Rillig","given":"Matthias C.","non-dropping-particle":"","parse-names":false,"suffix":""},{"dropping-particle":"","family":"Sandmann","given":"Dorothee","non-dropping-particle":"","parse-names":false,"suffix":""},{"dropping-particle":"","family":"Scheu","given":"Stefan","non-dropping-particle":"","parse-names":false,"suffix":""},{"dropping-particle":"","family":"Veldkamp","given":"Edzo","non-dropping-particle":"","parse-names":false,"suffix":""},{"dropping-particle":"","family":"Wilcke","given":"Wolfgang","non-dropping-particle":"","parse-names":false,"suffix":""},{"dropping-particle":"","family":"Wullaert","given":"Hans","non-dropping-particle":"","parse-names":false,"suffix":""},{"dropping-particle":"","family":"Leuschner","given":"Christoph","non-dropping-particle":"","parse-names":false,"suffix":""}],"container-title":"PLoS ONE","id":"ITEM-1","issue":"10","issued":{"date-parts":[["2012","10","10"]]},"page":"e47128","title":"Tropical Andean Forests Are Highly Susceptible to Nutrient Inputs—Rapid Effects of Experimental N and P Addition to an Ecuadorian Montane Forest","type":"article-journal","volume":"7"},"uris":["http://www.mendeley.com/documents/?uuid=ae1a992f-312c-323f-9504-afa193dd3f3d"]}],"mendeley":{"formattedCitation":"(Homeier et al. 2012)","plainTextFormattedCitation":"(Homeier et al. 2012)","previouslyFormattedCitation":"(Homeier et al. 2012)"},"properties":{"noteIndex":0},"schema":"https://github.com/citation-style-language/schema/raw/master/csl-citation.json"}</w:instrText>
      </w:r>
      <w:r>
        <w:rPr>
          <w:sz w:val="20"/>
          <w:lang w:val="en-US"/>
        </w:rPr>
        <w:fldChar w:fldCharType="separate"/>
      </w:r>
      <w:r w:rsidRPr="00764D88">
        <w:rPr>
          <w:noProof/>
          <w:sz w:val="20"/>
          <w:lang w:val="en-US"/>
        </w:rPr>
        <w:t>(Homeier et al. 2012)</w:t>
      </w:r>
      <w:r>
        <w:rPr>
          <w:sz w:val="20"/>
          <w:lang w:val="en-US"/>
        </w:rPr>
        <w:fldChar w:fldCharType="end"/>
      </w:r>
      <w:r>
        <w:rPr>
          <w:sz w:val="20"/>
          <w:lang w:val="en-US"/>
        </w:rPr>
        <w:t xml:space="preserve"> SLA not sensitive to </w:t>
      </w:r>
      <w:r w:rsidR="00210B52">
        <w:rPr>
          <w:sz w:val="20"/>
          <w:lang w:val="en-US"/>
        </w:rPr>
        <w:t>fertilization</w:t>
      </w:r>
      <w:r>
        <w:rPr>
          <w:sz w:val="20"/>
          <w:lang w:val="en-US"/>
        </w:rPr>
        <w:t xml:space="preserve"> in </w:t>
      </w:r>
      <w:proofErr w:type="spellStart"/>
      <w:r>
        <w:rPr>
          <w:sz w:val="20"/>
          <w:lang w:val="en-US"/>
        </w:rPr>
        <w:t>Alchornea</w:t>
      </w:r>
      <w:proofErr w:type="spellEnd"/>
      <w:r>
        <w:rPr>
          <w:sz w:val="20"/>
          <w:lang w:val="en-US"/>
        </w:rPr>
        <w:t xml:space="preserve"> and </w:t>
      </w:r>
      <w:proofErr w:type="spellStart"/>
      <w:r>
        <w:rPr>
          <w:sz w:val="20"/>
          <w:lang w:val="en-US"/>
        </w:rPr>
        <w:t>Myrcia</w:t>
      </w:r>
      <w:proofErr w:type="spellEnd"/>
      <w:r>
        <w:rPr>
          <w:sz w:val="20"/>
          <w:lang w:val="en-US"/>
        </w:rPr>
        <w:t xml:space="preserve">. </w:t>
      </w:r>
    </w:p>
    <w:p w14:paraId="764BCDB3" w14:textId="48738497" w:rsidR="00764D88" w:rsidRPr="00764D88" w:rsidRDefault="00764D88" w:rsidP="00764D88">
      <w:pPr>
        <w:pStyle w:val="Prrafodelista"/>
        <w:numPr>
          <w:ilvl w:val="0"/>
          <w:numId w:val="7"/>
        </w:numPr>
        <w:rPr>
          <w:sz w:val="20"/>
          <w:lang w:val="en-US"/>
        </w:rPr>
      </w:pPr>
      <w:r>
        <w:rPr>
          <w:sz w:val="20"/>
          <w:lang w:val="en-US"/>
        </w:rPr>
        <w:fldChar w:fldCharType="begin" w:fldLock="1"/>
      </w:r>
      <w:r>
        <w:rPr>
          <w:sz w:val="20"/>
          <w:lang w:val="en-US"/>
        </w:rPr>
        <w:instrText>ADDIN CSL_CITATION {"citationItems":[{"id":"ITEM-1","itemData":{"DOI":"10.1111/BTP.12518","ISSN":"1744-7429","abstract":"Global changes in nutrient deposition rates are likely to have profound effects on plant communities, particularly in the nutrient-limited systems of the tropics. We studied the effects of increased nutrient availability on the seedlings of six tree species in montane forests of southern Ecuador in situ. After five years of continued N, P, or N+P addition, naturally grown seedlings of each of the two most common species at each elevation (1000, 2000, and 3000 m asl) were harvested for analyses of leaf morphology, nutrient content, herbivory, and tissue biomass allocation. Most species showed increased foliar N and P concentrations after addition of each respective element. Leaf tissue N:P ratios of &gt;20 in the control plants of all species suggest that P is more growth-limiting in these forests than N. Leaf morphological responses to nutrient addition were species and nutrient specific, with some species (Hedyosmum purparescens, Graffenrieda emarginata) exhibiting increased specific leaf area (SLA), and others (Graffenrieda harlingii) increased leaf area ratios (LAR). Pouteria torta (1000 m) had lower SLA and LAR after P addition. Increased herbivory was only evident in G. emarginata (after N and N+P addition). Only the species from 3000 m asl modified biomass allocation after nutrient addition. In general, N and N+P addition more strongly affected the species studied at the upper elevations, whereas P addition had a similar range of effects on the species at all elevations. We conclude that the responses of the studied tropical montane forest tree seedlings to chronic N and P addition are highly species-specific and that successful adaptation to increased nutrient availability will depend on species-specific morphological and physiological plasticity.","author":[{"dropping-particle":"","family":"Cárate-Tandalla","given":"Daisy","non-dropping-particle":"","parse-names":false,"suffix":""},{"dropping-particle":"","family":"Camenzind","given":"Tessa","non-dropping-particle":"","parse-names":false,"suffix":""},{"dropping-particle":"","family":"Leuschner","given":"Christoph","non-dropping-particle":"","parse-names":false,"suffix":""},{"dropping-particle":"","family":"Homeier","given":"Jürgen","non-dropping-particle":"","parse-names":false,"suffix":""}],"container-title":"Biotropica","id":"ITEM-1","issue":"2","issued":{"date-parts":[["2018","3","1"]]},"page":"234-245","publisher":"John Wiley &amp; Sons, Ltd","title":"Contrasting species responses to continued nitrogen and phosphorus addition in tropical montane forest tree seedlings","type":"article-journal","volume":"50"},"uris":["http://www.mendeley.com/documents/?uuid=59fe0dd4-d1ca-3110-9ced-3e1d2c473974"]}],"mendeley":{"formattedCitation":"(Cárate-Tandalla et al. 2018b)","plainTextFormattedCitation":"(Cárate-Tandalla et al. 2018b)","previouslyFormattedCitation":"(Cárate-Tandalla et al. 2018b)"},"properties":{"noteIndex":0},"schema":"https://github.com/citation-style-language/schema/raw/master/csl-citation.json"}</w:instrText>
      </w:r>
      <w:r>
        <w:rPr>
          <w:sz w:val="20"/>
          <w:lang w:val="en-US"/>
        </w:rPr>
        <w:fldChar w:fldCharType="separate"/>
      </w:r>
      <w:r w:rsidRPr="00764D88">
        <w:rPr>
          <w:noProof/>
          <w:sz w:val="20"/>
          <w:lang w:val="en-US"/>
        </w:rPr>
        <w:t>(Cárate-Tandalla et al. 2018b)</w:t>
      </w:r>
      <w:r>
        <w:rPr>
          <w:sz w:val="20"/>
          <w:lang w:val="en-US"/>
        </w:rPr>
        <w:fldChar w:fldCharType="end"/>
      </w:r>
      <w:r>
        <w:rPr>
          <w:sz w:val="20"/>
          <w:lang w:val="en-US"/>
        </w:rPr>
        <w:t xml:space="preserve"> Seedlings responses on SLA – not same pattern. SLA for </w:t>
      </w:r>
      <w:proofErr w:type="spellStart"/>
      <w:r>
        <w:rPr>
          <w:sz w:val="20"/>
          <w:lang w:val="en-US"/>
        </w:rPr>
        <w:t>Pouteria</w:t>
      </w:r>
      <w:proofErr w:type="spellEnd"/>
      <w:r>
        <w:rPr>
          <w:sz w:val="20"/>
          <w:lang w:val="en-US"/>
        </w:rPr>
        <w:t xml:space="preserve"> </w:t>
      </w:r>
      <w:proofErr w:type="spellStart"/>
      <w:r>
        <w:rPr>
          <w:sz w:val="20"/>
          <w:lang w:val="en-US"/>
        </w:rPr>
        <w:t>torta</w:t>
      </w:r>
      <w:proofErr w:type="spellEnd"/>
      <w:r>
        <w:rPr>
          <w:sz w:val="20"/>
          <w:lang w:val="en-US"/>
        </w:rPr>
        <w:t xml:space="preserve"> </w:t>
      </w:r>
      <w:proofErr w:type="spellStart"/>
      <w:r>
        <w:rPr>
          <w:sz w:val="20"/>
          <w:lang w:val="en-US"/>
        </w:rPr>
        <w:t>NxP</w:t>
      </w:r>
      <w:proofErr w:type="spellEnd"/>
      <w:r>
        <w:rPr>
          <w:sz w:val="20"/>
          <w:lang w:val="en-US"/>
        </w:rPr>
        <w:t xml:space="preserve"> smaller, </w:t>
      </w:r>
      <w:proofErr w:type="spellStart"/>
      <w:r w:rsidRPr="00210B52">
        <w:rPr>
          <w:i/>
          <w:sz w:val="20"/>
          <w:lang w:val="en-US"/>
        </w:rPr>
        <w:t>Hedyosmum</w:t>
      </w:r>
      <w:proofErr w:type="spellEnd"/>
      <w:r w:rsidRPr="00210B52">
        <w:rPr>
          <w:i/>
          <w:sz w:val="20"/>
          <w:lang w:val="en-US"/>
        </w:rPr>
        <w:t xml:space="preserve"> </w:t>
      </w:r>
      <w:proofErr w:type="spellStart"/>
      <w:r w:rsidRPr="00210B52">
        <w:rPr>
          <w:i/>
          <w:sz w:val="20"/>
          <w:lang w:val="en-US"/>
        </w:rPr>
        <w:t>purpurascens</w:t>
      </w:r>
      <w:proofErr w:type="spellEnd"/>
      <w:r>
        <w:rPr>
          <w:sz w:val="20"/>
          <w:lang w:val="en-US"/>
        </w:rPr>
        <w:t xml:space="preserve"> higher.</w:t>
      </w:r>
    </w:p>
    <w:p w14:paraId="5E542F05" w14:textId="3C36842C" w:rsidR="00764D88" w:rsidRPr="00764D88" w:rsidRDefault="00764D88" w:rsidP="00764D88">
      <w:pPr>
        <w:pStyle w:val="Prrafodelista"/>
        <w:numPr>
          <w:ilvl w:val="0"/>
          <w:numId w:val="7"/>
        </w:numPr>
        <w:rPr>
          <w:sz w:val="20"/>
          <w:lang w:val="en-US"/>
        </w:rPr>
      </w:pPr>
      <w:r>
        <w:rPr>
          <w:sz w:val="20"/>
          <w:lang w:val="en-US"/>
        </w:rPr>
        <w:fldChar w:fldCharType="begin" w:fldLock="1"/>
      </w:r>
      <w:r>
        <w:rPr>
          <w:sz w:val="20"/>
          <w:lang w:val="en-US"/>
        </w:rPr>
        <w:instrText>ADDIN CSL_CITATION {"citationItems":[{"id":"ITEM-1","itemData":{"DOI":"10.1038/s41559-018-0790-1","ISSN":"2397-334X","PMID":"30718853","abstract":"Leaf traits are frequently measured in ecology to provide a ‘common currency’ for predicting how anthropogenic pressures impact ecosystem function. Here, we test whether leaf traits consistently respond to experimental treatments across 27 globally distributed grassland sites across 4 continents. We find that specific leaf area (leaf area per unit mass)—a commonly measured morphological trait inferring shifts between plant growth strategies—did not respond to up to four years of soil nutrient additions. Leaf nitrogen, phosphorus and potassium concentrations increased in response to the addition of each respective soil nutrient. We found few significant changes in leaf traits when vertebrate herbivores were excluded in the short-term. SLA, and leaf nitrogen and potassium concentrations were positively correlated with species turnover, suggesting interspecific trait variation was a significant predictor of these traits, but not of leaf phosphorus concentration. Climatic conditions and pretreatment soil nutrient levels also accounted for significant amounts of variation in the leaf traits measured. Overall, we find that leaf morphological traits, such as specific leaf area, are not appropriate indicators of plant response to anthropogenic perturbations in grasslands. A NutNet global grassland study finds that leaf N, P and K consistently respond to soil nutrient additions, but leaf morphological traits, such as specific leaf area, are inconsistent indicators of anthropogenic perturbations.","author":[{"dropping-particle":"","family":"Firn","given":"Jennifer","non-dropping-particle":"","parse-names":false,"suffix":""},{"dropping-particle":"","family":"McGree","given":"James M.","non-dropping-particle":"","parse-names":false,"suffix":""},{"dropping-particle":"","family":"Harvey","given":"Eric","non-dropping-particle":"","parse-names":false,"suffix":""},{"dropping-particle":"","family":"Flores-Moreno","given":"Habacuc","non-dropping-particle":"","parse-names":false,"suffix":""},{"dropping-particle":"","family":"Schütz","given":"Martin","non-dropping-particle":"","parse-names":false,"suffix":""},{"dropping-particle":"","family":"Buckley","given":"Yvonne M.","non-dropping-particle":"","parse-names":false,"suffix":""},{"dropping-particle":"","family":"Borer","given":"Elizabeth T.","non-dropping-particle":"","parse-names":false,"suffix":""},{"dropping-particle":"","family":"Seabloom","given":"Eric W.","non-dropping-particle":"","parse-names":false,"suffix":""},{"dropping-particle":"","family":"Pierre","given":"Kimberly J.","non-dropping-particle":"La","parse-names":false,"suffix":""},{"dropping-particle":"","family":"MacDougall","given":"Andrew M.","non-dropping-particle":"","parse-names":false,"suffix":""},{"dropping-particle":"","family":"Prober","given":"Suzanne M.","non-dropping-particle":"","parse-names":false,"suffix":""},{"dropping-particle":"","family":"Stevens","given":"Carly J.","non-dropping-particle":"","parse-names":false,"suffix":""},{"dropping-particle":"","family":"Sullivan","given":"Lauren L.","non-dropping-particle":"","parse-names":false,"suffix":""},{"dropping-particle":"","family":"Porter","given":"Erica","non-dropping-particle":"","parse-names":false,"suffix":""},{"dropping-particle":"","family":"Ladouceur","given":"Emma","non-dropping-particle":"","parse-names":false,"suffix":""},{"dropping-particle":"","family":"Allen","given":"Charlotte","non-dropping-particle":"","parse-names":false,"suffix":""},{"dropping-particle":"","family":"Moromizato","given":"Karine H.","non-dropping-particle":"","parse-names":false,"suffix":""},{"dropping-particle":"","family":"Morgan","given":"John W.","non-dropping-particle":"","parse-names":false,"suffix":""},{"dropping-particle":"","family":"Harpole","given":"W. Stanley","non-dropping-particle":"","parse-names":false,"suffix":""},{"dropping-particle":"","family":"Hautier","given":"Yann","non-dropping-particle":"","parse-names":false,"suffix":""},{"dropping-particle":"","family":"Eisenhauer","given":"Nico","non-dropping-particle":"","parse-names":false,"suffix":""},{"dropping-particle":"","family":"Wright","given":"Justin P.","non-dropping-particle":"","parse-names":false,"suffix":""},{"dropping-particle":"","family":"Adler","given":"Peter B.","non-dropping-particle":"","parse-names":false,"suffix":""},{"dropping-particle":"","family":"Arnillas","given":"Carlos Alberto","non-dropping-particle":"","parse-names":false,"suffix":""},{"dropping-particle":"","family":"Bakker","given":"Jonathan D.","non-dropping-particle":"","parse-names":false,"suffix":""},{"dropping-particle":"","family":"Biederman","given":"Lori","non-dropping-particle":"","parse-names":false,"suffix":""},{"dropping-particle":"","family":"Broadbent","given":"Arthur A.D.","non-dropping-particle":"","parse-names":false,"suffix":""},{"dropping-particle":"","family":"Brown","given":"Cynthia S.","non-dropping-particle":"","parse-names":false,"suffix":""},{"dropping-particle":"","family":"Bugalho","given":"Miguel N.","non-dropping-particle":"","parse-names":false,"suffix":""},{"dropping-particle":"","family":"Caldeira","given":"Maria C.","non-dropping-particle":"","parse-names":false,"suffix":""},{"dropping-particle":"","family":"Cleland","given":"Elsa E.","non-dropping-particle":"","parse-names":false,"suffix":""},{"dropping-particle":"","family":"Ebeling","given":"Anne","non-dropping-particle":"","parse-names":false,"suffix":""},{"dropping-particle":"","family":"Fay","given":"Philip A.","non-dropping-particle":"","parse-names":false,"suffix":""},{"dropping-particle":"","family":"Hagenah","given":"Nicole","non-dropping-particle":"","parse-names":false,"suffix":""},{"dropping-particle":"","family":"Kleinhesselink","given":"Andrew R.","non-dropping-particle":"","parse-names":false,"suffix":""},{"dropping-particle":"","family":"Mitchell","given":"Rachel","non-dropping-particle":"","parse-names":false,"suffix":""},{"dropping-particle":"","family":"Moore","given":"Joslin L.","non-dropping-particle":"","parse-names":false,"suffix":""},{"dropping-particle":"","family":"Nogueira","given":"Carla","non-dropping-particle":"","parse-names":false,"suffix":""},{"dropping-particle":"","family":"Peri","given":"Pablo Luis","non-dropping-particle":"","parse-names":false,"suffix":""},{"dropping-particle":"","family":"Roscher","given":"Christiane","non-dropping-particle":"","parse-names":false,"suffix":""},{"dropping-particle":"","family":"Smith","given":"Melinda D.","non-dropping-particle":"","parse-names":false,"suffix":""},{"dropping-particle":"","family":"Wragg","given":"Peter D.","non-dropping-particle":"","parse-names":false,"suffix":""},{"dropping-particle":"","family":"Risch","given":"Anita C.","non-dropping-particle":"","parse-names":false,"suffix":""}],"container-title":"Nature Ecology &amp; Evolution 2019 3:3","id":"ITEM-1","issue":"3","issued":{"date-parts":[["2019","2","4"]]},"page":"400-406","publisher":"Nature Publishing Group","title":"Leaf nutrients, not specific leaf area, are consistent indicators of elevated nutrient inputs","type":"article-journal","volume":"3"},"uris":["http://www.mendeley.com/documents/?uuid=ae6dc708-dbb9-3944-b994-84faca9aa45a"]}],"mendeley":{"formattedCitation":"(Firn et al. 2019)","plainTextFormattedCitation":"(Firn et al. 2019)"},"properties":{"noteIndex":0},"schema":"https://github.com/citation-style-language/schema/raw/master/csl-citation.json"}</w:instrText>
      </w:r>
      <w:r>
        <w:rPr>
          <w:sz w:val="20"/>
          <w:lang w:val="en-US"/>
        </w:rPr>
        <w:fldChar w:fldCharType="separate"/>
      </w:r>
      <w:r w:rsidRPr="00764D88">
        <w:rPr>
          <w:noProof/>
          <w:sz w:val="20"/>
          <w:lang w:val="en-US"/>
        </w:rPr>
        <w:t>(Firn et al. 2019)</w:t>
      </w:r>
      <w:r>
        <w:rPr>
          <w:sz w:val="20"/>
          <w:lang w:val="en-US"/>
        </w:rPr>
        <w:fldChar w:fldCharType="end"/>
      </w:r>
      <w:r>
        <w:rPr>
          <w:sz w:val="20"/>
          <w:lang w:val="en-US"/>
        </w:rPr>
        <w:t xml:space="preserve"> Grasslands SLA not sensitive.</w:t>
      </w:r>
    </w:p>
    <w:p w14:paraId="087BC31F" w14:textId="77777777" w:rsidR="00C965B3" w:rsidRPr="00C965B3" w:rsidRDefault="00C965B3" w:rsidP="00C965B3">
      <w:pPr>
        <w:ind w:left="360"/>
        <w:rPr>
          <w:b/>
          <w:bCs/>
          <w:sz w:val="20"/>
          <w:lang w:val="en-US"/>
        </w:rPr>
      </w:pPr>
      <w:r w:rsidRPr="001063AE">
        <w:rPr>
          <w:b/>
          <w:bCs/>
          <w:sz w:val="20"/>
          <w:highlight w:val="yellow"/>
          <w:lang w:val="en-US"/>
        </w:rPr>
        <w:t>2. Species-specific nutrient responses</w:t>
      </w:r>
    </w:p>
    <w:p w14:paraId="0EF932BD" w14:textId="77777777" w:rsidR="00C965B3" w:rsidRPr="00C965B3" w:rsidRDefault="00C965B3" w:rsidP="00C965B3">
      <w:pPr>
        <w:ind w:left="360"/>
        <w:rPr>
          <w:sz w:val="20"/>
          <w:lang w:val="en-US"/>
        </w:rPr>
      </w:pPr>
      <w:r w:rsidRPr="00C965B3">
        <w:rPr>
          <w:sz w:val="20"/>
          <w:lang w:val="en-US"/>
        </w:rPr>
        <w:t>In contrast, foliar nutrient concentrations responded to fert</w:t>
      </w:r>
      <w:bookmarkStart w:id="1" w:name="_GoBack"/>
      <w:bookmarkEnd w:id="1"/>
      <w:r w:rsidRPr="00C965B3">
        <w:rPr>
          <w:sz w:val="20"/>
          <w:lang w:val="en-US"/>
        </w:rPr>
        <w:t>ilization in a species-dependent manner, highlighting strong interspecific variation in nutrient uptake and internal nutrient regulation strategies.</w:t>
      </w:r>
    </w:p>
    <w:p w14:paraId="091C322A" w14:textId="71937740" w:rsidR="00C965B3" w:rsidRDefault="00764D88" w:rsidP="00764D88">
      <w:pPr>
        <w:pStyle w:val="Prrafodelista"/>
        <w:numPr>
          <w:ilvl w:val="0"/>
          <w:numId w:val="11"/>
        </w:numPr>
        <w:rPr>
          <w:sz w:val="20"/>
          <w:lang w:val="en-US"/>
        </w:rPr>
      </w:pPr>
      <w:proofErr w:type="spellStart"/>
      <w:r>
        <w:rPr>
          <w:sz w:val="20"/>
          <w:lang w:val="en-US"/>
        </w:rPr>
        <w:t>Narea</w:t>
      </w:r>
      <w:proofErr w:type="spellEnd"/>
      <w:r>
        <w:rPr>
          <w:sz w:val="20"/>
          <w:lang w:val="en-US"/>
        </w:rPr>
        <w:t xml:space="preserve"> vs LNC. Which one will be better to discuss? I think </w:t>
      </w:r>
      <w:proofErr w:type="spellStart"/>
      <w:r>
        <w:rPr>
          <w:sz w:val="20"/>
          <w:lang w:val="en-US"/>
        </w:rPr>
        <w:t>Narea</w:t>
      </w:r>
      <w:proofErr w:type="spellEnd"/>
      <w:r>
        <w:rPr>
          <w:sz w:val="20"/>
          <w:lang w:val="en-US"/>
        </w:rPr>
        <w:t>.</w:t>
      </w:r>
    </w:p>
    <w:p w14:paraId="4152C4BE" w14:textId="74CD286D" w:rsidR="00764D88" w:rsidRDefault="00764D88" w:rsidP="00764D88">
      <w:pPr>
        <w:pStyle w:val="Prrafodelista"/>
        <w:numPr>
          <w:ilvl w:val="0"/>
          <w:numId w:val="11"/>
        </w:numPr>
        <w:rPr>
          <w:sz w:val="20"/>
          <w:lang w:val="en-US"/>
        </w:rPr>
      </w:pPr>
      <w:r>
        <w:rPr>
          <w:sz w:val="20"/>
          <w:lang w:val="en-US"/>
        </w:rPr>
        <w:t>LPC. All the species showed responses.</w:t>
      </w:r>
    </w:p>
    <w:p w14:paraId="7D94C73E" w14:textId="066C89F1" w:rsidR="00621125" w:rsidRPr="00764D88" w:rsidRDefault="00621125" w:rsidP="00764D88">
      <w:pPr>
        <w:pStyle w:val="Prrafodelista"/>
        <w:numPr>
          <w:ilvl w:val="0"/>
          <w:numId w:val="11"/>
        </w:numPr>
        <w:rPr>
          <w:sz w:val="20"/>
          <w:lang w:val="en-US"/>
        </w:rPr>
      </w:pPr>
      <w:r>
        <w:rPr>
          <w:sz w:val="20"/>
          <w:lang w:val="en-US"/>
        </w:rPr>
        <w:t>NP ratio – Literature (luxury consumption)</w:t>
      </w:r>
    </w:p>
    <w:p w14:paraId="19BD1CE6" w14:textId="7B4D1A16" w:rsidR="00C965B3" w:rsidRPr="00C965B3" w:rsidRDefault="00C965B3" w:rsidP="00C965B3">
      <w:pPr>
        <w:ind w:left="360"/>
        <w:rPr>
          <w:b/>
          <w:bCs/>
          <w:sz w:val="20"/>
          <w:lang w:val="en-US"/>
        </w:rPr>
      </w:pPr>
      <w:r w:rsidRPr="001063AE">
        <w:rPr>
          <w:b/>
          <w:bCs/>
          <w:sz w:val="20"/>
          <w:highlight w:val="yellow"/>
          <w:lang w:val="en-US"/>
        </w:rPr>
        <w:t xml:space="preserve">3. </w:t>
      </w:r>
      <w:proofErr w:type="spellStart"/>
      <w:proofErr w:type="gramStart"/>
      <w:r w:rsidRPr="001063AE">
        <w:rPr>
          <w:b/>
          <w:bCs/>
          <w:sz w:val="20"/>
          <w:highlight w:val="yellow"/>
          <w:lang w:val="en-US"/>
        </w:rPr>
        <w:t>iWUE</w:t>
      </w:r>
      <w:proofErr w:type="spellEnd"/>
      <w:proofErr w:type="gramEnd"/>
      <w:r w:rsidR="00621125" w:rsidRPr="001063AE">
        <w:rPr>
          <w:b/>
          <w:bCs/>
          <w:sz w:val="20"/>
          <w:highlight w:val="yellow"/>
          <w:lang w:val="en-US"/>
        </w:rPr>
        <w:t xml:space="preserve"> signal does not change under fertilization</w:t>
      </w:r>
    </w:p>
    <w:p w14:paraId="070A5A68" w14:textId="1D138840" w:rsidR="00C965B3" w:rsidRPr="00C965B3" w:rsidRDefault="00C965B3" w:rsidP="00C965B3">
      <w:pPr>
        <w:ind w:left="360"/>
        <w:rPr>
          <w:sz w:val="20"/>
          <w:lang w:val="en-US"/>
        </w:rPr>
      </w:pPr>
      <w:r w:rsidRPr="00C965B3">
        <w:rPr>
          <w:sz w:val="20"/>
          <w:lang w:val="en-US"/>
        </w:rPr>
        <w:t>Despite potential increases in photosynthetic capacity</w:t>
      </w:r>
      <w:r w:rsidR="00621125">
        <w:rPr>
          <w:sz w:val="20"/>
          <w:lang w:val="en-US"/>
        </w:rPr>
        <w:t xml:space="preserve"> due to the nutrient addition and leaf nutrient changes in species. This did</w:t>
      </w:r>
      <w:r w:rsidRPr="00C965B3">
        <w:rPr>
          <w:sz w:val="20"/>
          <w:lang w:val="en-US"/>
        </w:rPr>
        <w:t xml:space="preserve"> not lead to significant changes in i</w:t>
      </w:r>
      <w:r w:rsidR="00621125">
        <w:rPr>
          <w:sz w:val="20"/>
          <w:lang w:val="en-US"/>
        </w:rPr>
        <w:t xml:space="preserve">ntrinsic water-use efficiency. </w:t>
      </w:r>
    </w:p>
    <w:p w14:paraId="333AF9C2" w14:textId="21B3CC9B" w:rsidR="00C965B3" w:rsidRPr="005759CB" w:rsidRDefault="005759CB" w:rsidP="005759CB">
      <w:pPr>
        <w:pStyle w:val="Prrafodelista"/>
        <w:numPr>
          <w:ilvl w:val="0"/>
          <w:numId w:val="12"/>
        </w:numPr>
        <w:rPr>
          <w:sz w:val="20"/>
          <w:lang w:val="en-US"/>
        </w:rPr>
      </w:pPr>
      <w:r>
        <w:rPr>
          <w:sz w:val="20"/>
          <w:lang w:val="en-US"/>
        </w:rPr>
        <w:t xml:space="preserve">Search literature on </w:t>
      </w:r>
      <w:proofErr w:type="spellStart"/>
      <w:r>
        <w:rPr>
          <w:sz w:val="20"/>
          <w:lang w:val="en-US"/>
        </w:rPr>
        <w:t>gs</w:t>
      </w:r>
      <w:proofErr w:type="spellEnd"/>
      <w:r>
        <w:rPr>
          <w:sz w:val="20"/>
          <w:lang w:val="en-US"/>
        </w:rPr>
        <w:t xml:space="preserve"> under nutrient addition.</w:t>
      </w:r>
    </w:p>
    <w:p w14:paraId="788C673B" w14:textId="66C0E3D2" w:rsidR="00C965B3" w:rsidRPr="00C965B3" w:rsidRDefault="00C965B3" w:rsidP="00C965B3">
      <w:pPr>
        <w:ind w:left="360"/>
        <w:rPr>
          <w:b/>
          <w:bCs/>
          <w:sz w:val="20"/>
          <w:lang w:val="en-US"/>
        </w:rPr>
      </w:pPr>
      <w:r w:rsidRPr="00C965B3">
        <w:rPr>
          <w:b/>
          <w:bCs/>
          <w:sz w:val="20"/>
          <w:lang w:val="en-US"/>
        </w:rPr>
        <w:t xml:space="preserve">4. Elevation as dominant driver of </w:t>
      </w:r>
      <w:proofErr w:type="spellStart"/>
      <w:r w:rsidRPr="00C965B3">
        <w:rPr>
          <w:b/>
          <w:bCs/>
          <w:sz w:val="20"/>
          <w:lang w:val="en-US"/>
        </w:rPr>
        <w:t>iWUE</w:t>
      </w:r>
      <w:proofErr w:type="spellEnd"/>
      <w:r w:rsidR="005759CB">
        <w:rPr>
          <w:b/>
          <w:bCs/>
          <w:sz w:val="20"/>
          <w:lang w:val="en-US"/>
        </w:rPr>
        <w:t xml:space="preserve"> and t</w:t>
      </w:r>
      <w:r w:rsidR="00621125">
        <w:rPr>
          <w:b/>
          <w:bCs/>
          <w:sz w:val="20"/>
          <w:lang w:val="en-US"/>
        </w:rPr>
        <w:t>raits-</w:t>
      </w:r>
      <w:proofErr w:type="spellStart"/>
      <w:r w:rsidR="00621125">
        <w:rPr>
          <w:b/>
          <w:bCs/>
          <w:sz w:val="20"/>
          <w:lang w:val="en-US"/>
        </w:rPr>
        <w:t>iWUE</w:t>
      </w:r>
      <w:proofErr w:type="spellEnd"/>
      <w:r w:rsidR="00621125">
        <w:rPr>
          <w:b/>
          <w:bCs/>
          <w:sz w:val="20"/>
          <w:lang w:val="en-US"/>
        </w:rPr>
        <w:t xml:space="preserve"> relationships.</w:t>
      </w:r>
    </w:p>
    <w:p w14:paraId="060C42ED" w14:textId="77777777" w:rsidR="00621125" w:rsidRDefault="00C965B3" w:rsidP="00621125">
      <w:pPr>
        <w:ind w:left="360"/>
        <w:rPr>
          <w:sz w:val="20"/>
          <w:lang w:val="en-US"/>
        </w:rPr>
      </w:pPr>
      <w:r w:rsidRPr="00C965B3">
        <w:rPr>
          <w:sz w:val="20"/>
          <w:lang w:val="en-US"/>
        </w:rPr>
        <w:t xml:space="preserve">Intrinsic water-use efficiency showed a consistent pattern along the </w:t>
      </w:r>
      <w:proofErr w:type="spellStart"/>
      <w:r w:rsidRPr="00C965B3">
        <w:rPr>
          <w:sz w:val="20"/>
          <w:lang w:val="en-US"/>
        </w:rPr>
        <w:t>elevational</w:t>
      </w:r>
      <w:proofErr w:type="spellEnd"/>
      <w:r w:rsidRPr="00C965B3">
        <w:rPr>
          <w:sz w:val="20"/>
          <w:lang w:val="en-US"/>
        </w:rPr>
        <w:t xml:space="preserve"> gradient, indicating that environmental constraints associated with elevation exert a stronger influence on plant water-use strategies than nutrient availability.</w:t>
      </w:r>
    </w:p>
    <w:p w14:paraId="4C6FC01F" w14:textId="77777777" w:rsidR="00621125" w:rsidRPr="00C965B3" w:rsidRDefault="00621125" w:rsidP="00621125">
      <w:pPr>
        <w:ind w:left="360"/>
        <w:rPr>
          <w:sz w:val="20"/>
          <w:lang w:val="en-US"/>
        </w:rPr>
      </w:pPr>
    </w:p>
    <w:p w14:paraId="51D3E591" w14:textId="6E045640" w:rsidR="00EA49AE" w:rsidRPr="00241C89" w:rsidRDefault="00EA49AE" w:rsidP="00A0727D">
      <w:pPr>
        <w:ind w:left="360"/>
        <w:rPr>
          <w:sz w:val="20"/>
          <w:lang w:val="en-US"/>
        </w:rPr>
      </w:pPr>
    </w:p>
    <w:sectPr w:rsidR="00EA49AE" w:rsidRPr="00241C89">
      <w:pgSz w:w="12240" w:h="15840"/>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selene.baez" w:date="2026-04-08T14:14:00Z" w:initials="s">
    <w:p w14:paraId="67AA0F60" w14:textId="77777777" w:rsidR="00297FF4" w:rsidRDefault="00297FF4">
      <w:pPr>
        <w:pStyle w:val="Textocomentario"/>
      </w:pPr>
      <w:r>
        <w:rPr>
          <w:rStyle w:val="Refdecomentario"/>
        </w:rPr>
        <w:annotationRef/>
      </w:r>
      <w:proofErr w:type="spellStart"/>
      <w:r>
        <w:t>Increase</w:t>
      </w:r>
      <w:proofErr w:type="spellEnd"/>
      <w:r>
        <w:t xml:space="preserve"> </w:t>
      </w:r>
      <w:proofErr w:type="spellStart"/>
      <w:r>
        <w:t>resolution</w:t>
      </w:r>
      <w:proofErr w:type="spellEnd"/>
      <w:r>
        <w:t>. -A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67AA0F60"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C51522"/>
    <w:multiLevelType w:val="hybridMultilevel"/>
    <w:tmpl w:val="015C965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871162D"/>
    <w:multiLevelType w:val="hybridMultilevel"/>
    <w:tmpl w:val="063A4B3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B805AA6"/>
    <w:multiLevelType w:val="hybridMultilevel"/>
    <w:tmpl w:val="F496C0A8"/>
    <w:lvl w:ilvl="0" w:tplc="D6CCE21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40B1309"/>
    <w:multiLevelType w:val="hybridMultilevel"/>
    <w:tmpl w:val="D9C029C0"/>
    <w:lvl w:ilvl="0" w:tplc="03E24FBA">
      <w:numFmt w:val="bullet"/>
      <w:lvlText w:val=""/>
      <w:lvlJc w:val="left"/>
      <w:pPr>
        <w:ind w:left="1080" w:hanging="360"/>
      </w:pPr>
      <w:rPr>
        <w:rFonts w:ascii="Calibri Light" w:eastAsia="Times New Roman" w:hAnsi="Calibri Light" w:cs="Calibri Light"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6847BD0"/>
    <w:multiLevelType w:val="hybridMultilevel"/>
    <w:tmpl w:val="B44405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6CC5168"/>
    <w:multiLevelType w:val="hybridMultilevel"/>
    <w:tmpl w:val="772EB9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B887073"/>
    <w:multiLevelType w:val="hybridMultilevel"/>
    <w:tmpl w:val="EC5E885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C57C6D"/>
    <w:multiLevelType w:val="hybridMultilevel"/>
    <w:tmpl w:val="04BE28C0"/>
    <w:lvl w:ilvl="0" w:tplc="6BBEC682">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20A06CC"/>
    <w:multiLevelType w:val="hybridMultilevel"/>
    <w:tmpl w:val="90F0D7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B295D82"/>
    <w:multiLevelType w:val="hybridMultilevel"/>
    <w:tmpl w:val="8DEC1B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5A44EEC"/>
    <w:multiLevelType w:val="hybridMultilevel"/>
    <w:tmpl w:val="F02A16BA"/>
    <w:lvl w:ilvl="0" w:tplc="03E24FBA">
      <w:numFmt w:val="bullet"/>
      <w:lvlText w:val=""/>
      <w:lvlJc w:val="left"/>
      <w:pPr>
        <w:ind w:left="720" w:hanging="360"/>
      </w:pPr>
      <w:rPr>
        <w:rFonts w:ascii="Calibri Light" w:eastAsia="Times New Roma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5634618"/>
    <w:multiLevelType w:val="hybridMultilevel"/>
    <w:tmpl w:val="73A8592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2"/>
  </w:num>
  <w:num w:numId="2">
    <w:abstractNumId w:val="4"/>
  </w:num>
  <w:num w:numId="3">
    <w:abstractNumId w:val="9"/>
  </w:num>
  <w:num w:numId="4">
    <w:abstractNumId w:val="5"/>
  </w:num>
  <w:num w:numId="5">
    <w:abstractNumId w:val="10"/>
  </w:num>
  <w:num w:numId="6">
    <w:abstractNumId w:val="3"/>
  </w:num>
  <w:num w:numId="7">
    <w:abstractNumId w:val="6"/>
  </w:num>
  <w:num w:numId="8">
    <w:abstractNumId w:val="1"/>
  </w:num>
  <w:num w:numId="9">
    <w:abstractNumId w:val="7"/>
  </w:num>
  <w:num w:numId="10">
    <w:abstractNumId w:val="8"/>
  </w:num>
  <w:num w:numId="11">
    <w:abstractNumId w:val="11"/>
  </w:num>
  <w:num w:numId="12">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selene.baez">
    <w15:presenceInfo w15:providerId="Windows Live" w15:userId="ed5dc9bb5bed992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65821"/>
    <w:rsid w:val="000F6E65"/>
    <w:rsid w:val="001063AE"/>
    <w:rsid w:val="00210B52"/>
    <w:rsid w:val="00214C06"/>
    <w:rsid w:val="00241C89"/>
    <w:rsid w:val="00297FF4"/>
    <w:rsid w:val="002D1A9D"/>
    <w:rsid w:val="003D6F84"/>
    <w:rsid w:val="004E0AAF"/>
    <w:rsid w:val="004F1127"/>
    <w:rsid w:val="005759CB"/>
    <w:rsid w:val="00576705"/>
    <w:rsid w:val="005843CF"/>
    <w:rsid w:val="0060223B"/>
    <w:rsid w:val="00621125"/>
    <w:rsid w:val="00646015"/>
    <w:rsid w:val="00691299"/>
    <w:rsid w:val="00764D88"/>
    <w:rsid w:val="00774830"/>
    <w:rsid w:val="008219B3"/>
    <w:rsid w:val="008358AA"/>
    <w:rsid w:val="00853281"/>
    <w:rsid w:val="008F120A"/>
    <w:rsid w:val="00920D59"/>
    <w:rsid w:val="009B184F"/>
    <w:rsid w:val="009F1BBB"/>
    <w:rsid w:val="00A03AE3"/>
    <w:rsid w:val="00A0727D"/>
    <w:rsid w:val="00A41D43"/>
    <w:rsid w:val="00A74651"/>
    <w:rsid w:val="00AA54F3"/>
    <w:rsid w:val="00BB3839"/>
    <w:rsid w:val="00C52F9A"/>
    <w:rsid w:val="00C965B3"/>
    <w:rsid w:val="00CE1090"/>
    <w:rsid w:val="00D65821"/>
    <w:rsid w:val="00DC5786"/>
    <w:rsid w:val="00E00BEA"/>
    <w:rsid w:val="00EA49AE"/>
    <w:rsid w:val="00ED1F38"/>
    <w:rsid w:val="00F87C0B"/>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01A4D5"/>
  <w15:chartTrackingRefBased/>
  <w15:docId w15:val="{E00B8465-E85C-47E4-928A-473522A847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2">
    <w:name w:val="heading 2"/>
    <w:basedOn w:val="Normal"/>
    <w:next w:val="Normal"/>
    <w:link w:val="Ttulo2Car"/>
    <w:uiPriority w:val="9"/>
    <w:semiHidden/>
    <w:unhideWhenUsed/>
    <w:qFormat/>
    <w:rsid w:val="00C965B3"/>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D65821"/>
    <w:pPr>
      <w:ind w:left="720"/>
      <w:contextualSpacing/>
    </w:pPr>
  </w:style>
  <w:style w:type="paragraph" w:styleId="NormalWeb">
    <w:name w:val="Normal (Web)"/>
    <w:basedOn w:val="Normal"/>
    <w:uiPriority w:val="99"/>
    <w:unhideWhenUsed/>
    <w:rsid w:val="00214C06"/>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214C06"/>
    <w:rPr>
      <w:b/>
      <w:bCs/>
    </w:rPr>
  </w:style>
  <w:style w:type="character" w:styleId="Hipervnculo">
    <w:name w:val="Hyperlink"/>
    <w:basedOn w:val="Fuentedeprrafopredeter"/>
    <w:uiPriority w:val="99"/>
    <w:unhideWhenUsed/>
    <w:rsid w:val="008219B3"/>
    <w:rPr>
      <w:color w:val="0563C1" w:themeColor="hyperlink"/>
      <w:u w:val="single"/>
    </w:rPr>
  </w:style>
  <w:style w:type="character" w:styleId="Refdecomentario">
    <w:name w:val="annotation reference"/>
    <w:basedOn w:val="Fuentedeprrafopredeter"/>
    <w:uiPriority w:val="99"/>
    <w:semiHidden/>
    <w:unhideWhenUsed/>
    <w:rsid w:val="00297FF4"/>
    <w:rPr>
      <w:sz w:val="16"/>
      <w:szCs w:val="16"/>
    </w:rPr>
  </w:style>
  <w:style w:type="paragraph" w:styleId="Textocomentario">
    <w:name w:val="annotation text"/>
    <w:basedOn w:val="Normal"/>
    <w:link w:val="TextocomentarioCar"/>
    <w:uiPriority w:val="99"/>
    <w:semiHidden/>
    <w:unhideWhenUsed/>
    <w:rsid w:val="00297FF4"/>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297FF4"/>
    <w:rPr>
      <w:sz w:val="20"/>
      <w:szCs w:val="20"/>
    </w:rPr>
  </w:style>
  <w:style w:type="paragraph" w:styleId="Asuntodelcomentario">
    <w:name w:val="annotation subject"/>
    <w:basedOn w:val="Textocomentario"/>
    <w:next w:val="Textocomentario"/>
    <w:link w:val="AsuntodelcomentarioCar"/>
    <w:uiPriority w:val="99"/>
    <w:semiHidden/>
    <w:unhideWhenUsed/>
    <w:rsid w:val="00297FF4"/>
    <w:rPr>
      <w:b/>
      <w:bCs/>
    </w:rPr>
  </w:style>
  <w:style w:type="character" w:customStyle="1" w:styleId="AsuntodelcomentarioCar">
    <w:name w:val="Asunto del comentario Car"/>
    <w:basedOn w:val="TextocomentarioCar"/>
    <w:link w:val="Asuntodelcomentario"/>
    <w:uiPriority w:val="99"/>
    <w:semiHidden/>
    <w:rsid w:val="00297FF4"/>
    <w:rPr>
      <w:b/>
      <w:bCs/>
      <w:sz w:val="20"/>
      <w:szCs w:val="20"/>
    </w:rPr>
  </w:style>
  <w:style w:type="paragraph" w:styleId="Textodeglobo">
    <w:name w:val="Balloon Text"/>
    <w:basedOn w:val="Normal"/>
    <w:link w:val="TextodegloboCar"/>
    <w:uiPriority w:val="99"/>
    <w:semiHidden/>
    <w:unhideWhenUsed/>
    <w:rsid w:val="00297FF4"/>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297FF4"/>
    <w:rPr>
      <w:rFonts w:ascii="Segoe UI" w:hAnsi="Segoe UI" w:cs="Segoe UI"/>
      <w:sz w:val="18"/>
      <w:szCs w:val="18"/>
    </w:rPr>
  </w:style>
  <w:style w:type="character" w:customStyle="1" w:styleId="Ttulo2Car">
    <w:name w:val="Título 2 Car"/>
    <w:basedOn w:val="Fuentedeprrafopredeter"/>
    <w:link w:val="Ttulo2"/>
    <w:uiPriority w:val="9"/>
    <w:semiHidden/>
    <w:rsid w:val="00C965B3"/>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2684005">
      <w:bodyDiv w:val="1"/>
      <w:marLeft w:val="0"/>
      <w:marRight w:val="0"/>
      <w:marTop w:val="0"/>
      <w:marBottom w:val="0"/>
      <w:divBdr>
        <w:top w:val="none" w:sz="0" w:space="0" w:color="auto"/>
        <w:left w:val="none" w:sz="0" w:space="0" w:color="auto"/>
        <w:bottom w:val="none" w:sz="0" w:space="0" w:color="auto"/>
        <w:right w:val="none" w:sz="0" w:space="0" w:color="auto"/>
      </w:divBdr>
    </w:div>
    <w:div w:id="232010775">
      <w:bodyDiv w:val="1"/>
      <w:marLeft w:val="0"/>
      <w:marRight w:val="0"/>
      <w:marTop w:val="0"/>
      <w:marBottom w:val="0"/>
      <w:divBdr>
        <w:top w:val="none" w:sz="0" w:space="0" w:color="auto"/>
        <w:left w:val="none" w:sz="0" w:space="0" w:color="auto"/>
        <w:bottom w:val="none" w:sz="0" w:space="0" w:color="auto"/>
        <w:right w:val="none" w:sz="0" w:space="0" w:color="auto"/>
      </w:divBdr>
    </w:div>
    <w:div w:id="820925069">
      <w:bodyDiv w:val="1"/>
      <w:marLeft w:val="0"/>
      <w:marRight w:val="0"/>
      <w:marTop w:val="0"/>
      <w:marBottom w:val="0"/>
      <w:divBdr>
        <w:top w:val="none" w:sz="0" w:space="0" w:color="auto"/>
        <w:left w:val="none" w:sz="0" w:space="0" w:color="auto"/>
        <w:bottom w:val="none" w:sz="0" w:space="0" w:color="auto"/>
        <w:right w:val="none" w:sz="0" w:space="0" w:color="auto"/>
      </w:divBdr>
    </w:div>
    <w:div w:id="1090664137">
      <w:bodyDiv w:val="1"/>
      <w:marLeft w:val="0"/>
      <w:marRight w:val="0"/>
      <w:marTop w:val="0"/>
      <w:marBottom w:val="0"/>
      <w:divBdr>
        <w:top w:val="none" w:sz="0" w:space="0" w:color="auto"/>
        <w:left w:val="none" w:sz="0" w:space="0" w:color="auto"/>
        <w:bottom w:val="none" w:sz="0" w:space="0" w:color="auto"/>
        <w:right w:val="none" w:sz="0" w:space="0" w:color="auto"/>
      </w:divBdr>
    </w:div>
    <w:div w:id="1235625311">
      <w:bodyDiv w:val="1"/>
      <w:marLeft w:val="0"/>
      <w:marRight w:val="0"/>
      <w:marTop w:val="0"/>
      <w:marBottom w:val="0"/>
      <w:divBdr>
        <w:top w:val="none" w:sz="0" w:space="0" w:color="auto"/>
        <w:left w:val="none" w:sz="0" w:space="0" w:color="auto"/>
        <w:bottom w:val="none" w:sz="0" w:space="0" w:color="auto"/>
        <w:right w:val="none" w:sz="0" w:space="0" w:color="auto"/>
      </w:divBdr>
      <w:divsChild>
        <w:div w:id="1958098738">
          <w:blockQuote w:val="1"/>
          <w:marLeft w:val="720"/>
          <w:marRight w:val="720"/>
          <w:marTop w:val="100"/>
          <w:marBottom w:val="100"/>
          <w:divBdr>
            <w:top w:val="none" w:sz="0" w:space="0" w:color="auto"/>
            <w:left w:val="none" w:sz="0" w:space="0" w:color="auto"/>
            <w:bottom w:val="none" w:sz="0" w:space="0" w:color="auto"/>
            <w:right w:val="none" w:sz="0" w:space="0" w:color="auto"/>
          </w:divBdr>
        </w:div>
        <w:div w:id="86538176">
          <w:blockQuote w:val="1"/>
          <w:marLeft w:val="720"/>
          <w:marRight w:val="720"/>
          <w:marTop w:val="100"/>
          <w:marBottom w:val="100"/>
          <w:divBdr>
            <w:top w:val="none" w:sz="0" w:space="0" w:color="auto"/>
            <w:left w:val="none" w:sz="0" w:space="0" w:color="auto"/>
            <w:bottom w:val="none" w:sz="0" w:space="0" w:color="auto"/>
            <w:right w:val="none" w:sz="0" w:space="0" w:color="auto"/>
          </w:divBdr>
        </w:div>
        <w:div w:id="93771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255410451">
          <w:blockQuote w:val="1"/>
          <w:marLeft w:val="720"/>
          <w:marRight w:val="720"/>
          <w:marTop w:val="100"/>
          <w:marBottom w:val="100"/>
          <w:divBdr>
            <w:top w:val="none" w:sz="0" w:space="0" w:color="auto"/>
            <w:left w:val="none" w:sz="0" w:space="0" w:color="auto"/>
            <w:bottom w:val="none" w:sz="0" w:space="0" w:color="auto"/>
            <w:right w:val="none" w:sz="0" w:space="0" w:color="auto"/>
          </w:divBdr>
        </w:div>
        <w:div w:id="279608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21779728">
          <w:blockQuote w:val="1"/>
          <w:marLeft w:val="720"/>
          <w:marRight w:val="720"/>
          <w:marTop w:val="100"/>
          <w:marBottom w:val="100"/>
          <w:divBdr>
            <w:top w:val="none" w:sz="0" w:space="0" w:color="auto"/>
            <w:left w:val="none" w:sz="0" w:space="0" w:color="auto"/>
            <w:bottom w:val="none" w:sz="0" w:space="0" w:color="auto"/>
            <w:right w:val="none" w:sz="0" w:space="0" w:color="auto"/>
          </w:divBdr>
        </w:div>
        <w:div w:id="201603597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9778047">
          <w:blockQuote w:val="1"/>
          <w:marLeft w:val="720"/>
          <w:marRight w:val="720"/>
          <w:marTop w:val="100"/>
          <w:marBottom w:val="100"/>
          <w:divBdr>
            <w:top w:val="none" w:sz="0" w:space="0" w:color="auto"/>
            <w:left w:val="none" w:sz="0" w:space="0" w:color="auto"/>
            <w:bottom w:val="none" w:sz="0" w:space="0" w:color="auto"/>
            <w:right w:val="none" w:sz="0" w:space="0" w:color="auto"/>
          </w:divBdr>
        </w:div>
        <w:div w:id="857045908">
          <w:blockQuote w:val="1"/>
          <w:marLeft w:val="720"/>
          <w:marRight w:val="720"/>
          <w:marTop w:val="100"/>
          <w:marBottom w:val="100"/>
          <w:divBdr>
            <w:top w:val="none" w:sz="0" w:space="0" w:color="auto"/>
            <w:left w:val="none" w:sz="0" w:space="0" w:color="auto"/>
            <w:bottom w:val="none" w:sz="0" w:space="0" w:color="auto"/>
            <w:right w:val="none" w:sz="0" w:space="0" w:color="auto"/>
          </w:divBdr>
        </w:div>
        <w:div w:id="1643970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8307495">
      <w:bodyDiv w:val="1"/>
      <w:marLeft w:val="0"/>
      <w:marRight w:val="0"/>
      <w:marTop w:val="0"/>
      <w:marBottom w:val="0"/>
      <w:divBdr>
        <w:top w:val="none" w:sz="0" w:space="0" w:color="auto"/>
        <w:left w:val="none" w:sz="0" w:space="0" w:color="auto"/>
        <w:bottom w:val="none" w:sz="0" w:space="0" w:color="auto"/>
        <w:right w:val="none" w:sz="0" w:space="0" w:color="auto"/>
      </w:divBdr>
    </w:div>
    <w:div w:id="17953696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www.dropbox.com/scl/fi/cncse0g6oytw2mmker0ra/Numex_iwue_ANUSCRIPT.docx?rlkey=ab841gqmlu1xy8vrux8qdgbfv&amp;st=u2wuqfnj&amp;dl=0" TargetMode="Externa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454FB9-01DE-4F2C-B863-73FD7A5F55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675</TotalTime>
  <Pages>3</Pages>
  <Words>4906</Words>
  <Characters>27968</Characters>
  <Application>Microsoft Office Word</Application>
  <DocSecurity>0</DocSecurity>
  <Lines>233</Lines>
  <Paragraphs>65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selene.baez</dc:creator>
  <cp:keywords/>
  <dc:description/>
  <cp:lastModifiedBy>selene.baez</cp:lastModifiedBy>
  <cp:revision>22</cp:revision>
  <dcterms:created xsi:type="dcterms:W3CDTF">2026-02-17T10:21:00Z</dcterms:created>
  <dcterms:modified xsi:type="dcterms:W3CDTF">2026-04-20T11:22:00Z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7c27e622-df3b-3a8c-8a2d-2c064e6f2068</vt:lpwstr>
  </property>
  <property fmtid="{D5CDD505-2E9C-101B-9397-08002B2CF9AE}" pid="4" name="Mendeley Citation Style_1">
    <vt:lpwstr>http://www.zotero.org/styles/restoration-ecology</vt:lpwstr>
  </property>
  <property fmtid="{D5CDD505-2E9C-101B-9397-08002B2CF9AE}" pid="5" name="Mendeley Recent Style Id 0_1">
    <vt:lpwstr>http://www.zotero.org/styles/american-political-science-association</vt:lpwstr>
  </property>
  <property fmtid="{D5CDD505-2E9C-101B-9397-08002B2CF9AE}" pid="6" name="Mendeley Recent Style Name 0_1">
    <vt:lpwstr>American Political Science Association</vt:lpwstr>
  </property>
  <property fmtid="{D5CDD505-2E9C-101B-9397-08002B2CF9AE}" pid="7" name="Mendeley Recent Style Id 1_1">
    <vt:lpwstr>http://www.zotero.org/styles/american-sociological-association</vt:lpwstr>
  </property>
  <property fmtid="{D5CDD505-2E9C-101B-9397-08002B2CF9AE}" pid="8" name="Mendeley Recent Style Name 1_1">
    <vt:lpwstr>American Sociological Association 6th edition</vt:lpwstr>
  </property>
  <property fmtid="{D5CDD505-2E9C-101B-9397-08002B2CF9AE}" pid="9" name="Mendeley Recent Style Id 2_1">
    <vt:lpwstr>http://www.zotero.org/styles/chicago-author-date</vt:lpwstr>
  </property>
  <property fmtid="{D5CDD505-2E9C-101B-9397-08002B2CF9AE}" pid="10" name="Mendeley Recent Style Name 2_1">
    <vt:lpwstr>Chicago Manual of Style 17th edition (author-date)</vt:lpwstr>
  </property>
  <property fmtid="{D5CDD505-2E9C-101B-9397-08002B2CF9AE}" pid="11" name="Mendeley Recent Style Id 3_1">
    <vt:lpwstr>http://www.zotero.org/styles/harvard-cite-them-right</vt:lpwstr>
  </property>
  <property fmtid="{D5CDD505-2E9C-101B-9397-08002B2CF9AE}" pid="12" name="Mendeley Recent Style Name 3_1">
    <vt:lpwstr>Cite Them Right 10th edition - Harvard</vt:lpwstr>
  </property>
  <property fmtid="{D5CDD505-2E9C-101B-9397-08002B2CF9AE}" pid="13" name="Mendeley Recent Style Id 4_1">
    <vt:lpwstr>http://www.zotero.org/styles/ieee</vt:lpwstr>
  </property>
  <property fmtid="{D5CDD505-2E9C-101B-9397-08002B2CF9AE}" pid="14" name="Mendeley Recent Style Name 4_1">
    <vt:lpwstr>IEEE</vt:lpwstr>
  </property>
  <property fmtid="{D5CDD505-2E9C-101B-9397-08002B2CF9AE}" pid="15" name="Mendeley Recent Style Id 5_1">
    <vt:lpwstr>http://www.zotero.org/styles/modern-humanities-research-association</vt:lpwstr>
  </property>
  <property fmtid="{D5CDD505-2E9C-101B-9397-08002B2CF9AE}" pid="16" name="Mendeley Recent Style Name 5_1">
    <vt:lpwstr>Modern Humanities Research Association 3rd edition (note with bibliography)</vt:lpwstr>
  </property>
  <property fmtid="{D5CDD505-2E9C-101B-9397-08002B2CF9AE}" pid="17" name="Mendeley Recent Style Id 6_1">
    <vt:lpwstr>http://www.zotero.org/styles/modern-language-association</vt:lpwstr>
  </property>
  <property fmtid="{D5CDD505-2E9C-101B-9397-08002B2CF9AE}" pid="18" name="Mendeley Recent Style Name 6_1">
    <vt:lpwstr>Modern Language Association 8th edition</vt:lpwstr>
  </property>
  <property fmtid="{D5CDD505-2E9C-101B-9397-08002B2CF9AE}" pid="19" name="Mendeley Recent Style Id 7_1">
    <vt:lpwstr>http://www.zotero.org/styles/nature</vt:lpwstr>
  </property>
  <property fmtid="{D5CDD505-2E9C-101B-9397-08002B2CF9AE}" pid="20" name="Mendeley Recent Style Name 7_1">
    <vt:lpwstr>Nature</vt:lpwstr>
  </property>
  <property fmtid="{D5CDD505-2E9C-101B-9397-08002B2CF9AE}" pid="21" name="Mendeley Recent Style Id 8_1">
    <vt:lpwstr>http://www.zotero.org/styles/restoration-ecology</vt:lpwstr>
  </property>
  <property fmtid="{D5CDD505-2E9C-101B-9397-08002B2CF9AE}" pid="22" name="Mendeley Recent Style Name 8_1">
    <vt:lpwstr>Restoration Ecology</vt:lpwstr>
  </property>
  <property fmtid="{D5CDD505-2E9C-101B-9397-08002B2CF9AE}" pid="23" name="Mendeley Recent Style Id 9_1">
    <vt:lpwstr>http://www.zotero.org/styles/seed-science-research</vt:lpwstr>
  </property>
  <property fmtid="{D5CDD505-2E9C-101B-9397-08002B2CF9AE}" pid="24" name="Mendeley Recent Style Name 9_1">
    <vt:lpwstr>Seed Science Research</vt:lpwstr>
  </property>
</Properties>
</file>