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Times New Roman" w:cs="Times New Roman" w:eastAsia="Times New Roman" w:hAnsi="Times New Roman"/>
          <w:b/>
          <w:bCs/>
          <w:sz w:val="28"/>
          <w:szCs w:val="28"/>
        </w:rPr>
        <w:t xml:space="preserve">DISCUSSION</w:t>
      </w:r>
    </w:p>
    <w:p>
      <w:pPr>
        <w:spacing w:after="200" w:line="480"/>
        <w:jc w:val="both"/>
      </w:pPr>
      <w:r>
        <w:rPr>
          <w:rFonts w:ascii="Times New Roman" w:cs="Times New Roman" w:eastAsia="Times New Roman" w:hAnsi="Times New Roman"/>
          <w:sz w:val="24"/>
          <w:szCs w:val="24"/>
        </w:rPr>
        <w:t xml:space="preserve">In this study, we examined how 18 years of nitrogen (N) and phosphorus (P) addition in the NUMEX experiment affect (1) foliar nutrient concentrations and stoichiometry, (2) intrinsic water-use efficiency (iWUE) across an elevational gradient, and (3) the coordination between foliar nutrient traits and δ¹³C-derived estimates of iWUE, in common tree species of Ecuadorian tropical montane forests (TMF). As expected, nutrient addition increased foliar nutrient concentrations and altered nutrient stoichiometry, confirming that the added nutrients were taken up by the studied trees (Section 1). Contrary to our expectation that this greater nutrient availability would in turn shift iWUE, however, only one species — </w:t>
      </w:r>
      <w:r>
        <w:rPr>
          <w:rFonts w:ascii="Times New Roman" w:cs="Times New Roman" w:eastAsia="Times New Roman" w:hAnsi="Times New Roman"/>
          <w:i/>
          <w:iCs/>
          <w:sz w:val="24"/>
          <w:szCs w:val="24"/>
        </w:rPr>
        <w:t xml:space="preserve">Pouteria torta</w:t>
      </w:r>
      <w:r>
        <w:rPr>
          <w:rFonts w:ascii="Times New Roman" w:cs="Times New Roman" w:eastAsia="Times New Roman" w:hAnsi="Times New Roman"/>
          <w:sz w:val="24"/>
          <w:szCs w:val="24"/>
        </w:rPr>
        <w:t xml:space="preserve"> — showed a significant change; we return to this exception in Section 1, though its physiological basis remains to be resolved. For the remaining species, the coordination we expected between foliar nutrient status and δ¹³C-derived iWUE was largely absent at the level of the experimental treatment, even though it was clearly present in the natural, cross-species variation along the elevational gradient (Section 3). Together, these results suggest that conservative, species-specific strategies (Section 2) and the environmental context of each elevation (Section 3) — rather than nutrient supply itself — primarily govern carbon–water relations in this system, a pattern with direct implications for how TMF carbon dynamics are represented in ecosystem models (Section 5).</w:t>
      </w:r>
    </w:p>
    <w:p>
      <w:pPr>
        <w:pStyle w:val="Heading2"/>
        <w:spacing w:after="160" w:before="300"/>
      </w:pPr>
      <w:r>
        <w:rPr>
          <w:rFonts w:ascii="Times New Roman" w:cs="Times New Roman" w:eastAsia="Times New Roman" w:hAnsi="Times New Roman"/>
          <w:b/>
          <w:bCs/>
          <w:sz w:val="26"/>
          <w:szCs w:val="26"/>
        </w:rPr>
        <w:t xml:space="preserve">1. Nutrient uptake is reflected in higher leaf nutrient concentrations, but this is not translated into physiological change</w:t>
      </w:r>
    </w:p>
    <w:p>
      <w:pPr>
        <w:spacing w:after="200" w:line="480"/>
        <w:jc w:val="both"/>
      </w:pPr>
      <w:r>
        <w:rPr>
          <w:rFonts w:ascii="Times New Roman" w:cs="Times New Roman" w:eastAsia="Times New Roman" w:hAnsi="Times New Roman"/>
          <w:sz w:val="24"/>
          <w:szCs w:val="24"/>
        </w:rPr>
        <w:t xml:space="preserve">After 18 years of N and P addition in the NUMEX experiment, the studied species did not exhibit a significant increase in leaf intrinsic water-use efficiency (iWUE) relative to control plots — with the exception of </w:t>
      </w:r>
      <w:r>
        <w:rPr>
          <w:rFonts w:ascii="Times New Roman" w:cs="Times New Roman" w:eastAsia="Times New Roman" w:hAnsi="Times New Roman"/>
          <w:i/>
          <w:iCs/>
          <w:sz w:val="24"/>
          <w:szCs w:val="24"/>
        </w:rPr>
        <w:t xml:space="preserve">Pouteria torta</w:t>
      </w:r>
      <w:r>
        <w:rPr>
          <w:rFonts w:ascii="Times New Roman" w:cs="Times New Roman" w:eastAsia="Times New Roman" w:hAnsi="Times New Roman"/>
          <w:sz w:val="24"/>
          <w:szCs w:val="24"/>
        </w:rPr>
        <w:t xml:space="preserve"> — despite detectable increases in foliar nutrient traits. Unlike instantaneous gas-exchange measurements, δ¹³C integrates carbon assimilation relative to stomatal conductance over the period of leaf formation (Cernusak et al., 2013b, 2013c); the absence of change in δ¹³C and Ci/Ca alongside iWUE therefore indicates that nutrient enrichment did not modify the long-term balance between carbon gain and water loss in the studied species, despite clear evidence of nutrient uptake, described below.</w:t>
      </w:r>
    </w:p>
    <w:p>
      <w:pPr>
        <w:spacing w:after="200" w:line="480"/>
        <w:jc w:val="both"/>
      </w:pPr>
      <w:r>
        <w:rPr>
          <w:rFonts w:ascii="Times New Roman" w:cs="Times New Roman" w:eastAsia="Times New Roman" w:hAnsi="Times New Roman"/>
          <w:sz w:val="24"/>
          <w:szCs w:val="24"/>
        </w:rPr>
        <w:t xml:space="preserve">Addressing our first question, on how nutrient addition affects foliar nutrient concentrations and stoichiometry, the observed changes in foliar nutrient traits confirm that the fertilization treatment was effective. Primary productivity in TMF is thought to be limited by nitrogen, or co-limited by nitrogen and phosphorus availability (Elser et al., 2007; González &amp; Ostertag), and we accordingly expected the strongest responses in species and elevations where these nutrients were most limiting. In line with this expectation, species at 2000 and 3000 m responded strongly to N addition, with higher leaf nitrogen concentration (LNC) and area-based nitrogen content (Narea) — the strongest Narea response occurring in </w:t>
      </w:r>
      <w:r>
        <w:rPr>
          <w:rFonts w:ascii="Times New Roman" w:cs="Times New Roman" w:eastAsia="Times New Roman" w:hAnsi="Times New Roman"/>
          <w:i/>
          <w:iCs/>
          <w:sz w:val="24"/>
          <w:szCs w:val="24"/>
        </w:rPr>
        <w:t xml:space="preserve">Myrcia</w:t>
      </w:r>
      <w:r>
        <w:rPr>
          <w:rFonts w:ascii="Times New Roman" w:cs="Times New Roman" w:eastAsia="Times New Roman" w:hAnsi="Times New Roman"/>
          <w:sz w:val="24"/>
          <w:szCs w:val="24"/>
        </w:rPr>
        <w:t xml:space="preserve"> sp. nov. and </w:t>
      </w:r>
      <w:r>
        <w:rPr>
          <w:rFonts w:ascii="Times New Roman" w:cs="Times New Roman" w:eastAsia="Times New Roman" w:hAnsi="Times New Roman"/>
          <w:i/>
          <w:iCs/>
          <w:sz w:val="24"/>
          <w:szCs w:val="24"/>
        </w:rPr>
        <w:t xml:space="preserve">Hedyosmum purpurascens</w:t>
      </w:r>
      <w:r>
        <w:rPr>
          <w:rFonts w:ascii="Times New Roman" w:cs="Times New Roman" w:eastAsia="Times New Roman" w:hAnsi="Times New Roman"/>
          <w:sz w:val="24"/>
          <w:szCs w:val="24"/>
        </w:rPr>
        <w:t xml:space="preserve"> — while leaf phosphorus concentration (LPC), in turn, increased consistently after phosphorus addition across most species. These results are consistent with previous research conducted in the area on seedlings (Cárate-Tandalla et al., 2018) and mature trees (Homeier et al., 2012b, 2021). The high N:P ratios reported here and previously suggest that nutrient stoichiometry is largely determined by species-specific nutrient acquisition and allocation strategies rather than by local edaphic conditions (Homeier et al., 2021). LNC and LPC are widely reported as consistent indicators of a response to increased nutrient availability across field experiments (Báez &amp; Homeier, 2018; Baldos et al., 2015; Dietrich et al., 2016; Firn et al., 2019; Homeier et al., 2012b, 2013b, 2017).</w:t>
      </w:r>
    </w:p>
    <w:p>
      <w:pPr>
        <w:spacing w:after="200" w:line="480"/>
        <w:jc w:val="both"/>
      </w:pPr>
      <w:r>
        <w:rPr>
          <w:rFonts w:ascii="Times New Roman" w:cs="Times New Roman" w:eastAsia="Times New Roman" w:hAnsi="Times New Roman"/>
          <w:sz w:val="24"/>
          <w:szCs w:val="24"/>
        </w:rPr>
        <w:t xml:space="preserve">Taken together, these results show that nutrient addition does influence foliar nutrient status in these mature montane forests, but that the response is filtered by species-specific acquisition strategies — and, critically, that this shift in nutrient status was not accompanied by a corresponding shift in leaf-level carbon–water relations.</w:t>
      </w:r>
    </w:p>
    <w:p>
      <w:pPr>
        <w:spacing w:after="200" w:line="480"/>
        <w:jc w:val="both"/>
      </w:pPr>
      <w:r>
        <w:rPr>
          <w:rFonts w:ascii="Times New Roman" w:cs="Times New Roman" w:eastAsia="Times New Roman" w:hAnsi="Times New Roman"/>
          <w:sz w:val="24"/>
          <w:szCs w:val="24"/>
        </w:rPr>
        <w:t xml:space="preserve">This brings us back to our second question — whether increased nutrient availability shifts iWUE along the elevational gradient. For the species in which the exception observed in </w:t>
      </w:r>
      <w:r>
        <w:rPr>
          <w:rFonts w:ascii="Times New Roman" w:cs="Times New Roman" w:eastAsia="Times New Roman" w:hAnsi="Times New Roman"/>
          <w:i/>
          <w:iCs/>
          <w:sz w:val="24"/>
          <w:szCs w:val="24"/>
        </w:rPr>
        <w:t xml:space="preserve">P. torta</w:t>
      </w:r>
      <w:r>
        <w:rPr>
          <w:rFonts w:ascii="Times New Roman" w:cs="Times New Roman" w:eastAsia="Times New Roman" w:hAnsi="Times New Roman"/>
          <w:sz w:val="24"/>
          <w:szCs w:val="24"/>
        </w:rPr>
        <w:t xml:space="preserve"> did not apply, the answer is no, and the explanation for this lack of a physiological shift appears to lie elsewhere: in species-specific resource allocation, conservative ecological strategies, and the environmental context of each elevation (Sections 2–3).</w:t>
      </w:r>
    </w:p>
    <w:p>
      <w:pPr>
        <w:pStyle w:val="Heading2"/>
        <w:spacing w:after="160" w:before="300"/>
      </w:pPr>
      <w:r>
        <w:rPr>
          <w:rFonts w:ascii="Times New Roman" w:cs="Times New Roman" w:eastAsia="Times New Roman" w:hAnsi="Times New Roman"/>
          <w:b/>
          <w:bCs/>
          <w:sz w:val="26"/>
          <w:szCs w:val="26"/>
        </w:rPr>
        <w:t xml:space="preserve">2. Species-specific strategies and nutrient allocation likely explain the lack of a physiological response</w:t>
      </w:r>
    </w:p>
    <w:p>
      <w:pPr>
        <w:spacing w:after="200" w:line="480"/>
        <w:jc w:val="both"/>
      </w:pPr>
      <w:r>
        <w:rPr>
          <w:rFonts w:ascii="Times New Roman" w:cs="Times New Roman" w:eastAsia="Times New Roman" w:hAnsi="Times New Roman"/>
          <w:sz w:val="24"/>
          <w:szCs w:val="24"/>
        </w:rPr>
        <w:t xml:space="preserve">One possible explanation for the lack of a physiological response is that the added nutrients are being allocated for purposes other than photosynthesis. Under optimality theory, plants allocate resources to minimize the cost of acquiring the most limiting resource while maintaining carbon gain (Wright et al., 2003); if nutrient addition relaxes N or P limitation, the balance of constraints may instead shift toward other limiting resources such as water or light. Total nitrogen content — whether expressed on a mass or area basis — is not always a good predictor of photosynthetic capacity in TMF species (e.g., Dusenge et al., 2015; Ziegler et al., 2020), largely because nitrogen allocation within leaves depends on a species' ecological strategy: climax species may allocate a greater proportion of nitrogen to structural components, defense, or light-harvesting complexes rather than to carboxylation machinery (Dusenge et al., 2015; Ziegler et al., 2020), while phosphorus may be allocated mainly to nucleic acids (Zhang et al., 2018).</w:t>
      </w:r>
    </w:p>
    <w:p>
      <w:pPr>
        <w:spacing w:after="200" w:line="480"/>
        <w:jc w:val="both"/>
      </w:pPr>
      <w:r>
        <w:rPr>
          <w:rFonts w:ascii="Times New Roman" w:cs="Times New Roman" w:eastAsia="Times New Roman" w:hAnsi="Times New Roman"/>
          <w:sz w:val="24"/>
          <w:szCs w:val="24"/>
        </w:rPr>
        <w:t xml:space="preserve">The species studied here are adapted to nutrient-poor soils and follow a conservative resource-use strategy (Pierick et al., 2024), which is consistent with allocation toward structure and light capture rather than toward carboxylation — particularly for species at the upper sites, which are exposed to persistent cloudiness and low-light conditions (Wittich et al., 2012). Ontogenetic effects may also contribute: mature trees have been shown to maintain stable water-use strategies over time (T. Yan et al., 2022a). Future work could usefully test whether nutrient responses and allocation patterns diverge among species with contrasting ecological (acquisitive vs. conservative) strategies in TMF.</w:t>
      </w:r>
    </w:p>
    <w:p>
      <w:pPr>
        <w:spacing w:after="200" w:line="480"/>
        <w:jc w:val="both"/>
      </w:pPr>
      <w:r>
        <w:rPr>
          <w:rFonts w:ascii="Times New Roman" w:cs="Times New Roman" w:eastAsia="Times New Roman" w:hAnsi="Times New Roman"/>
          <w:sz w:val="24"/>
          <w:szCs w:val="24"/>
        </w:rPr>
        <w:t xml:space="preserve">Nutrients may also be allocated beyond the leaf altogether: elsewhere in this experimental network, fertilization has increased foliage production, stand-level leaf area index, and leaf lifespan (Spannl et al., 2016; Homeier et al., 2013), and increased self-shading in more structurally developed canopies has been proposed to keep stomatal conductance stable even under higher nutrient supply (T. Yan et al., 2022b) — plants may simply prioritize a greater number of coordinated leaves over the performance of any single leaf (Lankhorst et al., 2025). We did not measure canopy structure in this study, so this remains a plausible but untested alternative to the within-leaf explanations above.</w:t>
      </w:r>
    </w:p>
    <w:p>
      <w:pPr>
        <w:spacing w:after="200" w:line="480"/>
        <w:jc w:val="both"/>
      </w:pPr>
      <w:r>
        <w:rPr>
          <w:rFonts w:ascii="Times New Roman" w:cs="Times New Roman" w:eastAsia="Times New Roman" w:hAnsi="Times New Roman"/>
          <w:sz w:val="24"/>
          <w:szCs w:val="24"/>
        </w:rPr>
        <w:t xml:space="preserve">Taken together, these mechanisms — whether operating within the leaf or at the canopy level — suggest that fertilization altered nutrient status without altering the underlying, conservative resource-use strategy that governs carbon–water relations in these species — a strategy that, as the next section shows, is already established independently of the fertilization treatment.</w:t>
      </w:r>
    </w:p>
    <w:p>
      <w:pPr>
        <w:pStyle w:val="Heading2"/>
        <w:spacing w:after="160" w:before="300"/>
      </w:pPr>
      <w:r>
        <w:rPr>
          <w:rFonts w:ascii="Times New Roman" w:cs="Times New Roman" w:eastAsia="Times New Roman" w:hAnsi="Times New Roman"/>
          <w:b/>
          <w:bCs/>
          <w:sz w:val="26"/>
          <w:szCs w:val="26"/>
        </w:rPr>
        <w:t xml:space="preserve">3. Independent of fertilization, species differ naturally in iWUE across the elevational gradient</w:t>
      </w:r>
    </w:p>
    <w:p>
      <w:pPr>
        <w:spacing w:after="200" w:line="480"/>
        <w:jc w:val="both"/>
      </w:pPr>
      <w:r>
        <w:rPr>
          <w:rFonts w:ascii="Times New Roman" w:cs="Times New Roman" w:eastAsia="Times New Roman" w:hAnsi="Times New Roman"/>
          <w:sz w:val="24"/>
          <w:szCs w:val="24"/>
        </w:rPr>
        <w:t xml:space="preserve">Although long-term nutrient addition did not modify intraspecific iWUE, species growing in control plots already differed markedly in iWUE across the natural elevational gradient — indicating that this trait is governed primarily by baseline environmental conditions and species identity, rather than by nutrient supply. Common species from the mid- and high-elevation sites exhibited the highest iWUE (Fig. S2), sharing more similar carbon–water traits with one another than with species at 1000 m. These differences likely reflect coordinated variation in nutrient availability, leaf functional traits, and community composition along the elevational gradient.</w:t>
      </w:r>
    </w:p>
    <w:p>
      <w:pPr>
        <w:spacing w:after="200" w:line="480"/>
        <w:jc w:val="both"/>
      </w:pPr>
      <w:r>
        <w:rPr>
          <w:rFonts w:ascii="Times New Roman" w:cs="Times New Roman" w:eastAsia="Times New Roman" w:hAnsi="Times New Roman"/>
          <w:sz w:val="24"/>
          <w:szCs w:val="24"/>
        </w:rPr>
        <w:t xml:space="preserve">Previous work from the same study region reported maximum photosynthetic rates around 2000 m, coinciding with higher foliar nutrient concentrations (Wittich et al., 2012). In addition, expressing leaf N on an area basis revealed that species at 2000 m maintain greater nitrogen investment per unit leaf area, highlighting the importance of structural effects in shaping foliar nutrient patterns; this greater Narea in mid-elevation species may itself contribute to their relatively high iWUE. In contrast, species at 1000 m — including </w:t>
      </w:r>
      <w:r>
        <w:rPr>
          <w:rFonts w:ascii="Times New Roman" w:cs="Times New Roman" w:eastAsia="Times New Roman" w:hAnsi="Times New Roman"/>
          <w:i/>
          <w:iCs/>
          <w:sz w:val="24"/>
          <w:szCs w:val="24"/>
        </w:rPr>
        <w:t xml:space="preserve">P. torta</w:t>
      </w:r>
      <w:r>
        <w:rPr>
          <w:rFonts w:ascii="Times New Roman" w:cs="Times New Roman" w:eastAsia="Times New Roman" w:hAnsi="Times New Roman"/>
          <w:sz w:val="24"/>
          <w:szCs w:val="24"/>
        </w:rPr>
        <w:t xml:space="preserve"> — displayed a distinct relationship between leaf nutrient investment and iWUE, indicating a different coordination between nutrient acquisition, leaf structure, and carbon–water exchange at this elevation. One possible explanation for the similarity of responses at 2000 m and 3000 m is the shared parent rock material, which may have led to similarities in community composition and leaf properties (Homeier &amp; Leuschner, 2021b).</w:t>
      </w:r>
    </w:p>
    <w:p>
      <w:pPr>
        <w:spacing w:after="200" w:line="480"/>
        <w:jc w:val="both"/>
      </w:pPr>
      <w:r>
        <w:rPr>
          <w:rFonts w:ascii="Times New Roman" w:cs="Times New Roman" w:eastAsia="Times New Roman" w:hAnsi="Times New Roman"/>
          <w:sz w:val="24"/>
          <w:szCs w:val="24"/>
        </w:rPr>
        <w:t xml:space="preserve">Together, these findings indicate that natural variation in nutrient availability and species identity across the elevational gradient is more strongly associated with leaf carbon–water relations than experimental nutrient enrichment is: rather than responding plastically to increased nutrient supply, the dominant species appear to maintain the conservative, species-specific physiological strategies they already display under ambient conditions. Because elevation, nutrient availability, and species turnover are inherently confounded in this study, future work incorporating a larger number of species across multiple elevations will be needed to disentangle the relative contributions of environmental filtering, nutrient availability, and species identity to patterns of water-use efficiency in TMF.</w:t>
      </w:r>
    </w:p>
    <w:p>
      <w:pPr>
        <w:pStyle w:val="Heading2"/>
        <w:spacing w:after="160" w:before="300"/>
      </w:pPr>
      <w:r>
        <w:rPr>
          <w:rFonts w:ascii="Times New Roman" w:cs="Times New Roman" w:eastAsia="Times New Roman" w:hAnsi="Times New Roman"/>
          <w:b/>
          <w:bCs/>
          <w:sz w:val="26"/>
          <w:szCs w:val="26"/>
        </w:rPr>
        <w:t xml:space="preserve">4. Limitations</w:t>
      </w:r>
    </w:p>
    <w:p>
      <w:pPr>
        <w:spacing w:after="200" w:line="480"/>
        <w:jc w:val="both"/>
      </w:pPr>
      <w:r>
        <w:rPr>
          <w:rFonts w:ascii="Times New Roman" w:cs="Times New Roman" w:eastAsia="Times New Roman" w:hAnsi="Times New Roman"/>
          <w:sz w:val="24"/>
          <w:szCs w:val="24"/>
        </w:rPr>
        <w:t xml:space="preserve">Several limitations should be considered when interpreting these results. First, the physiological basis of the exception observed in </w:t>
      </w:r>
      <w:r>
        <w:rPr>
          <w:rFonts w:ascii="Times New Roman" w:cs="Times New Roman" w:eastAsia="Times New Roman" w:hAnsi="Times New Roman"/>
          <w:i/>
          <w:iCs/>
          <w:sz w:val="24"/>
          <w:szCs w:val="24"/>
        </w:rPr>
        <w:t xml:space="preserve">P. torta</w:t>
      </w:r>
      <w:r>
        <w:rPr>
          <w:rFonts w:ascii="Times New Roman" w:cs="Times New Roman" w:eastAsia="Times New Roman" w:hAnsi="Times New Roman"/>
          <w:sz w:val="24"/>
          <w:szCs w:val="24"/>
        </w:rPr>
        <w:t xml:space="preserve"> — the only species in which iWUE increased significantly under nutrient addition — remains unresolved, and would benefit from further investigation into potential N×P interactions or species-specific nutrient-uptake mechanisms. Second, the absence of a statistically significant iWUE response in most species does not necessarily imply the absence of a biological effect; given the number of species and replicates per elevation, statistical power may have been limited, and small or variable effect sizes could go undetected. Third, because elevation, species identity, and ambient nutrient availability are confounded in this study, the elevational patterns in iWUE cannot be unambiguously attributed to nutrient availability alone. Fourth, δ¹³C integrates carbon assimilation and stomatal conductance over the period of leaf formation, which may obscure shorter-term or seasonal physiological adjustments not captured by this integrated proxy. Finally, our discussion of possible canopy-level allocation of nutrients (Section 2) is speculative in the absence of direct measurements of leaf area index, litterfall, or root and mycorrhizal responses to fertilization in this dataset.</w:t>
      </w:r>
    </w:p>
    <w:p>
      <w:pPr>
        <w:pStyle w:val="Heading2"/>
        <w:spacing w:after="160" w:before="300"/>
      </w:pPr>
      <w:r>
        <w:rPr>
          <w:rFonts w:ascii="Times New Roman" w:cs="Times New Roman" w:eastAsia="Times New Roman" w:hAnsi="Times New Roman"/>
          <w:b/>
          <w:bCs/>
          <w:sz w:val="26"/>
          <w:szCs w:val="26"/>
        </w:rPr>
        <w:t xml:space="preserve">5. Implications for tropical montane forests and ecosystem models</w:t>
      </w:r>
    </w:p>
    <w:p>
      <w:pPr>
        <w:spacing w:after="200" w:line="480"/>
        <w:jc w:val="both"/>
      </w:pPr>
      <w:r>
        <w:rPr>
          <w:rFonts w:ascii="Times New Roman" w:cs="Times New Roman" w:eastAsia="Times New Roman" w:hAnsi="Times New Roman"/>
          <w:sz w:val="24"/>
          <w:szCs w:val="24"/>
        </w:rPr>
        <w:t xml:space="preserve">Despite evidence from the NUMEX experiment that nutrient addition alters foliar nutrient concentrations and several ecosystem processes in Ecuadorian TMF, the absence of a consistent iWUE response in the dominant tree species studied here indicates that carbon–water relations may remain strongly constrained. Such conservative carbon–water strategies may confer physiological stability under changing environmental conditions, allowing dominant species to maintain coordinated carbon assimilation and water use despite increased nutrient availability (Reich, 2014; Smith &amp; Keenan, 2020). Consequently, future changes in carbon sequestration in TMF may depend more on shifts in forest structure, species composition, and leaf area than on enhanced leaf-level physiological efficiency.</w:t>
      </w:r>
    </w:p>
    <w:p>
      <w:pPr>
        <w:spacing w:after="200" w:line="480"/>
        <w:jc w:val="both"/>
      </w:pPr>
      <w:r>
        <w:rPr>
          <w:rFonts w:ascii="Times New Roman" w:cs="Times New Roman" w:eastAsia="Times New Roman" w:hAnsi="Times New Roman"/>
          <w:sz w:val="24"/>
          <w:szCs w:val="24"/>
        </w:rPr>
        <w:t xml:space="preserve">These results are also relevant to current modeling frameworks, which may overestimate leaf-level physiological responses if they assume that nutrient alleviation automatically enhances carbon assimilation through changes in stomatal or photosynthetic functioning (Waring et al., 2023). We therefore conclude that predicting future forest dynamics in response to nutrient-induced changes in TMF species requires a better understanding of how nutrients are allocated, and of species' responses to other co-occurring limiting factors.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2026-07-10T16:51:42.814Z</dcterms:created>
  <dcterms:modified xsi:type="dcterms:W3CDTF">2026-07-10T16:51:42.827Z</dcterms:modified>
</cp:coreProperties>
</file>

<file path=docProps/custom.xml><?xml version="1.0" encoding="utf-8"?>
<Properties xmlns="http://schemas.openxmlformats.org/officeDocument/2006/custom-properties" xmlns:vt="http://schemas.openxmlformats.org/officeDocument/2006/docPropsVTypes"/>
</file>