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34"/>
          <w:szCs w:val="34"/>
        </w:rPr>
        <w:t xml:space="preserve">Eficiencia intrínseca en el uso del agua (iWUE) basada en isótopos bajo adición de nutrientes en bosques de montaña</w:t>
      </w:r>
    </w:p>
    <w:p>
      <w:pPr>
        <w:pBdr>
          <w:bottom w:val="single" w:color="1F4E5F" w:sz="12" w:space="8"/>
        </w:pBdr>
        <w:spacing w:after="240"/>
      </w:pPr>
      <w:r>
        <w:rPr>
          <w:rFonts w:ascii="Calibri" w:cs="Calibri" w:eastAsia="Calibri" w:hAnsi="Calibri"/>
          <w:color w:val="595959"/>
          <w:sz w:val="24"/>
          <w:szCs w:val="24"/>
        </w:rPr>
        <w:t xml:space="preserve">Comparación bibliográfica y diagnóstico del vacío metodológico</w:t>
      </w:r>
    </w:p>
    <w:p>
      <w:pPr>
        <w:spacing w:after="320" w:line="276"/>
      </w:pPr>
      <w:r>
        <w:rPr>
          <w:rFonts w:ascii="Calibri" w:cs="Calibri" w:eastAsia="Calibri" w:hAnsi="Calibri"/>
          <w:b/>
          <w:bCs/>
          <w:color w:val="000000"/>
          <w:sz w:val="21"/>
          <w:szCs w:val="21"/>
        </w:rPr>
        <w:t xml:space="preserve">Preparado para: </w:t>
      </w:r>
      <w:r>
        <w:rPr>
          <w:rFonts w:ascii="Calibri" w:cs="Calibri" w:eastAsia="Calibri" w:hAnsi="Calibri"/>
          <w:color w:val="000000"/>
          <w:sz w:val="21"/>
          <w:szCs w:val="21"/>
        </w:rPr>
        <w:t xml:space="preserve">Andrea Chávez   ·   </w:t>
      </w:r>
      <w:r>
        <w:rPr>
          <w:rFonts w:ascii="Calibri" w:cs="Calibri" w:eastAsia="Calibri" w:hAnsi="Calibri"/>
          <w:b/>
          <w:bCs/>
          <w:color w:val="000000"/>
          <w:sz w:val="21"/>
          <w:szCs w:val="21"/>
        </w:rPr>
        <w:t xml:space="preserve">Fecha: </w:t>
      </w:r>
      <w:r>
        <w:rPr>
          <w:rFonts w:ascii="Calibri" w:cs="Calibri" w:eastAsia="Calibri" w:hAnsi="Calibri"/>
          <w:color w:val="000000"/>
          <w:sz w:val="21"/>
          <w:szCs w:val="21"/>
        </w:rPr>
        <w:t xml:space="preserve">15 de septiembre de 2026   ·   </w:t>
      </w:r>
      <w:r>
        <w:rPr>
          <w:rFonts w:ascii="Calibri" w:cs="Calibri" w:eastAsia="Calibri" w:hAnsi="Calibri"/>
          <w:b/>
          <w:bCs/>
          <w:color w:val="000000"/>
          <w:sz w:val="21"/>
          <w:szCs w:val="21"/>
        </w:rPr>
        <w:t xml:space="preserve">Estudios comparados: </w:t>
      </w:r>
      <w:r>
        <w:rPr>
          <w:rFonts w:ascii="Calibri" w:cs="Calibri" w:eastAsia="Calibri" w:hAnsi="Calibri"/>
          <w:color w:val="000000"/>
          <w:sz w:val="21"/>
          <w:szCs w:val="21"/>
        </w:rPr>
        <w:t xml:space="preserve">15</w:t>
      </w:r>
    </w:p>
    <w:p>
      <w:pPr>
        <w:pStyle w:val="Heading1"/>
        <w:spacing w:after="160" w:before="320"/>
      </w:pPr>
      <w:r>
        <w:rPr>
          <w:rFonts w:ascii="Calibri" w:cs="Calibri" w:eastAsia="Calibri" w:hAnsi="Calibri"/>
          <w:b/>
          <w:bCs/>
          <w:color w:val="1F4E5F"/>
          <w:sz w:val="28"/>
          <w:szCs w:val="28"/>
        </w:rPr>
        <w:t xml:space="preserve">1. Alcance y criterios de inclusión</w:t>
      </w:r>
    </w:p>
    <w:p>
      <w:pPr>
        <w:spacing w:after="120" w:line="276"/>
      </w:pPr>
      <w:r>
        <w:rPr>
          <w:rFonts w:ascii="Calibri" w:cs="Calibri" w:eastAsia="Calibri" w:hAnsi="Calibri"/>
          <w:color w:val="000000"/>
          <w:sz w:val="21"/>
          <w:szCs w:val="21"/>
        </w:rPr>
        <w:t xml:space="preserve">Se buscó literatura que midiera eficiencia intrínseca en el uso del agua derivada de isótopos estables de carbono (δ¹³C foliar o de anillos de crecimiento) en bosques de montaña sometidos a adición experimental de nutrientes. Se dio prioridad a los trabajos que además reportaran rasgos fotosintéticos, en particular la razón Ci/Ca.</w:t>
      </w:r>
    </w:p>
    <w:p>
      <w:pPr>
        <w:spacing w:after="120" w:line="276"/>
      </w:pPr>
      <w:r>
        <w:rPr>
          <w:rFonts w:ascii="Calibri" w:cs="Calibri" w:eastAsia="Calibri" w:hAnsi="Calibri"/>
          <w:color w:val="000000"/>
          <w:sz w:val="21"/>
          <w:szCs w:val="21"/>
        </w:rPr>
        <w:t xml:space="preserve">Los estudios se organizan en cuatro grupos según qué parte del criterio cumplen: (A) montano con fertilización e iWUE isotópica; (B) montano tropical con fertilización y fisiología foliar, pero sin isótopos; (C) Ci/Ca e intercambio gaseoso bajo N fuera del montano tropical; (D) marco interpretativo. Cuando un dato no pudo verificarse en el resumen se señala de forma explícita en la tabla.</w:t>
      </w:r>
    </w:p>
    <w:p>
      <w:pPr>
        <w:pStyle w:val="Heading1"/>
        <w:spacing w:after="160" w:before="320"/>
      </w:pPr>
      <w:r>
        <w:rPr>
          <w:rFonts w:ascii="Calibri" w:cs="Calibri" w:eastAsia="Calibri" w:hAnsi="Calibri"/>
          <w:b/>
          <w:bCs/>
          <w:color w:val="1F4E5F"/>
          <w:sz w:val="28"/>
          <w:szCs w:val="28"/>
        </w:rPr>
        <w:t xml:space="preserve">2. Hallazgo principal</w:t>
      </w:r>
    </w:p>
    <w:p>
      <w:pPr>
        <w:pBdr>
          <w:left w:val="single" w:color="1F4E5F" w:sz="18" w:space="14"/>
        </w:pBdr>
        <w:spacing w:after="200" w:before="60"/>
        <w:ind w:left="240" w:right="240"/>
      </w:pPr>
      <w:r>
        <w:rPr>
          <w:rFonts w:ascii="Calibri" w:cs="Calibri" w:eastAsia="Calibri" w:hAnsi="Calibri"/>
          <w:b/>
          <w:bCs/>
          <w:color w:val="2C2C2C"/>
          <w:sz w:val="22"/>
          <w:szCs w:val="22"/>
        </w:rPr>
        <w:t xml:space="preserve">Ningún estudio publicado combina bosque montano tropical, adición experimental de nutrientes e iWUE derivada de isótopos. El cruce de los tres criterios está vacío.</w:t>
      </w:r>
    </w:p>
    <w:p>
      <w:pPr>
        <w:spacing w:after="120" w:line="276"/>
      </w:pPr>
      <w:r>
        <w:rPr>
          <w:rFonts w:ascii="Calibri" w:cs="Calibri" w:eastAsia="Calibri" w:hAnsi="Calibri"/>
          <w:color w:val="000000"/>
          <w:sz w:val="21"/>
          <w:szCs w:val="21"/>
        </w:rPr>
        <w:t xml:space="preserve">Los dos flancos del problema están cubiertos por separado y por comunidades distintas. Por el lado isotópico, los experimentos de fertilización con δ¹³C están en bosques templados de montaña —Alptal, Monticolo, las White Mountains, Oregón— y casi todos concluyen que el efecto del N sobre la iWUE es pequeño, transitorio o indetectable. Por el lado tropical montano, los experimentos de adición de nutrientes con la duración y el diseño adecuados —NUMEX en los Andes ecuatorianos, Jianfengling en Hainan, los gradientes de Hawái— miden crecimiento, productividad, nutrientes foliares y, en el mejor de los casos, intercambio gaseoso instantáneo, pero no isótopos de carbono.</w:t>
      </w:r>
    </w:p>
    <w:p>
      <w:pPr>
        <w:spacing w:after="120" w:line="276"/>
      </w:pPr>
      <w:r>
        <w:rPr>
          <w:rFonts w:ascii="Calibri" w:cs="Calibri" w:eastAsia="Calibri" w:hAnsi="Calibri"/>
          <w:color w:val="000000"/>
          <w:sz w:val="21"/>
          <w:szCs w:val="21"/>
        </w:rPr>
        <w:t xml:space="preserve">Yu et al. (2022) es el trabajo que más se acerca: diez años de adición de N, P y NP en bosque lluvioso montano tropical, con fotosíntesis y eficiencia en el uso del agua medidas en ocho especies. Le falta exactamente una pieza —la integración temporal que da el δ¹³C— y no reporta Ci/Ca. NUMEX tiene la plataforma experimental ideal y no ha sido explotada isotópicamente.</w:t>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4E5F"/>
          <w:sz w:val="28"/>
          <w:szCs w:val="28"/>
        </w:rPr>
        <w:t xml:space="preserve">3. Tabla comparativa</w:t>
      </w:r>
    </w:p>
    <w:p>
      <w:pPr>
        <w:spacing w:after="180" w:line="276"/>
      </w:pPr>
      <w:r>
        <w:rPr>
          <w:rFonts w:ascii="Calibri" w:cs="Calibri" w:eastAsia="Calibri" w:hAnsi="Calibri"/>
          <w:color w:val="595959"/>
          <w:sz w:val="18"/>
          <w:szCs w:val="18"/>
        </w:rPr>
        <w:t xml:space="preserve">Quince estudios ordenados por grado de cumplimiento de los tres criterios. El símbolo «—» indica que la variable no se midió; «?» que no pudo verificarse en el resumen.</w:t>
      </w:r>
    </w:p>
    <w:tbl>
      <w:tblPr>
        <w:tblW w:type="dxa" w:w="12960"/>
        <w:tblBorders>
          <w:top w:val="single" w:color="BFCDD4" w:sz="4"/>
          <w:left w:val="single" w:color="BFCDD4" w:sz="4"/>
          <w:bottom w:val="single" w:color="BFCDD4" w:sz="4"/>
          <w:right w:val="single" w:color="BFCDD4" w:sz="4"/>
          <w:insideH w:val="single" w:color="BFCDD4" w:sz="4"/>
          <w:insideV w:val="single" w:color="BFCDD4" w:sz="4"/>
        </w:tblBorders>
      </w:tblPr>
      <w:tblGrid>
        <w:gridCol w:w="1780"/>
        <w:gridCol w:w="2100"/>
        <w:gridCol w:w="1900"/>
        <w:gridCol w:w="2060"/>
        <w:gridCol w:w="2260"/>
        <w:gridCol w:w="2860"/>
      </w:tblGrid>
      <w:tr>
        <w:trPr>
          <w:tblHeader/>
        </w:trPr>
        <w:tc>
          <w:tcPr>
            <w:tcW w:type="dxa" w:w="1780"/>
            <w:shd w:fill="1F4E5F" w:color="auto" w:val="clear"/>
            <w:tcMar>
              <w:top w:type="dxa" w:w="90"/>
              <w:left w:type="dxa" w:w="110"/>
              <w:bottom w:type="dxa" w:w="90"/>
              <w:right w:type="dxa" w:w="110"/>
            </w:tcMar>
          </w:tcPr>
          <w:p>
            <w:pPr>
              <w:spacing w:after="0" w:line="240"/>
            </w:pPr>
            <w:r>
              <w:rPr>
                <w:rFonts w:ascii="Calibri" w:cs="Calibri" w:eastAsia="Calibri" w:hAnsi="Calibri"/>
                <w:b/>
                <w:bCs/>
                <w:color w:val="FFFFFF"/>
                <w:sz w:val="17"/>
                <w:szCs w:val="17"/>
              </w:rPr>
              <w:t xml:space="preserve">Estudio</w:t>
            </w:r>
          </w:p>
        </w:tc>
        <w:tc>
          <w:tcPr>
            <w:tcW w:type="dxa" w:w="2100"/>
            <w:shd w:fill="1F4E5F" w:color="auto" w:val="clear"/>
            <w:tcMar>
              <w:top w:type="dxa" w:w="90"/>
              <w:left w:type="dxa" w:w="110"/>
              <w:bottom w:type="dxa" w:w="90"/>
              <w:right w:type="dxa" w:w="110"/>
            </w:tcMar>
          </w:tcPr>
          <w:p>
            <w:pPr>
              <w:spacing w:after="0" w:line="240"/>
            </w:pPr>
            <w:r>
              <w:rPr>
                <w:rFonts w:ascii="Calibri" w:cs="Calibri" w:eastAsia="Calibri" w:hAnsi="Calibri"/>
                <w:b/>
                <w:bCs/>
                <w:color w:val="FFFFFF"/>
                <w:sz w:val="17"/>
                <w:szCs w:val="17"/>
              </w:rPr>
              <w:t xml:space="preserve">Sitio / elevación</w:t>
            </w:r>
          </w:p>
        </w:tc>
        <w:tc>
          <w:tcPr>
            <w:tcW w:type="dxa" w:w="1900"/>
            <w:shd w:fill="1F4E5F" w:color="auto" w:val="clear"/>
            <w:tcMar>
              <w:top w:type="dxa" w:w="90"/>
              <w:left w:type="dxa" w:w="110"/>
              <w:bottom w:type="dxa" w:w="90"/>
              <w:right w:type="dxa" w:w="110"/>
            </w:tcMar>
          </w:tcPr>
          <w:p>
            <w:pPr>
              <w:spacing w:after="0" w:line="240"/>
            </w:pPr>
            <w:r>
              <w:rPr>
                <w:rFonts w:ascii="Calibri" w:cs="Calibri" w:eastAsia="Calibri" w:hAnsi="Calibri"/>
                <w:b/>
                <w:bCs/>
                <w:color w:val="FFFFFF"/>
                <w:sz w:val="17"/>
                <w:szCs w:val="17"/>
              </w:rPr>
              <w:t xml:space="preserve">Tratamiento y duración</w:t>
            </w:r>
          </w:p>
        </w:tc>
        <w:tc>
          <w:tcPr>
            <w:tcW w:type="dxa" w:w="2060"/>
            <w:shd w:fill="1F4E5F" w:color="auto" w:val="clear"/>
            <w:tcMar>
              <w:top w:type="dxa" w:w="90"/>
              <w:left w:type="dxa" w:w="110"/>
              <w:bottom w:type="dxa" w:w="90"/>
              <w:right w:type="dxa" w:w="110"/>
            </w:tcMar>
          </w:tcPr>
          <w:p>
            <w:pPr>
              <w:spacing w:after="0" w:line="240"/>
            </w:pPr>
            <w:r>
              <w:rPr>
                <w:rFonts w:ascii="Calibri" w:cs="Calibri" w:eastAsia="Calibri" w:hAnsi="Calibri"/>
                <w:b/>
                <w:bCs/>
                <w:color w:val="FFFFFF"/>
                <w:sz w:val="17"/>
                <w:szCs w:val="17"/>
              </w:rPr>
              <w:t xml:space="preserve">Variables isotópicas</w:t>
            </w:r>
          </w:p>
        </w:tc>
        <w:tc>
          <w:tcPr>
            <w:tcW w:type="dxa" w:w="2260"/>
            <w:shd w:fill="1F4E5F" w:color="auto" w:val="clear"/>
            <w:tcMar>
              <w:top w:type="dxa" w:w="90"/>
              <w:left w:type="dxa" w:w="110"/>
              <w:bottom w:type="dxa" w:w="90"/>
              <w:right w:type="dxa" w:w="110"/>
            </w:tcMar>
          </w:tcPr>
          <w:p>
            <w:pPr>
              <w:spacing w:after="0" w:line="240"/>
            </w:pPr>
            <w:r>
              <w:rPr>
                <w:rFonts w:ascii="Calibri" w:cs="Calibri" w:eastAsia="Calibri" w:hAnsi="Calibri"/>
                <w:b/>
                <w:bCs/>
                <w:color w:val="FFFFFF"/>
                <w:sz w:val="17"/>
                <w:szCs w:val="17"/>
              </w:rPr>
              <w:t xml:space="preserve">Rasgos fotosintéticos y Ci/Ca</w:t>
            </w:r>
          </w:p>
        </w:tc>
        <w:tc>
          <w:tcPr>
            <w:tcW w:type="dxa" w:w="2860"/>
            <w:shd w:fill="1F4E5F" w:color="auto" w:val="clear"/>
            <w:tcMar>
              <w:top w:type="dxa" w:w="90"/>
              <w:left w:type="dxa" w:w="110"/>
              <w:bottom w:type="dxa" w:w="90"/>
              <w:right w:type="dxa" w:w="110"/>
            </w:tcMar>
          </w:tcPr>
          <w:p>
            <w:pPr>
              <w:spacing w:after="0" w:line="240"/>
            </w:pPr>
            <w:r>
              <w:rPr>
                <w:rFonts w:ascii="Calibri" w:cs="Calibri" w:eastAsia="Calibri" w:hAnsi="Calibri"/>
                <w:b/>
                <w:bCs/>
                <w:color w:val="FFFFFF"/>
                <w:sz w:val="17"/>
                <w:szCs w:val="17"/>
              </w:rPr>
              <w:t xml:space="preserve">Resultado clave</w:t>
            </w:r>
          </w:p>
        </w:tc>
      </w:tr>
      <w:tr>
        <w:trPr>
          <w:cantSplit/>
        </w:trPr>
        <w:tc>
          <w:tcPr>
            <w:tcW w:type="dxa" w:w="12960"/>
            <w:gridSpan w:val="6"/>
            <w:shd w:fill="E8EEF1" w:color="auto" w:val="clear"/>
            <w:tcMar>
              <w:top w:type="dxa" w:w="90"/>
              <w:left w:type="dxa" w:w="110"/>
              <w:bottom w:type="dxa" w:w="90"/>
              <w:right w:type="dxa" w:w="110"/>
            </w:tcMar>
          </w:tcPr>
          <w:p>
            <w:pPr>
              <w:spacing w:after="0"/>
            </w:pPr>
            <w:r>
              <w:rPr>
                <w:rFonts w:ascii="Calibri" w:cs="Calibri" w:eastAsia="Calibri" w:hAnsi="Calibri"/>
                <w:b/>
                <w:bCs/>
                <w:color w:val="1F4E5F"/>
                <w:sz w:val="17"/>
                <w:szCs w:val="17"/>
              </w:rPr>
              <w:t xml:space="preserve">GRUPO A — Bosque de montaña + adición de nutrientes + iWUE derivada de isótopos (lo más cercano al objetivo)</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Krause et al. 2012</w:t>
            </w:r>
            <w:r>
              <w:rPr>
                <w:rFonts w:ascii="Calibri" w:cs="Calibri" w:eastAsia="Calibri" w:hAnsi="Calibri"/>
                <w:color w:val="000000"/>
                <w:sz w:val="17"/>
                <w:szCs w:val="17"/>
              </w:rPr>
              <w:t xml:space="preserve">
Tree Physiology 32:1471</w:t>
            </w:r>
          </w:p>
        </w:tc>
        <w:tc>
          <w:tcPr>
            <w:tcW w:type="dxa" w:w="21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Alptal, Suiza. Bosque montano de Picea abies; cuencas pareadas</w:t>
            </w:r>
          </w:p>
        </w:tc>
        <w:tc>
          <w:tcPr>
            <w:tcW w:type="dxa" w:w="19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+23 kg N ha⁻¹ a⁻¹ durante 14 años</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y δ¹⁸O en anillos</w:t>
            </w:r>
            <w:r>
              <w:rPr>
                <w:rFonts w:ascii="Calibri" w:cs="Calibri" w:eastAsia="Calibri" w:hAnsi="Calibri"/>
                <w:color w:val="000000"/>
                <w:sz w:val="17"/>
                <w:szCs w:val="17"/>
              </w:rPr>
              <w:t xml:space="preserve"> (enfoque dual para separar A de gs)</w:t>
            </w:r>
          </w:p>
        </w:tc>
        <w:tc>
          <w:tcPr>
            <w:tcW w:type="dxa" w:w="22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No mide intercambio gaseoso ni Ci/Ca</w:t>
            </w:r>
          </w:p>
        </w:tc>
        <w:tc>
          <w:tcPr>
            <w:tcW w:type="dxa" w:w="28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Ni δ¹³C ni δ¹⁸O cambiaron. El +22 % en secuestro de C fue morfológico (mayor IAF), no fisiológico. Referencia obligada del diseño dual.</w:t>
            </w:r>
          </w:p>
        </w:tc>
      </w:tr>
      <w:tr>
        <w:trPr>
          <w:cantSplit/>
        </w:trPr>
        <w:tc>
          <w:tcPr>
            <w:tcW w:type="dxa" w:w="178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Giammarchi et al. 2020</w:t>
            </w:r>
            <w:r>
              <w:rPr>
                <w:rFonts w:ascii="Calibri" w:cs="Calibri" w:eastAsia="Calibri" w:hAnsi="Calibri"/>
                <w:color w:val="000000"/>
                <w:sz w:val="17"/>
                <w:szCs w:val="17"/>
              </w:rPr>
              <w:t xml:space="preserve">
Forests 11:47</w:t>
            </w:r>
          </w:p>
        </w:tc>
        <w:tc>
          <w:tcPr>
            <w:tcW w:type="dxa" w:w="21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Monticolo, Bolzano, Italia. ~550 m. Quercus petraea, ~80 años</w:t>
            </w:r>
          </w:p>
        </w:tc>
        <w:tc>
          <w:tcPr>
            <w:tcW w:type="dxa" w:w="19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20 kg N ha⁻¹ a⁻¹, 4 años; aplicación sobre y bajo dosel</w:t>
            </w:r>
          </w:p>
        </w:tc>
        <w:tc>
          <w:tcPr>
            <w:tcW w:type="dxa" w:w="206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foliar → iWUE </w:t>
            </w:r>
            <w:r>
              <w:rPr>
                <w:rFonts w:ascii="Calibri" w:cs="Calibri" w:eastAsia="Calibri" w:hAnsi="Calibri"/>
                <w:color w:val="000000"/>
                <w:sz w:val="17"/>
                <w:szCs w:val="17"/>
              </w:rPr>
              <w:t xml:space="preserve">calculada explícitamente vía </w:t>
            </w:r>
            <w:r>
              <w:rPr>
                <w:rFonts w:ascii="Calibri" w:cs="Calibri" w:eastAsia="Calibri" w:hAnsi="Calibri"/>
                <w:b/>
                <w:bCs/>
                <w:color w:val="000000"/>
                <w:sz w:val="17"/>
                <w:szCs w:val="17"/>
              </w:rPr>
              <w:t xml:space="preserve">ci/ca</w:t>
            </w:r>
            <w:r>
              <w:rPr>
                <w:rFonts w:ascii="Calibri" w:cs="Calibri" w:eastAsia="Calibri" w:hAnsi="Calibri"/>
                <w:color w:val="000000"/>
                <w:sz w:val="17"/>
                <w:szCs w:val="17"/>
              </w:rPr>
              <w:t xml:space="preserve"> (Farquhar)</w:t>
            </w:r>
          </w:p>
        </w:tc>
        <w:tc>
          <w:tcPr>
            <w:tcW w:type="dxa" w:w="22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Rasgos funcionales foliares; sin curvas A/Ci</w:t>
            </w:r>
          </w:p>
        </w:tc>
        <w:tc>
          <w:tcPr>
            <w:tcW w:type="dxa" w:w="28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Sin efecto detectable en crecimiento ni iWUE. Los autores lo atribuyen a dosis moderada y plazo corto: define el umbral de detección.</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Zukswert et al. 2025</w:t>
            </w:r>
            <w:r>
              <w:rPr>
                <w:rFonts w:ascii="Calibri" w:cs="Calibri" w:eastAsia="Calibri" w:hAnsi="Calibri"/>
                <w:color w:val="000000"/>
                <w:sz w:val="17"/>
                <w:szCs w:val="17"/>
              </w:rPr>
              <w:t xml:space="preserve">
Oecologia 207:23</w:t>
            </w:r>
          </w:p>
        </w:tc>
        <w:tc>
          <w:tcPr>
            <w:tcW w:type="dxa" w:w="21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MELNHE — Bartlett, Hubbard Brook, Jeffers Brook (NH, EE. UU.). Frondosas de montaña</w:t>
            </w:r>
          </w:p>
        </w:tc>
        <w:tc>
          <w:tcPr>
            <w:tcW w:type="dxa" w:w="19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 (30), P (10), N+P kg ha⁻¹ a⁻¹; 6 especies</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foliar</w:t>
            </w:r>
            <w:r>
              <w:rPr>
                <w:rFonts w:ascii="Calibri" w:cs="Calibri" w:eastAsia="Calibri" w:hAnsi="Calibri"/>
                <w:color w:val="000000"/>
                <w:sz w:val="17"/>
                <w:szCs w:val="17"/>
              </w:rPr>
              <w:t xml:space="preserve"> como proxy de iWUE (no se calcula iWUE)</w:t>
            </w:r>
          </w:p>
        </w:tc>
        <w:tc>
          <w:tcPr>
            <w:tcW w:type="dxa" w:w="22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No mide A, gs, Vcmax ni Ci/Ca</w:t>
            </w:r>
          </w:p>
        </w:tc>
        <w:tc>
          <w:tcPr>
            <w:tcW w:type="dxa" w:w="28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El N enriqueció el ¹³C en Betula papyrifera y Acer saccharum → ↑iWUE. Interpretado como compromiso entre eficiencia de uso de nutrientes y de agua.</w:t>
            </w:r>
          </w:p>
        </w:tc>
      </w:tr>
      <w:tr>
        <w:trPr>
          <w:cantSplit/>
        </w:trPr>
        <w:tc>
          <w:tcPr>
            <w:tcW w:type="dxa" w:w="178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Cornejo-Oviedo et al. 2017</w:t>
            </w:r>
            <w:r>
              <w:rPr>
                <w:rFonts w:ascii="Calibri" w:cs="Calibri" w:eastAsia="Calibri" w:hAnsi="Calibri"/>
                <w:color w:val="000000"/>
                <w:sz w:val="17"/>
                <w:szCs w:val="17"/>
              </w:rPr>
              <w:t xml:space="preserve">
For. Ecol. Manage. 389:285</w:t>
            </w:r>
          </w:p>
        </w:tc>
        <w:tc>
          <w:tcPr>
            <w:tcW w:type="dxa" w:w="21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Oregon Coast Range, EE. UU. Plantación de Pseudotsuga menziesii, 20 años</w:t>
            </w:r>
          </w:p>
        </w:tc>
        <w:tc>
          <w:tcPr>
            <w:tcW w:type="dxa" w:w="19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Dosis única alta: 224 kg N ha⁻¹ (urea), 2009</w:t>
            </w:r>
          </w:p>
        </w:tc>
        <w:tc>
          <w:tcPr>
            <w:tcW w:type="dxa" w:w="206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en holocelulosa de anillos</w:t>
            </w:r>
            <w:r>
              <w:rPr>
                <w:rFonts w:ascii="Calibri" w:cs="Calibri" w:eastAsia="Calibri" w:hAnsi="Calibri"/>
                <w:color w:val="000000"/>
                <w:sz w:val="17"/>
                <w:szCs w:val="17"/>
              </w:rPr>
              <w:t xml:space="preserve"> (1997–2015) → iWUE</w:t>
            </w:r>
          </w:p>
        </w:tc>
        <w:tc>
          <w:tcPr>
            <w:tcW w:type="dxa" w:w="22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No mide gas exchange</w:t>
            </w:r>
          </w:p>
        </w:tc>
        <w:tc>
          <w:tcPr>
            <w:tcW w:type="dxa" w:w="28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La fertilización redujo el Δ¹³C de madera temprana y aumentó la iWUE en los primeros años. Muestra que la señal aparece con dosis altas y es transitoria.</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Brooks &amp; Coulombe 2009</w:t>
            </w:r>
            <w:r>
              <w:rPr>
                <w:rFonts w:ascii="Calibri" w:cs="Calibri" w:eastAsia="Calibri" w:hAnsi="Calibri"/>
                <w:color w:val="000000"/>
                <w:sz w:val="17"/>
                <w:szCs w:val="17"/>
              </w:rPr>
              <w:t xml:space="preserve">
Ecol. Applications 19:1044</w:t>
            </w:r>
          </w:p>
        </w:tc>
        <w:tc>
          <w:tcPr>
            <w:tcW w:type="dxa" w:w="21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Ensayo de fertilización de largo plazo, coníferas templadas (Oregón)</w:t>
            </w:r>
          </w:p>
        </w:tc>
        <w:tc>
          <w:tcPr>
            <w:tcW w:type="dxa" w:w="19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Fertilización N de largo plazo</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y δ¹⁸O en anillos</w:t>
            </w:r>
          </w:p>
        </w:tc>
        <w:tc>
          <w:tcPr>
            <w:tcW w:type="dxa" w:w="22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No mide gas exchange</w:t>
            </w:r>
          </w:p>
        </w:tc>
        <w:tc>
          <w:tcPr>
            <w:tcW w:type="dxa" w:w="28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Artículo metodológico de referencia: cómo leer respuestas fisiológicas a la fertilización en el registro isotópico de los anillos.</w:t>
            </w:r>
          </w:p>
        </w:tc>
      </w:tr>
      <w:tr>
        <w:trPr>
          <w:cantSplit/>
        </w:trPr>
        <w:tc>
          <w:tcPr>
            <w:tcW w:type="dxa" w:w="178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Högberg et al. 1993</w:t>
            </w:r>
            <w:r>
              <w:rPr>
                <w:rFonts w:ascii="Calibri" w:cs="Calibri" w:eastAsia="Calibri" w:hAnsi="Calibri"/>
                <w:color w:val="000000"/>
                <w:sz w:val="17"/>
                <w:szCs w:val="17"/>
              </w:rPr>
              <w:t xml:space="preserve">
Plant and Soil 152:207</w:t>
            </w:r>
          </w:p>
        </w:tc>
        <w:tc>
          <w:tcPr>
            <w:tcW w:type="dxa" w:w="21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Ensayos de fertilización de largo plazo, Picea abies y Pinus sylvestris (Suecia)</w:t>
            </w:r>
          </w:p>
        </w:tc>
        <w:tc>
          <w:tcPr>
            <w:tcW w:type="dxa" w:w="19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Fertilización N de largo plazo</w:t>
            </w:r>
          </w:p>
        </w:tc>
        <w:tc>
          <w:tcPr>
            <w:tcW w:type="dxa" w:w="206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en acículas</w:t>
            </w:r>
          </w:p>
        </w:tc>
        <w:tc>
          <w:tcPr>
            <w:tcW w:type="dxa" w:w="22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No mide gas exchange</w:t>
            </w:r>
          </w:p>
        </w:tc>
        <w:tc>
          <w:tcPr>
            <w:tcW w:type="dxa" w:w="2860"/>
            <w:shd w:fill="F7F9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Fundacional: el efecto del N sobre el ¹³C aparece </w:t>
            </w:r>
            <w:r>
              <w:rPr>
                <w:rFonts w:ascii="Calibri" w:cs="Calibri" w:eastAsia="Calibri" w:hAnsi="Calibri"/>
                <w:b/>
                <w:bCs/>
                <w:color w:val="000000"/>
                <w:sz w:val="17"/>
                <w:szCs w:val="17"/>
              </w:rPr>
              <w:t xml:space="preserve">solo en años secos</w:t>
            </w:r>
            <w:r>
              <w:rPr>
                <w:rFonts w:ascii="Calibri" w:cs="Calibri" w:eastAsia="Calibri" w:hAnsi="Calibri"/>
                <w:color w:val="000000"/>
                <w:sz w:val="17"/>
                <w:szCs w:val="17"/>
              </w:rPr>
              <w:t xml:space="preserve">. El balance oferta/demanda de agua, y no el metabolismo del N, gobierna la señal.</w:t>
            </w:r>
          </w:p>
        </w:tc>
      </w:tr>
      <w:tr>
        <w:trPr>
          <w:cantSplit/>
        </w:trPr>
        <w:tc>
          <w:tcPr>
            <w:tcW w:type="dxa" w:w="12960"/>
            <w:gridSpan w:val="6"/>
            <w:shd w:fill="E8EEF1" w:color="auto" w:val="clear"/>
            <w:tcMar>
              <w:top w:type="dxa" w:w="90"/>
              <w:left w:type="dxa" w:w="110"/>
              <w:bottom w:type="dxa" w:w="90"/>
              <w:right w:type="dxa" w:w="110"/>
            </w:tcMar>
          </w:tcPr>
          <w:p>
            <w:pPr>
              <w:spacing w:after="0"/>
            </w:pPr>
            <w:r>
              <w:rPr>
                <w:rFonts w:ascii="Calibri" w:cs="Calibri" w:eastAsia="Calibri" w:hAnsi="Calibri"/>
                <w:b/>
                <w:bCs/>
                <w:color w:val="1F4E5F"/>
                <w:sz w:val="17"/>
                <w:szCs w:val="17"/>
              </w:rPr>
              <w:t xml:space="preserve">GRUPO B — Bosque montano tropical + adición de nutrientes + rasgos fotosintéticos, pero SIN iWUE isotópica</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Yu et al. 2022</w:t>
            </w:r>
            <w:r>
              <w:rPr>
                <w:rFonts w:ascii="Calibri" w:cs="Calibri" w:eastAsia="Calibri" w:hAnsi="Calibri"/>
                <w:color w:val="000000"/>
                <w:sz w:val="17"/>
                <w:szCs w:val="17"/>
              </w:rPr>
              <w:t xml:space="preserve">
Sci. Total Environ. 846:157456</w:t>
            </w:r>
          </w:p>
        </w:tc>
        <w:tc>
          <w:tcPr>
            <w:tcW w:type="dxa" w:w="2100"/>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Jianfengling, Hainan, China. </w:t>
            </w:r>
            <w:r>
              <w:rPr>
                <w:rFonts w:ascii="Calibri" w:cs="Calibri" w:eastAsia="Calibri" w:hAnsi="Calibri"/>
                <w:b/>
                <w:bCs/>
                <w:color w:val="000000"/>
                <w:sz w:val="17"/>
                <w:szCs w:val="17"/>
              </w:rPr>
              <w:t xml:space="preserve">Bosque lluvioso montano tropical</w:t>
            </w:r>
            <w:r>
              <w:rPr>
                <w:rFonts w:ascii="Calibri" w:cs="Calibri" w:eastAsia="Calibri" w:hAnsi="Calibri"/>
                <w:color w:val="000000"/>
                <w:sz w:val="17"/>
                <w:szCs w:val="17"/>
              </w:rPr>
              <w:t xml:space="preserve"> primario y secundario; 8 especies</w:t>
            </w:r>
          </w:p>
        </w:tc>
        <w:tc>
          <w:tcPr>
            <w:tcW w:type="dxa" w:w="190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 P y NP durante 10 años</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Ninguna</w:t>
            </w:r>
            <w:r>
              <w:rPr>
                <w:rFonts w:ascii="Calibri" w:cs="Calibri" w:eastAsia="Calibri" w:hAnsi="Calibri"/>
                <w:color w:val="000000"/>
                <w:sz w:val="17"/>
                <w:szCs w:val="17"/>
              </w:rPr>
              <w:t xml:space="preserve"> — no hay δ¹³C ni iWUE integrada</w:t>
            </w:r>
          </w:p>
        </w:tc>
        <w:tc>
          <w:tcPr>
            <w:tcW w:type="dxa" w:w="2260"/>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Tasa fotosintética, </w:t>
            </w:r>
            <w:r>
              <w:rPr>
                <w:rFonts w:ascii="Calibri" w:cs="Calibri" w:eastAsia="Calibri" w:hAnsi="Calibri"/>
                <w:b/>
                <w:bCs/>
                <w:color w:val="000000"/>
                <w:sz w:val="17"/>
                <w:szCs w:val="17"/>
              </w:rPr>
              <w:t xml:space="preserve">WUE instantánea</w:t>
            </w:r>
            <w:r>
              <w:rPr>
                <w:rFonts w:ascii="Calibri" w:cs="Calibri" w:eastAsia="Calibri" w:hAnsi="Calibri"/>
                <w:color w:val="000000"/>
                <w:sz w:val="17"/>
                <w:szCs w:val="17"/>
              </w:rPr>
              <w:t xml:space="preserve">, PNUE y PPUE; clorofila, AFE, grosor foliar; fracciones de P foliar. No reporta Ci/Ca.</w:t>
            </w:r>
          </w:p>
        </w:tc>
        <w:tc>
          <w:tcPr>
            <w:tcW w:type="dxa" w:w="28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El P aumentó el P foliar pero redujo la PPUE en bosque primario; el bosque secundario aumentó fotosíntesis y PNUE. Asignación de P estructural vs. metabólico como estrategia. Es el estudio que más se acerca por el lado fisiológico.</w:t>
            </w:r>
          </w:p>
        </w:tc>
      </w:tr>
      <w:tr>
        <w:trPr>
          <w:cantSplit/>
        </w:trPr>
        <w:tc>
          <w:tcPr>
            <w:tcW w:type="dxa" w:w="178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Cordell et al. 2001</w:t>
            </w:r>
            <w:r>
              <w:rPr>
                <w:rFonts w:ascii="Calibri" w:cs="Calibri" w:eastAsia="Calibri" w:hAnsi="Calibri"/>
                <w:color w:val="000000"/>
                <w:sz w:val="17"/>
                <w:szCs w:val="17"/>
              </w:rPr>
              <w:t xml:space="preserve">
Tree Physiology 21:43</w:t>
            </w:r>
          </w:p>
        </w:tc>
        <w:tc>
          <w:tcPr>
            <w:tcW w:type="dxa" w:w="21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Hawái: Thurston (sustrato de 300 años, limitado por N) y Kokee (4,1 Ma, limitado por P). Metrosideros polymorpha adulta</w:t>
            </w:r>
          </w:p>
        </w:tc>
        <w:tc>
          <w:tcPr>
            <w:tcW w:type="dxa" w:w="19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 P y N+P durante 8–14 años</w:t>
            </w:r>
          </w:p>
        </w:tc>
        <w:tc>
          <w:tcPr>
            <w:tcW w:type="dxa" w:w="206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No confirmadas en el resumen</w:t>
            </w:r>
            <w:r>
              <w:rPr>
                <w:rFonts w:ascii="Calibri" w:cs="Calibri" w:eastAsia="Calibri" w:hAnsi="Calibri"/>
                <w:color w:val="000000"/>
                <w:sz w:val="17"/>
                <w:szCs w:val="17"/>
              </w:rPr>
              <w:t xml:space="preserve"> (verificar δ¹³C en el texto completo)</w:t>
            </w:r>
          </w:p>
        </w:tc>
        <w:tc>
          <w:tcPr>
            <w:tcW w:type="dxa" w:w="22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A, clorofila, capacidad de carboxilación, área foliar</w:t>
            </w:r>
          </w:p>
        </w:tc>
        <w:tc>
          <w:tcPr>
            <w:tcW w:type="dxa" w:w="28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Sitio joven: ajuste morfológico (área foliar 4,8 → 7,4 cm²). Sitio viejo: ajuste fisiológico (A de 4,5 → 7,6 µmol m⁻² s⁻¹). La edad del sustrato decide la vía de respuesta.</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Homeier et al. 2012; Báez &amp; Homeier 2018</w:t>
            </w:r>
            <w:r>
              <w:rPr>
                <w:rFonts w:ascii="Calibri" w:cs="Calibri" w:eastAsia="Calibri" w:hAnsi="Calibri"/>
                <w:color w:val="000000"/>
                <w:sz w:val="17"/>
                <w:szCs w:val="17"/>
              </w:rPr>
              <w:t xml:space="preserve">
PLoS ONE 7:e47128; Glob. Change Biol. 24:399</w:t>
            </w:r>
          </w:p>
        </w:tc>
        <w:tc>
          <w:tcPr>
            <w:tcW w:type="dxa" w:w="2100"/>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NUMEX — Andes del sur de Ecuador, 1000–3000 m. </w:t>
            </w:r>
            <w:r>
              <w:rPr>
                <w:rFonts w:ascii="Calibri" w:cs="Calibri" w:eastAsia="Calibri" w:hAnsi="Calibri"/>
                <w:b/>
                <w:bCs/>
                <w:color w:val="000000"/>
                <w:sz w:val="17"/>
                <w:szCs w:val="17"/>
              </w:rPr>
              <w:t xml:space="preserve">Bosque montano tropical</w:t>
            </w:r>
          </w:p>
        </w:tc>
        <w:tc>
          <w:tcPr>
            <w:tcW w:type="dxa" w:w="19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 (50), P (10), N+P kg ha⁻¹ a⁻¹; experimento de largo plazo</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Ninguna</w:t>
            </w:r>
          </w:p>
        </w:tc>
        <w:tc>
          <w:tcPr>
            <w:tcW w:type="dxa" w:w="22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Ninguno</w:t>
            </w:r>
            <w:r>
              <w:rPr>
                <w:rFonts w:ascii="Calibri" w:cs="Calibri" w:eastAsia="Calibri" w:hAnsi="Calibri"/>
                <w:color w:val="000000"/>
                <w:sz w:val="17"/>
                <w:szCs w:val="17"/>
              </w:rPr>
              <w:t xml:space="preserve"> — rasgos funcionales, crecimiento y PPN; sin intercambio gaseoso</w:t>
            </w:r>
          </w:p>
        </w:tc>
        <w:tc>
          <w:tcPr>
            <w:tcW w:type="dxa" w:w="28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Respuesta rápida de la productividad a N y P; los rasgos funcionales predicen el crecimiento. Plataforma ideal, y aún sin explotar, para el estudio isotópico que falta.</w:t>
            </w:r>
          </w:p>
        </w:tc>
      </w:tr>
      <w:tr>
        <w:trPr>
          <w:cantSplit/>
        </w:trPr>
        <w:tc>
          <w:tcPr>
            <w:tcW w:type="dxa" w:w="12960"/>
            <w:gridSpan w:val="6"/>
            <w:shd w:fill="E8EEF1" w:color="auto" w:val="clear"/>
            <w:tcMar>
              <w:top w:type="dxa" w:w="90"/>
              <w:left w:type="dxa" w:w="110"/>
              <w:bottom w:type="dxa" w:w="90"/>
              <w:right w:type="dxa" w:w="110"/>
            </w:tcMar>
          </w:tcPr>
          <w:p>
            <w:pPr>
              <w:spacing w:after="0"/>
            </w:pPr>
            <w:r>
              <w:rPr>
                <w:rFonts w:ascii="Calibri" w:cs="Calibri" w:eastAsia="Calibri" w:hAnsi="Calibri"/>
                <w:b/>
                <w:bCs/>
                <w:color w:val="1F4E5F"/>
                <w:sz w:val="17"/>
                <w:szCs w:val="17"/>
              </w:rPr>
              <w:t xml:space="preserve">GRUPO C — Ci/Ca y rasgos fotosintéticos bajo adición de N, fuera del montano tropical</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Hu et al. 2021</w:t>
            </w:r>
            <w:r>
              <w:rPr>
                <w:rFonts w:ascii="Calibri" w:cs="Calibri" w:eastAsia="Calibri" w:hAnsi="Calibri"/>
                <w:color w:val="000000"/>
                <w:sz w:val="17"/>
                <w:szCs w:val="17"/>
              </w:rPr>
              <w:t xml:space="preserve">
Ecosystems 24:1468</w:t>
            </w:r>
          </w:p>
        </w:tc>
        <w:tc>
          <w:tcPr>
            <w:tcW w:type="dxa" w:w="21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Bosque templado caducifolio, China central. Liquidambar formosana, Quercus acutissima, Q. variabilis</w:t>
            </w:r>
          </w:p>
        </w:tc>
        <w:tc>
          <w:tcPr>
            <w:tcW w:type="dxa" w:w="19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 al dosel y al sotobosque: 25 y 50 kg ha⁻¹ a⁻¹; 2 años</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Ninguna</w:t>
            </w:r>
          </w:p>
        </w:tc>
        <w:tc>
          <w:tcPr>
            <w:tcW w:type="dxa" w:w="2260"/>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A</w:t>
            </w:r>
            <w:r>
              <w:rPr>
                <w:rFonts w:ascii="Calibri" w:cs="Calibri" w:eastAsia="Calibri" w:hAnsi="Calibri"/>
                <w:color w:val="000000"/>
                <w:sz w:val="12"/>
                <w:szCs w:val="12"/>
              </w:rPr>
              <w:t xml:space="preserve">net</w:t>
            </w:r>
            <w:r>
              <w:rPr>
                <w:rFonts w:ascii="Calibri" w:cs="Calibri" w:eastAsia="Calibri" w:hAnsi="Calibri"/>
                <w:b/>
                <w:bCs/>
                <w:color w:val="000000"/>
                <w:sz w:val="17"/>
                <w:szCs w:val="17"/>
              </w:rPr>
              <w:t xml:space="preserve">, gs, Ci, Vcmax, Jmax, WUE</w:t>
            </w:r>
            <w:r>
              <w:rPr>
                <w:rFonts w:ascii="Calibri" w:cs="Calibri" w:eastAsia="Calibri" w:hAnsi="Calibri"/>
                <w:color w:val="000000"/>
                <w:sz w:val="17"/>
                <w:szCs w:val="17"/>
              </w:rPr>
              <w:t xml:space="preserve"> — el conjunto más completo de la tabla</w:t>
            </w:r>
          </w:p>
        </w:tc>
        <w:tc>
          <w:tcPr>
            <w:tcW w:type="dxa" w:w="28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El N alto (50) redujo gs y Anet en años de menor precipitación; el tratamiento de sotobosque a 50 aumentó la WUE en el segundo año. Muestra dependencia de la disponibilidad hídrica.</w:t>
            </w:r>
          </w:p>
        </w:tc>
      </w:tr>
      <w:tr>
        <w:trPr>
          <w:cantSplit/>
        </w:trPr>
        <w:tc>
          <w:tcPr>
            <w:tcW w:type="dxa" w:w="178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Zhang et al. 2021</w:t>
            </w:r>
            <w:r>
              <w:rPr>
                <w:rFonts w:ascii="Calibri" w:cs="Calibri" w:eastAsia="Calibri" w:hAnsi="Calibri"/>
                <w:color w:val="000000"/>
                <w:sz w:val="17"/>
                <w:szCs w:val="17"/>
              </w:rPr>
              <w:t xml:space="preserve">
JGR-Biogeosciences 126:e2021JG006579</w:t>
            </w:r>
          </w:p>
        </w:tc>
        <w:tc>
          <w:tcPr>
            <w:tcW w:type="dxa" w:w="21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Mismo sitio que Hu et al. (China central)</w:t>
            </w:r>
          </w:p>
        </w:tc>
        <w:tc>
          <w:tcPr>
            <w:tcW w:type="dxa" w:w="19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 al dosel vs. sotobosque</w:t>
            </w:r>
          </w:p>
        </w:tc>
        <w:tc>
          <w:tcPr>
            <w:tcW w:type="dxa" w:w="206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Ninguna</w:t>
            </w:r>
          </w:p>
        </w:tc>
        <w:tc>
          <w:tcPr>
            <w:tcW w:type="dxa" w:w="22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Rasgos estequiométricos, fotosintéticos e hidráulicos foliares</w:t>
            </w:r>
          </w:p>
        </w:tc>
        <w:tc>
          <w:tcPr>
            <w:tcW w:type="dxa" w:w="28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Respuestas divergentes entre especies dominantes: el efecto del N depende de la especie y de la vía de aplicación (dosel vs. suelo).</w:t>
            </w:r>
          </w:p>
        </w:tc>
      </w:tr>
      <w:tr>
        <w:trPr>
          <w:cantSplit/>
        </w:trPr>
        <w:tc>
          <w:tcPr>
            <w:tcW w:type="dxa" w:w="178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Fu et al. 2022</w:t>
            </w:r>
            <w:r>
              <w:rPr>
                <w:rFonts w:ascii="Calibri" w:cs="Calibri" w:eastAsia="Calibri" w:hAnsi="Calibri"/>
                <w:color w:val="000000"/>
                <w:sz w:val="17"/>
                <w:szCs w:val="17"/>
              </w:rPr>
              <w:t xml:space="preserve">
Front. Plant Sci. 13:1025162</w:t>
            </w:r>
          </w:p>
        </w:tc>
        <w:tc>
          <w:tcPr>
            <w:tcW w:type="dxa" w:w="21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Dabieshan, Henan, China. Bosque templado cálido caducifolio; Q. variabilis y Liquidambar formosana</w:t>
            </w:r>
          </w:p>
        </w:tc>
        <w:tc>
          <w:tcPr>
            <w:tcW w:type="dxa" w:w="190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 al dosel (50 kg ha⁻¹ a⁻¹) + agua (+30 %); 2013–2018</w:t>
            </w:r>
          </w:p>
        </w:tc>
        <w:tc>
          <w:tcPr>
            <w:tcW w:type="dxa" w:w="2060"/>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δ¹³C → iWUE</w:t>
            </w:r>
            <w:r>
              <w:rPr>
                <w:rFonts w:ascii="Calibri" w:cs="Calibri" w:eastAsia="Calibri" w:hAnsi="Calibri"/>
                <w:color w:val="000000"/>
                <w:sz w:val="17"/>
                <w:szCs w:val="17"/>
              </w:rPr>
              <w:t xml:space="preserve"> (Farquhar); además carbohidratos no estructurales</w:t>
            </w:r>
          </w:p>
        </w:tc>
        <w:tc>
          <w:tcPr>
            <w:tcW w:type="dxa" w:w="2260"/>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No mide gas exchange ni Ci/Ca</w:t>
            </w:r>
          </w:p>
        </w:tc>
        <w:tc>
          <w:tcPr>
            <w:tcW w:type="dxa" w:w="2860"/>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El N </w:t>
            </w:r>
            <w:r>
              <w:rPr>
                <w:rFonts w:ascii="Calibri" w:cs="Calibri" w:eastAsia="Calibri" w:hAnsi="Calibri"/>
                <w:b/>
                <w:bCs/>
                <w:color w:val="000000"/>
                <w:sz w:val="17"/>
                <w:szCs w:val="17"/>
              </w:rPr>
              <w:t xml:space="preserve">redujo</w:t>
            </w:r>
            <w:r>
              <w:rPr>
                <w:rFonts w:ascii="Calibri" w:cs="Calibri" w:eastAsia="Calibri" w:hAnsi="Calibri"/>
                <w:color w:val="000000"/>
                <w:sz w:val="17"/>
                <w:szCs w:val="17"/>
              </w:rPr>
              <w:t xml:space="preserve"> la WUE en ambas especies — signo opuesto al de Zukswert et al. 2025. La lluvia adicional la aumentó solo en Q. variabilis.</w:t>
            </w:r>
          </w:p>
        </w:tc>
      </w:tr>
      <w:tr>
        <w:trPr>
          <w:cantSplit/>
        </w:trPr>
        <w:tc>
          <w:tcPr>
            <w:tcW w:type="dxa" w:w="12960"/>
            <w:gridSpan w:val="6"/>
            <w:shd w:fill="E8EEF1" w:color="auto" w:val="clear"/>
            <w:tcMar>
              <w:top w:type="dxa" w:w="90"/>
              <w:left w:type="dxa" w:w="110"/>
              <w:bottom w:type="dxa" w:w="90"/>
              <w:right w:type="dxa" w:w="110"/>
            </w:tcMar>
          </w:tcPr>
          <w:p>
            <w:pPr>
              <w:spacing w:after="0"/>
            </w:pPr>
            <w:r>
              <w:rPr>
                <w:rFonts w:ascii="Calibri" w:cs="Calibri" w:eastAsia="Calibri" w:hAnsi="Calibri"/>
                <w:b/>
                <w:bCs/>
                <w:color w:val="1F4E5F"/>
                <w:sz w:val="17"/>
                <w:szCs w:val="17"/>
              </w:rPr>
              <w:t xml:space="preserve">GRUPO D — Marco interpretativo (no son experimentos de adición)</w:t>
            </w:r>
          </w:p>
        </w:tc>
      </w:tr>
      <w:tr>
        <w:trPr>
          <w:cantSplit/>
        </w:trPr>
        <w:tc>
          <w:tcPr>
            <w:tcW w:type="dxa" w:w="178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Oulehle et al. 2023</w:t>
            </w:r>
            <w:r>
              <w:rPr>
                <w:rFonts w:ascii="Calibri" w:cs="Calibri" w:eastAsia="Calibri" w:hAnsi="Calibri"/>
                <w:color w:val="000000"/>
                <w:sz w:val="17"/>
                <w:szCs w:val="17"/>
              </w:rPr>
              <w:t xml:space="preserve">
Commun. Earth Environ. 4:199</w:t>
            </w:r>
          </w:p>
        </w:tc>
        <w:tc>
          <w:tcPr>
            <w:tcW w:type="dxa" w:w="210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Cinco bosques mixtos montanos y submontanos de Europa central; gradiente de acidez</w:t>
            </w:r>
          </w:p>
        </w:tc>
        <w:tc>
          <w:tcPr>
            <w:tcW w:type="dxa" w:w="1900"/>
            <w:shd w:fill="F7F9FA" w:color="auto" w:val="clear"/>
            <w:tcMar>
              <w:top w:type="dxa" w:w="90"/>
              <w:left w:type="dxa" w:w="110"/>
              <w:bottom w:type="dxa" w:w="90"/>
              <w:right w:type="dxa" w:w="110"/>
            </w:tcMar>
          </w:tcPr>
          <w:p>
            <w:pPr>
              <w:spacing w:after="0" w:line="240"/>
            </w:pPr>
            <w:r>
              <w:rPr>
                <w:rFonts w:ascii="Calibri" w:cs="Calibri" w:eastAsia="Calibri" w:hAnsi="Calibri"/>
                <w:b/>
                <w:bCs/>
                <w:color w:val="000000"/>
                <w:sz w:val="17"/>
                <w:szCs w:val="17"/>
              </w:rPr>
              <w:t xml:space="preserve">Gradiente observacional</w:t>
            </w:r>
            <w:r>
              <w:rPr>
                <w:rFonts w:ascii="Calibri" w:cs="Calibri" w:eastAsia="Calibri" w:hAnsi="Calibri"/>
                <w:color w:val="000000"/>
                <w:sz w:val="17"/>
                <w:szCs w:val="17"/>
              </w:rPr>
              <w:t xml:space="preserve">, no adición experimental</w:t>
            </w:r>
          </w:p>
        </w:tc>
        <w:tc>
          <w:tcPr>
            <w:tcW w:type="dxa" w:w="2060"/>
            <w:shd w:fill="F7F9FA" w:color="auto" w:val="clear"/>
            <w:tcMar>
              <w:top w:type="dxa" w:w="90"/>
              <w:left w:type="dxa" w:w="110"/>
              <w:bottom w:type="dxa" w:w="90"/>
              <w:right w:type="dxa" w:w="110"/>
            </w:tcMar>
          </w:tcPr>
          <w:p>
            <w:pPr>
              <w:spacing w:after="0" w:line="240"/>
            </w:pPr>
            <w:r>
              <w:rPr>
                <w:rFonts w:ascii="Calibri" w:cs="Calibri" w:eastAsia="Calibri" w:hAnsi="Calibri"/>
                <w:b w:val="false"/>
                <w:bCs w:val="false"/>
                <w:color w:val="000000"/>
                <w:sz w:val="17"/>
                <w:szCs w:val="17"/>
              </w:rPr>
              <w:t xml:space="preserve">δ¹³C en anillos (siglo XX) → iWUE; modela </w:t>
            </w:r>
            <w:r>
              <w:rPr>
                <w:rFonts w:ascii="Calibri" w:cs="Calibri" w:eastAsia="Calibri" w:hAnsi="Calibri"/>
                <w:b/>
                <w:bCs/>
                <w:color w:val="000000"/>
                <w:sz w:val="17"/>
                <w:szCs w:val="17"/>
              </w:rPr>
              <w:t xml:space="preserve">ci/ca</w:t>
            </w:r>
            <w:r>
              <w:rPr>
                <w:rFonts w:ascii="Calibri" w:cs="Calibri" w:eastAsia="Calibri" w:hAnsi="Calibri"/>
                <w:color w:val="000000"/>
                <w:sz w:val="17"/>
                <w:szCs w:val="17"/>
              </w:rPr>
              <w:t xml:space="preserve"> explícitamente</w:t>
            </w:r>
          </w:p>
        </w:tc>
        <w:tc>
          <w:tcPr>
            <w:tcW w:type="dxa" w:w="22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Nutrientes foliares y del suelo como covariables</w:t>
            </w:r>
          </w:p>
        </w:tc>
        <w:tc>
          <w:tcPr>
            <w:tcW w:type="dxa" w:w="2860"/>
            <w:shd w:fill="F7F9FA" w:color="auto" w:val="clear"/>
            <w:tcMar>
              <w:top w:type="dxa" w:w="90"/>
              <w:left w:type="dxa" w:w="110"/>
              <w:bottom w:type="dxa" w:w="90"/>
              <w:right w:type="dxa" w:w="110"/>
            </w:tcMar>
          </w:tcPr>
          <w:p>
            <w:pPr>
              <w:spacing w:after="0" w:line="240"/>
            </w:pPr>
            <w:r>
              <w:rPr>
                <w:rFonts w:ascii="Calibri" w:cs="Calibri" w:eastAsia="Calibri" w:hAnsi="Calibri"/>
                <w:color w:val="000000"/>
                <w:sz w:val="17"/>
                <w:szCs w:val="17"/>
              </w:rPr>
              <w:t xml:space="preserve">El Ca disponible del suelo explica el 69 % de la variabilidad en diWUE/dca. El argumento publicado más fuerte de que la nutrición modula la respuesta de iWUE al CO₂.</w:t>
            </w:r>
          </w:p>
        </w:tc>
      </w:tr>
    </w:tbl>
    <w:p>
      <w:pPr>
        <w:spacing w:after="0" w:line="276"/>
      </w:pPr>
      <w:r>
        <w:rPr>
          <w:rFonts w:ascii="Calibri" w:cs="Calibri" w:eastAsia="Calibri" w:hAnsi="Calibri"/>
          <w:color w:val="595959"/>
          <w:sz w:val="17"/>
          <w:szCs w:val="17"/>
        </w:rPr>
        <w:t xml:space="preserve">Nota: Brooks &amp; Coulombe (2009) y Högberg et al. (1993) se incluyen como referencias metodológicas del Grupo A aunque no sean de sitios montanos estrictos; ambos definen cómo se lee la señal isotópica de un ensayo de fertilización.</w:t>
      </w:r>
    </w:p>
    <w:p>
      <w:pPr>
        <w:sectPr>
          <w:pgSz w:w="15840" w:h="12240" w:orient="landscape"/>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4E5F"/>
          <w:sz w:val="28"/>
          <w:szCs w:val="28"/>
        </w:rPr>
        <w:t xml:space="preserve">4. Matriz de cobertura de variables</w:t>
      </w:r>
    </w:p>
    <w:p>
      <w:pPr>
        <w:spacing w:after="160" w:line="276"/>
      </w:pPr>
      <w:r>
        <w:rPr>
          <w:rFonts w:ascii="Calibri" w:cs="Calibri" w:eastAsia="Calibri" w:hAnsi="Calibri"/>
          <w:color w:val="595959"/>
          <w:sz w:val="18"/>
          <w:szCs w:val="18"/>
        </w:rPr>
        <w:t xml:space="preserve">● medida y reportada   ·   ◐ derivada o parcial   ·   — no medida   ·   ? sin verificar</w:t>
      </w:r>
    </w:p>
    <w:tbl>
      <w:tblPr>
        <w:tblW w:type="dxa" w:w="9360"/>
        <w:tblBorders>
          <w:top w:val="single" w:color="BFCDD4" w:sz="4"/>
          <w:left w:val="single" w:color="BFCDD4" w:sz="4"/>
          <w:bottom w:val="single" w:color="BFCDD4" w:sz="4"/>
          <w:right w:val="single" w:color="BFCDD4" w:sz="4"/>
          <w:insideH w:val="single" w:color="BFCDD4" w:sz="4"/>
          <w:insideV w:val="single" w:color="BFCDD4" w:sz="4"/>
        </w:tblBorders>
      </w:tblPr>
      <w:tblGrid>
        <w:gridCol w:w="3200"/>
        <w:gridCol w:w="1120"/>
        <w:gridCol w:w="1120"/>
        <w:gridCol w:w="1120"/>
        <w:gridCol w:w="1120"/>
        <w:gridCol w:w="1680"/>
      </w:tblGrid>
      <w:tr>
        <w:trPr>
          <w:tblHeader/>
        </w:trPr>
        <w:tc>
          <w:tcPr>
            <w:tcW w:type="dxa" w:w="3200"/>
            <w:shd w:fill="1F4E5F" w:color="auto" w:val="clear"/>
            <w:tcMar>
              <w:top w:type="dxa" w:w="70"/>
              <w:left w:type="dxa" w:w="100"/>
              <w:bottom w:type="dxa" w:w="70"/>
              <w:right w:type="dxa" w:w="100"/>
            </w:tcMar>
          </w:tcPr>
          <w:p>
            <w:pPr>
              <w:spacing w:after="0"/>
            </w:pPr>
            <w:r>
              <w:rPr>
                <w:rFonts w:ascii="Calibri" w:cs="Calibri" w:eastAsia="Calibri" w:hAnsi="Calibri"/>
                <w:b/>
                <w:bCs/>
                <w:color w:val="FFFFFF"/>
                <w:sz w:val="17"/>
                <w:szCs w:val="17"/>
              </w:rPr>
              <w:t xml:space="preserve">Estudio</w:t>
            </w:r>
          </w:p>
        </w:tc>
        <w:tc>
          <w:tcPr>
            <w:tcW w:type="dxa" w:w="1120"/>
            <w:shd w:fill="1F4E5F" w:color="auto" w:val="clear"/>
            <w:tcMar>
              <w:top w:type="dxa" w:w="70"/>
              <w:left w:type="dxa" w:w="100"/>
              <w:bottom w:type="dxa" w:w="70"/>
              <w:right w:type="dxa" w:w="100"/>
            </w:tcMar>
          </w:tcPr>
          <w:p>
            <w:pPr>
              <w:spacing w:after="0"/>
              <w:jc w:val="center"/>
            </w:pPr>
            <w:r>
              <w:rPr>
                <w:rFonts w:ascii="Calibri" w:cs="Calibri" w:eastAsia="Calibri" w:hAnsi="Calibri"/>
                <w:b/>
                <w:bCs/>
                <w:color w:val="FFFFFF"/>
                <w:sz w:val="17"/>
                <w:szCs w:val="17"/>
              </w:rPr>
              <w:t xml:space="preserve">δ¹³C</w:t>
            </w:r>
          </w:p>
        </w:tc>
        <w:tc>
          <w:tcPr>
            <w:tcW w:type="dxa" w:w="1120"/>
            <w:shd w:fill="1F4E5F" w:color="auto" w:val="clear"/>
            <w:tcMar>
              <w:top w:type="dxa" w:w="70"/>
              <w:left w:type="dxa" w:w="100"/>
              <w:bottom w:type="dxa" w:w="70"/>
              <w:right w:type="dxa" w:w="100"/>
            </w:tcMar>
          </w:tcPr>
          <w:p>
            <w:pPr>
              <w:spacing w:after="0"/>
              <w:jc w:val="center"/>
            </w:pPr>
            <w:r>
              <w:rPr>
                <w:rFonts w:ascii="Calibri" w:cs="Calibri" w:eastAsia="Calibri" w:hAnsi="Calibri"/>
                <w:b/>
                <w:bCs/>
                <w:color w:val="FFFFFF"/>
                <w:sz w:val="17"/>
                <w:szCs w:val="17"/>
              </w:rPr>
              <w:t xml:space="preserve">δ¹⁸O</w:t>
            </w:r>
          </w:p>
        </w:tc>
        <w:tc>
          <w:tcPr>
            <w:tcW w:type="dxa" w:w="1120"/>
            <w:shd w:fill="1F4E5F" w:color="auto" w:val="clear"/>
            <w:tcMar>
              <w:top w:type="dxa" w:w="70"/>
              <w:left w:type="dxa" w:w="100"/>
              <w:bottom w:type="dxa" w:w="70"/>
              <w:right w:type="dxa" w:w="100"/>
            </w:tcMar>
          </w:tcPr>
          <w:p>
            <w:pPr>
              <w:spacing w:after="0"/>
              <w:jc w:val="center"/>
            </w:pPr>
            <w:r>
              <w:rPr>
                <w:rFonts w:ascii="Calibri" w:cs="Calibri" w:eastAsia="Calibri" w:hAnsi="Calibri"/>
                <w:b/>
                <w:bCs/>
                <w:color w:val="FFFFFF"/>
                <w:sz w:val="17"/>
                <w:szCs w:val="17"/>
              </w:rPr>
              <w:t xml:space="preserve">iWUE</w:t>
            </w:r>
          </w:p>
        </w:tc>
        <w:tc>
          <w:tcPr>
            <w:tcW w:type="dxa" w:w="1120"/>
            <w:shd w:fill="1F4E5F" w:color="auto" w:val="clear"/>
            <w:tcMar>
              <w:top w:type="dxa" w:w="70"/>
              <w:left w:type="dxa" w:w="100"/>
              <w:bottom w:type="dxa" w:w="70"/>
              <w:right w:type="dxa" w:w="100"/>
            </w:tcMar>
          </w:tcPr>
          <w:p>
            <w:pPr>
              <w:spacing w:after="0"/>
              <w:jc w:val="center"/>
            </w:pPr>
            <w:r>
              <w:rPr>
                <w:rFonts w:ascii="Calibri" w:cs="Calibri" w:eastAsia="Calibri" w:hAnsi="Calibri"/>
                <w:b/>
                <w:bCs/>
                <w:color w:val="FFFFFF"/>
                <w:sz w:val="17"/>
                <w:szCs w:val="17"/>
              </w:rPr>
              <w:t xml:space="preserve">Ci/Ca</w:t>
            </w:r>
          </w:p>
        </w:tc>
        <w:tc>
          <w:tcPr>
            <w:tcW w:type="dxa" w:w="1680"/>
            <w:shd w:fill="1F4E5F" w:color="auto" w:val="clear"/>
            <w:tcMar>
              <w:top w:type="dxa" w:w="70"/>
              <w:left w:type="dxa" w:w="100"/>
              <w:bottom w:type="dxa" w:w="70"/>
              <w:right w:type="dxa" w:w="100"/>
            </w:tcMar>
          </w:tcPr>
          <w:p>
            <w:pPr>
              <w:spacing w:after="0"/>
              <w:jc w:val="center"/>
            </w:pPr>
            <w:r>
              <w:rPr>
                <w:rFonts w:ascii="Calibri" w:cs="Calibri" w:eastAsia="Calibri" w:hAnsi="Calibri"/>
                <w:b/>
                <w:bCs/>
                <w:color w:val="FFFFFF"/>
                <w:sz w:val="17"/>
                <w:szCs w:val="17"/>
              </w:rPr>
              <w:t xml:space="preserve">A, gs, Vcmax</w:t>
            </w:r>
          </w:p>
        </w:tc>
      </w:tr>
      <w:tr>
        <w:tc>
          <w:tcPr>
            <w:tcW w:type="dxa" w:w="3200"/>
            <w:tcMar>
              <w:top w:type="dxa" w:w="70"/>
              <w:left w:type="dxa" w:w="100"/>
              <w:bottom w:type="dxa" w:w="70"/>
              <w:right w:type="dxa" w:w="100"/>
            </w:tcMar>
          </w:tcPr>
          <w:p>
            <w:pPr>
              <w:spacing w:after="0"/>
            </w:pPr>
            <w:r>
              <w:rPr>
                <w:rFonts w:ascii="Calibri" w:cs="Calibri" w:eastAsia="Calibri" w:hAnsi="Calibri"/>
                <w:color w:val="000000"/>
                <w:sz w:val="17"/>
                <w:szCs w:val="17"/>
              </w:rPr>
              <w:t xml:space="preserve">Krause et al. 2012</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shd w:fill="F7F9FA" w:color="auto"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Giammarchi et al. 2020</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tcMar>
              <w:top w:type="dxa" w:w="70"/>
              <w:left w:type="dxa" w:w="100"/>
              <w:bottom w:type="dxa" w:w="70"/>
              <w:right w:type="dxa" w:w="100"/>
            </w:tcMar>
          </w:tcPr>
          <w:p>
            <w:pPr>
              <w:spacing w:after="0"/>
            </w:pPr>
            <w:r>
              <w:rPr>
                <w:rFonts w:ascii="Calibri" w:cs="Calibri" w:eastAsia="Calibri" w:hAnsi="Calibri"/>
                <w:color w:val="000000"/>
                <w:sz w:val="17"/>
                <w:szCs w:val="17"/>
              </w:rPr>
              <w:t xml:space="preserve">Zukswert et al. 2025</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shd w:fill="F7F9FA" w:color="auto"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Cornejo-Oviedo et al. 2017</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tcMar>
              <w:top w:type="dxa" w:w="70"/>
              <w:left w:type="dxa" w:w="100"/>
              <w:bottom w:type="dxa" w:w="70"/>
              <w:right w:type="dxa" w:w="100"/>
            </w:tcMar>
          </w:tcPr>
          <w:p>
            <w:pPr>
              <w:spacing w:after="0"/>
            </w:pPr>
            <w:r>
              <w:rPr>
                <w:rFonts w:ascii="Calibri" w:cs="Calibri" w:eastAsia="Calibri" w:hAnsi="Calibri"/>
                <w:color w:val="000000"/>
                <w:sz w:val="17"/>
                <w:szCs w:val="17"/>
              </w:rPr>
              <w:t xml:space="preserve">Högberg et al. 1993</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shd w:fill="F7F9FA" w:color="auto"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Yu et al. 2022</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tcMar>
              <w:top w:type="dxa" w:w="70"/>
              <w:left w:type="dxa" w:w="100"/>
              <w:bottom w:type="dxa" w:w="70"/>
              <w:right w:type="dxa" w:w="100"/>
            </w:tcMar>
          </w:tcPr>
          <w:p>
            <w:pPr>
              <w:spacing w:after="0"/>
            </w:pPr>
            <w:r>
              <w:rPr>
                <w:rFonts w:ascii="Calibri" w:cs="Calibri" w:eastAsia="Calibri" w:hAnsi="Calibri"/>
                <w:color w:val="000000"/>
                <w:sz w:val="17"/>
                <w:szCs w:val="17"/>
              </w:rPr>
              <w:t xml:space="preserve">Cordell et al. 2001</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shd w:fill="F7F9FA" w:color="auto"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NUMEX (Homeier; Báez &amp; Homeier)</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tcMar>
              <w:top w:type="dxa" w:w="70"/>
              <w:left w:type="dxa" w:w="100"/>
              <w:bottom w:type="dxa" w:w="70"/>
              <w:right w:type="dxa" w:w="100"/>
            </w:tcMar>
          </w:tcPr>
          <w:p>
            <w:pPr>
              <w:spacing w:after="0"/>
            </w:pPr>
            <w:r>
              <w:rPr>
                <w:rFonts w:ascii="Calibri" w:cs="Calibri" w:eastAsia="Calibri" w:hAnsi="Calibri"/>
                <w:color w:val="000000"/>
                <w:sz w:val="17"/>
                <w:szCs w:val="17"/>
              </w:rPr>
              <w:t xml:space="preserve">Hu et al. 2021</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shd w:fill="F7F9FA" w:color="auto"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Fu et al. 2022</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shd w:fill="F7F9FA" w:color="auto" w:val="clear"/>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r>
        <w:tc>
          <w:tcPr>
            <w:tcW w:type="dxa" w:w="3200"/>
            <w:tcMar>
              <w:top w:type="dxa" w:w="70"/>
              <w:left w:type="dxa" w:w="100"/>
              <w:bottom w:type="dxa" w:w="70"/>
              <w:right w:type="dxa" w:w="100"/>
            </w:tcMar>
          </w:tcPr>
          <w:p>
            <w:pPr>
              <w:spacing w:after="0"/>
            </w:pPr>
            <w:r>
              <w:rPr>
                <w:rFonts w:ascii="Calibri" w:cs="Calibri" w:eastAsia="Calibri" w:hAnsi="Calibri"/>
                <w:color w:val="000000"/>
                <w:sz w:val="17"/>
                <w:szCs w:val="17"/>
              </w:rPr>
              <w:t xml:space="preserve">Oulehle et al. 2023</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12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c>
          <w:tcPr>
            <w:tcW w:type="dxa" w:w="1680"/>
            <w:tcMar>
              <w:top w:type="dxa" w:w="70"/>
              <w:left w:type="dxa" w:w="100"/>
              <w:bottom w:type="dxa" w:w="70"/>
              <w:right w:type="dxa" w:w="100"/>
            </w:tcMar>
          </w:tcPr>
          <w:p>
            <w:pPr>
              <w:spacing w:after="0"/>
              <w:jc w:val="center"/>
            </w:pPr>
            <w:r>
              <w:rPr>
                <w:rFonts w:ascii="Calibri" w:cs="Calibri" w:eastAsia="Calibri" w:hAnsi="Calibri"/>
                <w:color w:val="000000"/>
                <w:sz w:val="17"/>
                <w:szCs w:val="17"/>
              </w:rPr>
              <w:t xml:space="preserve">—</w:t>
            </w:r>
          </w:p>
        </w:tc>
      </w:tr>
    </w:tbl>
    <w:p>
      <w:pPr>
        <w:spacing w:after="200" w:line="276"/>
      </w:pPr>
      <w:r>
        <w:rPr>
          <w:rFonts w:ascii="Calibri" w:cs="Calibri" w:eastAsia="Calibri" w:hAnsi="Calibri"/>
          <w:color w:val="595959"/>
          <w:sz w:val="19"/>
          <w:szCs w:val="19"/>
        </w:rPr>
        <w:t xml:space="preserve">La lectura de la matriz es directa: ninguna fila tiene simultáneamente δ¹³C, Ci/Ca y rasgos fotosintéticos, y las únicas dos filas de bosque montano tropical (Yu et al., NUMEX) están vacías en la columna isotópica.</w:t>
      </w:r>
    </w:p>
    <w:p>
      <w:pPr>
        <w:pStyle w:val="Heading1"/>
        <w:spacing w:after="160" w:before="320"/>
      </w:pPr>
      <w:r>
        <w:rPr>
          <w:rFonts w:ascii="Calibri" w:cs="Calibri" w:eastAsia="Calibri" w:hAnsi="Calibri"/>
          <w:b/>
          <w:bCs/>
          <w:color w:val="1F4E5F"/>
          <w:sz w:val="28"/>
          <w:szCs w:val="28"/>
        </w:rPr>
        <w:t xml:space="preserve">5. El vacío metodológico, desglosado</w:t>
      </w:r>
    </w:p>
    <w:p>
      <w:pPr>
        <w:pStyle w:val="Heading2"/>
        <w:spacing w:after="100" w:before="240"/>
      </w:pPr>
      <w:r>
        <w:rPr>
          <w:rFonts w:ascii="Calibri" w:cs="Calibri" w:eastAsia="Calibri" w:hAnsi="Calibri"/>
          <w:b/>
          <w:bCs/>
          <w:color w:val="2C2C2C"/>
          <w:sz w:val="23"/>
          <w:szCs w:val="23"/>
        </w:rPr>
        <w:t xml:space="preserve">5.1 Escalas temporales que no se han medido juntas</w:t>
      </w:r>
    </w:p>
    <w:p>
      <w:pPr>
        <w:spacing w:after="120" w:line="276"/>
      </w:pPr>
      <w:r>
        <w:rPr>
          <w:rFonts w:ascii="Calibri" w:cs="Calibri" w:eastAsia="Calibri" w:hAnsi="Calibri"/>
          <w:color w:val="000000"/>
          <w:sz w:val="21"/>
          <w:szCs w:val="21"/>
        </w:rPr>
        <w:t xml:space="preserve">La WUE instantánea del intercambio gaseoso y la iWUE integrada del δ¹³C no son la misma variable. La primera captura la respuesta estomática del día y la hora de medición; la segunda integra la vida útil de la hoja, o el año completo si se mide en anillos. Yu et al. (2022) midieron la primera, Fu et al. (2022) la segunda, y nadie las ha medido en el mismo material en un bosque montano tropical fertilizado. Sin ese contraste no se puede saber si un efecto puntual del N sobre gs persiste a escala estacional.</w:t>
      </w:r>
    </w:p>
    <w:p>
      <w:pPr>
        <w:pStyle w:val="Heading2"/>
        <w:spacing w:after="100" w:before="240"/>
      </w:pPr>
      <w:r>
        <w:rPr>
          <w:rFonts w:ascii="Calibri" w:cs="Calibri" w:eastAsia="Calibri" w:hAnsi="Calibri"/>
          <w:b/>
          <w:bCs/>
          <w:color w:val="2C2C2C"/>
          <w:sz w:val="23"/>
          <w:szCs w:val="23"/>
        </w:rPr>
        <w:t xml:space="preserve">5.2 Ci/Ca casi nunca se trata como variable de respuesta</w:t>
      </w:r>
    </w:p>
    <w:p>
      <w:pPr>
        <w:spacing w:after="120" w:line="276"/>
      </w:pPr>
      <w:r>
        <w:rPr>
          <w:rFonts w:ascii="Calibri" w:cs="Calibri" w:eastAsia="Calibri" w:hAnsi="Calibri"/>
          <w:color w:val="000000"/>
          <w:sz w:val="21"/>
          <w:szCs w:val="21"/>
        </w:rPr>
        <w:t xml:space="preserve">Ci/Ca aparece en la literatura casi siempre como paso intermedio para despejar la iWUE (Giammarchi et al. 2020; Oulehle et al. 2023) o como Ci crudo en una tabla de intercambio gaseoso (Hu et al. 2021), pero rara vez se analiza como el rasgo que integra el balance A:gs. Es precisamente la variable que permitiría decir si el nitrógeno actúa aumentando la capacidad fotosintética o restringiendo la conductancia, y reportarla explícitamente costaría nada en un diseño que ya calcula la iWUE.</w:t>
      </w:r>
    </w:p>
    <w:p>
      <w:pPr>
        <w:pStyle w:val="Heading2"/>
        <w:spacing w:after="100" w:before="240"/>
      </w:pPr>
      <w:r>
        <w:rPr>
          <w:rFonts w:ascii="Calibri" w:cs="Calibri" w:eastAsia="Calibri" w:hAnsi="Calibri"/>
          <w:b/>
          <w:bCs/>
          <w:color w:val="2C2C2C"/>
          <w:sz w:val="23"/>
          <w:szCs w:val="23"/>
        </w:rPr>
        <w:t xml:space="preserve">5.3 El δ¹³C solo es ambiguo</w:t>
      </w:r>
    </w:p>
    <w:p>
      <w:pPr>
        <w:spacing w:after="120" w:line="276"/>
      </w:pPr>
      <w:r>
        <w:rPr>
          <w:rFonts w:ascii="Calibri" w:cs="Calibri" w:eastAsia="Calibri" w:hAnsi="Calibri"/>
          <w:color w:val="000000"/>
          <w:sz w:val="21"/>
          <w:szCs w:val="21"/>
        </w:rPr>
        <w:t xml:space="preserve">Un aumento de δ¹³C es compatible con una fotosíntesis mayor o con una conductancia menor. Krause et al. (2012) es el único trabajo de fertilización montana que resuelve la ambigüedad, añadiendo δ¹⁸O como segundo eje; y su resultado —ningún cambio en ninguno de los dos— es informativo justamente porque puede descartar ambas vías. Los demás estudios con iWUE isotópica no pueden atribuir mecanismo.</w:t>
      </w:r>
    </w:p>
    <w:p>
      <w:pPr>
        <w:pStyle w:val="Heading2"/>
        <w:spacing w:after="100" w:before="240"/>
      </w:pPr>
      <w:r>
        <w:rPr>
          <w:rFonts w:ascii="Calibri" w:cs="Calibri" w:eastAsia="Calibri" w:hAnsi="Calibri"/>
          <w:b/>
          <w:bCs/>
          <w:color w:val="2C2C2C"/>
          <w:sz w:val="23"/>
          <w:szCs w:val="23"/>
        </w:rPr>
        <w:t xml:space="preserve">5.4 Dosis, duración y umbral de detección</w:t>
      </w:r>
    </w:p>
    <w:p>
      <w:pPr>
        <w:spacing w:after="120" w:line="276"/>
      </w:pPr>
      <w:r>
        <w:rPr>
          <w:rFonts w:ascii="Calibri" w:cs="Calibri" w:eastAsia="Calibri" w:hAnsi="Calibri"/>
          <w:color w:val="000000"/>
          <w:sz w:val="21"/>
          <w:szCs w:val="21"/>
        </w:rPr>
        <w:t xml:space="preserve">El patrón entre estudios es consistente: las dosis bajas no mueven la señal. Giammarchi et al. (20 kg N ha⁻¹ a⁻¹, 4 años) y Krause et al. (23 kg N ha⁻¹ a⁻¹, 14 años) no detectaron cambio; Cornejo-Oviedo et al. (224 kg N ha⁻¹ en una sola aplicación) sí, y de forma transitoria. En un bosque montano nublado, con VPD bajo y agua rara vez limitante, cabe esperar una señal aún más débil, lo que obliga a dimensionar el muestreo antes de salir al campo en lugar de después.</w:t>
      </w:r>
    </w:p>
    <w:p>
      <w:pPr>
        <w:pStyle w:val="Heading2"/>
        <w:spacing w:after="100" w:before="240"/>
      </w:pPr>
      <w:r>
        <w:rPr>
          <w:rFonts w:ascii="Calibri" w:cs="Calibri" w:eastAsia="Calibri" w:hAnsi="Calibri"/>
          <w:b/>
          <w:bCs/>
          <w:color w:val="2C2C2C"/>
          <w:sz w:val="23"/>
          <w:szCs w:val="23"/>
        </w:rPr>
        <w:t xml:space="preserve">5.5 El agua como condición para que exista señal</w:t>
      </w:r>
    </w:p>
    <w:p>
      <w:pPr>
        <w:spacing w:after="120" w:line="276"/>
      </w:pPr>
      <w:r>
        <w:rPr>
          <w:rFonts w:ascii="Calibri" w:cs="Calibri" w:eastAsia="Calibri" w:hAnsi="Calibri"/>
          <w:color w:val="000000"/>
          <w:sz w:val="21"/>
          <w:szCs w:val="21"/>
        </w:rPr>
        <w:t xml:space="preserve">Högberg et al. (1993) mostraron hace tres décadas que el efecto del N sobre el ¹³C foliar aparece solo en años secos y desaparece en los húmedos: lo que gobierna la señal es el balance entre oferta y demanda de agua, no el metabolismo del nitrógeno. Hu et al. (2021) reencontraron lo mismo en China. Cualquier diseño en bosque montano tropical debería estratificar por estación seca y húmeda, o arriesga un resultado nulo que solo refleja el año muestreado.</w:t>
      </w:r>
    </w:p>
    <w:p>
      <w:pPr>
        <w:pStyle w:val="Heading2"/>
        <w:spacing w:after="100" w:before="240"/>
      </w:pPr>
      <w:r>
        <w:rPr>
          <w:rFonts w:ascii="Calibri" w:cs="Calibri" w:eastAsia="Calibri" w:hAnsi="Calibri"/>
          <w:b/>
          <w:bCs/>
          <w:color w:val="2C2C2C"/>
          <w:sz w:val="23"/>
          <w:szCs w:val="23"/>
        </w:rPr>
        <w:t xml:space="preserve">5.6 El signo del efecto está en disputa</w:t>
      </w:r>
    </w:p>
    <w:p>
      <w:pPr>
        <w:spacing w:after="120" w:line="276"/>
      </w:pPr>
      <w:r>
        <w:rPr>
          <w:rFonts w:ascii="Calibri" w:cs="Calibri" w:eastAsia="Calibri" w:hAnsi="Calibri"/>
          <w:color w:val="000000"/>
          <w:sz w:val="21"/>
          <w:szCs w:val="21"/>
        </w:rPr>
        <w:t xml:space="preserve">Zukswert et al. (2025) encontraron que el N aumenta el δ¹³C, es decir la iWUE. Fu et al. (2022) encontraron que la reduce. Hu et al. (2021) encontraron que el N alto reduce gs y A simultáneamente. No existe un marco publicado que prediga el signo a partir del tipo de limitación nutricional, y la evidencia de Oulehle et al. (2023) —el Ca disponible explica el 69 % de la variabilidad en la sensibilidad de la iWUE— sugiere que los cationes basales, no solo el N y el P, son parte de la explicación.</w:t>
      </w:r>
    </w:p>
    <w:p>
      <w:pPr>
        <w:pStyle w:val="Heading1"/>
        <w:spacing w:after="160" w:before="320"/>
      </w:pPr>
      <w:r>
        <w:rPr>
          <w:rFonts w:ascii="Calibri" w:cs="Calibri" w:eastAsia="Calibri" w:hAnsi="Calibri"/>
          <w:b/>
          <w:bCs/>
          <w:color w:val="1F4E5F"/>
          <w:sz w:val="28"/>
          <w:szCs w:val="28"/>
        </w:rPr>
        <w:t xml:space="preserve">6. Diseño que llenaría el vacío</w:t>
      </w:r>
    </w:p>
    <w:p>
      <w:pPr>
        <w:pStyle w:val="ListParagraph"/>
        <w:numPr>
          <w:ilvl w:val="0"/>
          <w:numId w:val="2"/>
        </w:numPr>
        <w:spacing w:after="90" w:line="276"/>
      </w:pPr>
      <w:r>
        <w:rPr>
          <w:rFonts w:ascii="Calibri" w:cs="Calibri" w:eastAsia="Calibri" w:hAnsi="Calibri"/>
          <w:b/>
          <w:bCs/>
          <w:sz w:val="21"/>
          <w:szCs w:val="21"/>
        </w:rPr>
        <w:t xml:space="preserve">Aprovechar la infraestructura existente. </w:t>
      </w:r>
      <w:r>
        <w:rPr>
          <w:rFonts w:ascii="Calibri" w:cs="Calibri" w:eastAsia="Calibri" w:hAnsi="Calibri"/>
          <w:sz w:val="21"/>
          <w:szCs w:val="21"/>
        </w:rPr>
        <w:t xml:space="preserve">Partir de parcelas ya establecidas con más de diez años de tratamiento —NUMEX, Fortuna, Jianfengling, los gradientes de Hawái— en lugar de instalar un experimento nuevo. El tiempo de tratamiento es el recurso escaso.</w:t>
      </w:r>
    </w:p>
    <w:p>
      <w:pPr>
        <w:pStyle w:val="ListParagraph"/>
        <w:numPr>
          <w:ilvl w:val="0"/>
          <w:numId w:val="2"/>
        </w:numPr>
        <w:spacing w:after="90" w:line="276"/>
      </w:pPr>
      <w:r>
        <w:rPr>
          <w:rFonts w:ascii="Calibri" w:cs="Calibri" w:eastAsia="Calibri" w:hAnsi="Calibri"/>
          <w:b/>
          <w:bCs/>
          <w:sz w:val="21"/>
          <w:szCs w:val="21"/>
        </w:rPr>
        <w:t xml:space="preserve">Isótopos duales. </w:t>
      </w:r>
      <w:r>
        <w:rPr>
          <w:rFonts w:ascii="Calibri" w:cs="Calibri" w:eastAsia="Calibri" w:hAnsi="Calibri"/>
          <w:sz w:val="21"/>
          <w:szCs w:val="21"/>
        </w:rPr>
        <w:t xml:space="preserve">δ¹³C y δ¹⁸O sobre el mismo material, siguiendo el modelo conceptual de Scheidegger, para separar los efectos vía A de los efectos vía gs. Es la diferencia entre reportar un cambio y explicarlo.</w:t>
      </w:r>
    </w:p>
    <w:p>
      <w:pPr>
        <w:pStyle w:val="ListParagraph"/>
        <w:numPr>
          <w:ilvl w:val="0"/>
          <w:numId w:val="2"/>
        </w:numPr>
        <w:spacing w:after="90" w:line="276"/>
      </w:pPr>
      <w:r>
        <w:rPr>
          <w:rFonts w:ascii="Calibri" w:cs="Calibri" w:eastAsia="Calibri" w:hAnsi="Calibri"/>
          <w:b/>
          <w:bCs/>
          <w:sz w:val="21"/>
          <w:szCs w:val="21"/>
        </w:rPr>
        <w:t xml:space="preserve">Intercambio gaseoso concurrente. </w:t>
      </w:r>
      <w:r>
        <w:rPr>
          <w:rFonts w:ascii="Calibri" w:cs="Calibri" w:eastAsia="Calibri" w:hAnsi="Calibri"/>
          <w:sz w:val="21"/>
          <w:szCs w:val="21"/>
        </w:rPr>
        <w:t xml:space="preserve">Curvas A/Ci, gs y Vcmax en las mismas hojas que van al espectrómetro. Esto permite calibrar el δ¹³C contra un Ci/Ca medido y acotar la conductancia del mesófilo, en vez de asumirla.</w:t>
      </w:r>
    </w:p>
    <w:p>
      <w:pPr>
        <w:pStyle w:val="ListParagraph"/>
        <w:numPr>
          <w:ilvl w:val="0"/>
          <w:numId w:val="2"/>
        </w:numPr>
        <w:spacing w:after="90" w:line="276"/>
      </w:pPr>
      <w:r>
        <w:rPr>
          <w:rFonts w:ascii="Calibri" w:cs="Calibri" w:eastAsia="Calibri" w:hAnsi="Calibri"/>
          <w:b/>
          <w:bCs/>
          <w:sz w:val="21"/>
          <w:szCs w:val="21"/>
        </w:rPr>
        <w:t xml:space="preserve">Reportar Ci/Ca explícitamente. </w:t>
      </w:r>
      <w:r>
        <w:rPr>
          <w:rFonts w:ascii="Calibri" w:cs="Calibri" w:eastAsia="Calibri" w:hAnsi="Calibri"/>
          <w:sz w:val="21"/>
          <w:szCs w:val="21"/>
        </w:rPr>
        <w:t xml:space="preserve">Publicarla como variable de respuesta con su propio modelo estadístico, no solo como paso intermedio del cálculo de iWUE.</w:t>
      </w:r>
    </w:p>
    <w:p>
      <w:pPr>
        <w:pStyle w:val="ListParagraph"/>
        <w:numPr>
          <w:ilvl w:val="0"/>
          <w:numId w:val="2"/>
        </w:numPr>
        <w:spacing w:after="90" w:line="276"/>
      </w:pPr>
      <w:r>
        <w:rPr>
          <w:rFonts w:ascii="Calibri" w:cs="Calibri" w:eastAsia="Calibri" w:hAnsi="Calibri"/>
          <w:b/>
          <w:bCs/>
          <w:sz w:val="21"/>
          <w:szCs w:val="21"/>
        </w:rPr>
        <w:t xml:space="preserve">Estratificar el muestreo. </w:t>
      </w:r>
      <w:r>
        <w:rPr>
          <w:rFonts w:ascii="Calibri" w:cs="Calibri" w:eastAsia="Calibri" w:hAnsi="Calibri"/>
          <w:sz w:val="21"/>
          <w:szCs w:val="21"/>
        </w:rPr>
        <w:t xml:space="preserve">Por posición en el dosel y por estación seca y húmeda, por la razón que dieron Högberg et al. La variación entre años puede ser mayor que el efecto del tratamiento.</w:t>
      </w:r>
    </w:p>
    <w:p>
      <w:pPr>
        <w:pStyle w:val="ListParagraph"/>
        <w:numPr>
          <w:ilvl w:val="0"/>
          <w:numId w:val="2"/>
        </w:numPr>
        <w:spacing w:after="90" w:line="276"/>
      </w:pPr>
      <w:r>
        <w:rPr>
          <w:rFonts w:ascii="Calibri" w:cs="Calibri" w:eastAsia="Calibri" w:hAnsi="Calibri"/>
          <w:b/>
          <w:bCs/>
          <w:sz w:val="21"/>
          <w:szCs w:val="21"/>
        </w:rPr>
        <w:t xml:space="preserve">Medir cationes como covariable. </w:t>
      </w:r>
      <w:r>
        <w:rPr>
          <w:rFonts w:ascii="Calibri" w:cs="Calibri" w:eastAsia="Calibri" w:hAnsi="Calibri"/>
          <w:sz w:val="21"/>
          <w:szCs w:val="21"/>
        </w:rPr>
        <w:t xml:space="preserve">Ca y bases intercambiables del suelo, además de N y P, siguiendo el resultado de Oulehle et al. (2023).</w:t>
      </w:r>
    </w:p>
    <w:p>
      <w:pPr>
        <w:pStyle w:val="Heading1"/>
        <w:spacing w:after="160" w:before="320"/>
      </w:pPr>
      <w:r>
        <w:rPr>
          <w:rFonts w:ascii="Calibri" w:cs="Calibri" w:eastAsia="Calibri" w:hAnsi="Calibri"/>
          <w:b/>
          <w:bCs/>
          <w:color w:val="1F4E5F"/>
          <w:sz w:val="28"/>
          <w:szCs w:val="28"/>
        </w:rPr>
        <w:t xml:space="preserve">7. Advertencias metodológicas</w:t>
      </w:r>
    </w:p>
    <w:p>
      <w:pPr>
        <w:pStyle w:val="ListParagraph"/>
        <w:numPr>
          <w:ilvl w:val="0"/>
          <w:numId w:val="3"/>
        </w:numPr>
        <w:spacing w:after="90" w:line="276"/>
      </w:pPr>
      <w:r>
        <w:rPr>
          <w:rFonts w:ascii="Calibri" w:cs="Calibri" w:eastAsia="Calibri" w:hAnsi="Calibri"/>
          <w:sz w:val="21"/>
          <w:szCs w:val="21"/>
        </w:rPr>
        <w:t xml:space="preserve">Cernusak et al. (2023) revisan los supuestos que se hacen al pasar de δ¹³C foliar a iWUE: conductancia del mesófilo, fraccionamiento fotorrespiratorio y fraccionamientos post-fotosintéticos. Las diferencias entre tratamientos de fertilización suelen ser de 0,5 a 1 ‰, justo el rango donde estos supuestos dejan de ser inocuos.</w:t>
      </w:r>
    </w:p>
    <w:p>
      <w:pPr>
        <w:pStyle w:val="ListParagraph"/>
        <w:numPr>
          <w:ilvl w:val="0"/>
          <w:numId w:val="3"/>
        </w:numPr>
        <w:spacing w:after="90" w:line="276"/>
      </w:pPr>
      <w:r>
        <w:rPr>
          <w:rFonts w:ascii="Calibri" w:cs="Calibri" w:eastAsia="Calibri" w:hAnsi="Calibri"/>
          <w:sz w:val="21"/>
          <w:szCs w:val="21"/>
        </w:rPr>
        <w:t xml:space="preserve">El material importa. La celulosa de anillos y la hoja entera no dan el mismo valor, y la comparación entre estudios de la tabla mezcla ambos. Conviene declarar el material y, si es posible, medir los dos en un subconjunto.</w:t>
      </w:r>
    </w:p>
    <w:p>
      <w:pPr>
        <w:pStyle w:val="ListParagraph"/>
        <w:numPr>
          <w:ilvl w:val="0"/>
          <w:numId w:val="3"/>
        </w:numPr>
        <w:spacing w:after="90" w:line="276"/>
      </w:pPr>
      <w:r>
        <w:rPr>
          <w:rFonts w:ascii="Calibri" w:cs="Calibri" w:eastAsia="Calibri" w:hAnsi="Calibri"/>
          <w:sz w:val="21"/>
          <w:szCs w:val="21"/>
        </w:rPr>
        <w:t xml:space="preserve">La corrección por el δ¹³C atmosférico (efecto Suess) es obligatoria en series de anillos y no siempre se aplica de la misma forma entre estudios, lo que afecta las comparaciones de magnitud.</w:t>
      </w:r>
    </w:p>
    <w:p>
      <w:pPr>
        <w:pStyle w:val="ListParagraph"/>
        <w:numPr>
          <w:ilvl w:val="0"/>
          <w:numId w:val="3"/>
        </w:numPr>
        <w:spacing w:after="90" w:line="276"/>
      </w:pPr>
      <w:r>
        <w:rPr>
          <w:rFonts w:ascii="Calibri" w:cs="Calibri" w:eastAsia="Calibri" w:hAnsi="Calibri"/>
          <w:sz w:val="21"/>
          <w:szCs w:val="21"/>
        </w:rPr>
        <w:t xml:space="preserve">En bosque nublado, la absorción foliar de agua y la niebla frecuente alteran tanto el estado hídrico como la señal de δ¹⁸O. Es una complicación real del enfoque dual en este bioma y conviene anticiparla en el diseño.</w:t>
      </w:r>
    </w:p>
    <w:p>
      <w:pPr>
        <w:pStyle w:val="Heading1"/>
        <w:spacing w:after="160" w:before="320"/>
      </w:pPr>
      <w:r>
        <w:rPr>
          <w:rFonts w:ascii="Calibri" w:cs="Calibri" w:eastAsia="Calibri" w:hAnsi="Calibri"/>
          <w:b/>
          <w:bCs/>
          <w:color w:val="1F4E5F"/>
          <w:sz w:val="28"/>
          <w:szCs w:val="28"/>
        </w:rPr>
        <w:t xml:space="preserve">8. Referencias</w:t>
      </w:r>
    </w:p>
    <w:p>
      <w:pPr>
        <w:spacing w:after="120" w:line="264"/>
        <w:ind w:left="360" w:hanging="360"/>
      </w:pPr>
      <w:r>
        <w:rPr>
          <w:rFonts w:ascii="Calibri" w:cs="Calibri" w:eastAsia="Calibri" w:hAnsi="Calibri"/>
          <w:sz w:val="20"/>
          <w:szCs w:val="20"/>
        </w:rPr>
        <w:t xml:space="preserve">Báez, S., &amp; Homeier, J. (2018). Functional traits determine tree growth and ecosystem productivity of a tropical montane forest: Insights from a long-term nutrient manipulation experiment. Global Change Biology, 24(1), 399–409.</w:t>
      </w:r>
    </w:p>
    <w:p>
      <w:pPr>
        <w:spacing w:after="120" w:line="264"/>
        <w:ind w:left="360" w:hanging="360"/>
      </w:pPr>
      <w:r>
        <w:rPr>
          <w:rFonts w:ascii="Calibri" w:cs="Calibri" w:eastAsia="Calibri" w:hAnsi="Calibri"/>
          <w:sz w:val="20"/>
          <w:szCs w:val="20"/>
        </w:rPr>
        <w:t xml:space="preserve">Brooks, J. R., &amp; Coulombe, R. (2009). Physiological responses to fertilization recorded in tree rings: isotopic lessons from a long-term fertilization trial. Ecological Applications, 19(4), 1044–1060.</w:t>
      </w:r>
    </w:p>
    <w:p>
      <w:pPr>
        <w:spacing w:after="120" w:line="264"/>
        <w:ind w:left="360" w:hanging="360"/>
      </w:pPr>
      <w:r>
        <w:rPr>
          <w:rFonts w:ascii="Calibri" w:cs="Calibri" w:eastAsia="Calibri" w:hAnsi="Calibri"/>
          <w:sz w:val="20"/>
          <w:szCs w:val="20"/>
        </w:rPr>
        <w:t xml:space="preserve">Cernusak, L. A., et al. (2023). Estimation of intrinsic water-use efficiency from δ¹³C signature of C₃ leaves: assumptions and uncertainty. Revisión disponible en PMC9877432 — verificar datos completos de publicación antes de citar.</w:t>
      </w:r>
    </w:p>
    <w:p>
      <w:pPr>
        <w:spacing w:after="120" w:line="264"/>
        <w:ind w:left="360" w:hanging="360"/>
      </w:pPr>
      <w:r>
        <w:rPr>
          <w:rFonts w:ascii="Calibri" w:cs="Calibri" w:eastAsia="Calibri" w:hAnsi="Calibri"/>
          <w:sz w:val="20"/>
          <w:szCs w:val="20"/>
        </w:rPr>
        <w:t xml:space="preserve">Cordell, S., Goldstein, G., Meinzer, F. C., &amp; Vitousek, P. M. (2001). Morphological and physiological adjustment to N and P fertilization in nutrient-limited Metrosideros polymorpha canopy trees in Hawaii. Tree Physiology, 21(1), 43–50.</w:t>
      </w:r>
    </w:p>
    <w:p>
      <w:pPr>
        <w:spacing w:after="120" w:line="264"/>
        <w:ind w:left="360" w:hanging="360"/>
      </w:pPr>
      <w:r>
        <w:rPr>
          <w:rFonts w:ascii="Calibri" w:cs="Calibri" w:eastAsia="Calibri" w:hAnsi="Calibri"/>
          <w:sz w:val="20"/>
          <w:szCs w:val="20"/>
        </w:rPr>
        <w:t xml:space="preserve">Cornejo-Oviedo, E. H., et al. (2017). Basal area growth, carbon isotope discrimination, and intrinsic water use efficiency after fertilization of Douglas-fir in the Oregon Coast Range. Forest Ecology and Management, 389, 285–295.</w:t>
      </w:r>
    </w:p>
    <w:p>
      <w:pPr>
        <w:spacing w:after="120" w:line="264"/>
        <w:ind w:left="360" w:hanging="360"/>
      </w:pPr>
      <w:r>
        <w:rPr>
          <w:rFonts w:ascii="Calibri" w:cs="Calibri" w:eastAsia="Calibri" w:hAnsi="Calibri"/>
          <w:sz w:val="20"/>
          <w:szCs w:val="20"/>
        </w:rPr>
        <w:t xml:space="preserve">Fu, S., Jiang, X., Song, M., Qiao, Y., Liu, M., &amp; Ma, L. (2022). Long-term water use efficiency and non-structural carbohydrates of dominant tree species in response to nitrogen and water additions in a warm temperate forest. Frontiers in Plant Science, 13, 1025162.</w:t>
      </w:r>
    </w:p>
    <w:p>
      <w:pPr>
        <w:spacing w:after="120" w:line="264"/>
        <w:ind w:left="360" w:hanging="360"/>
      </w:pPr>
      <w:r>
        <w:rPr>
          <w:rFonts w:ascii="Calibri" w:cs="Calibri" w:eastAsia="Calibri" w:hAnsi="Calibri"/>
          <w:sz w:val="20"/>
          <w:szCs w:val="20"/>
        </w:rPr>
        <w:t xml:space="preserve">Giammarchi, F., Panzacchi, P., Ventura, M., &amp; Tonon, G. (2020). Tree growth and water-use efficiency do not react in the short term to artificially increased nitrogen deposition. Forests, 11(1), 47.</w:t>
      </w:r>
    </w:p>
    <w:p>
      <w:pPr>
        <w:spacing w:after="120" w:line="264"/>
        <w:ind w:left="360" w:hanging="360"/>
      </w:pPr>
      <w:r>
        <w:rPr>
          <w:rFonts w:ascii="Calibri" w:cs="Calibri" w:eastAsia="Calibri" w:hAnsi="Calibri"/>
          <w:sz w:val="20"/>
          <w:szCs w:val="20"/>
        </w:rPr>
        <w:t xml:space="preserve">Högberg, P., Johannisson, C., &amp; Hällgren, J.-E. (1993). Studies of ¹³C in the foliage reveal interactions between nutrients and water in forest fertilization experiments. Plant and Soil, 152, 207–214.</w:t>
      </w:r>
    </w:p>
    <w:p>
      <w:pPr>
        <w:spacing w:after="120" w:line="264"/>
        <w:ind w:left="360" w:hanging="360"/>
      </w:pPr>
      <w:r>
        <w:rPr>
          <w:rFonts w:ascii="Calibri" w:cs="Calibri" w:eastAsia="Calibri" w:hAnsi="Calibri"/>
          <w:sz w:val="20"/>
          <w:szCs w:val="20"/>
        </w:rPr>
        <w:t xml:space="preserve">Homeier, J., et al. (2012). Tropical Andean forests are highly susceptible to nutrient inputs — rapid effects of experimental N and P addition to an Ecuadorian montane forest. PLoS ONE, 7(10), e47128.</w:t>
      </w:r>
    </w:p>
    <w:p>
      <w:pPr>
        <w:spacing w:after="120" w:line="264"/>
        <w:ind w:left="360" w:hanging="360"/>
      </w:pPr>
      <w:r>
        <w:rPr>
          <w:rFonts w:ascii="Calibri" w:cs="Calibri" w:eastAsia="Calibri" w:hAnsi="Calibri"/>
          <w:sz w:val="20"/>
          <w:szCs w:val="20"/>
        </w:rPr>
        <w:t xml:space="preserve">Hu, Y., et al. (2021). Impacts of canopy and understory nitrogen additions on stomatal conductance and carbon assimilation of dominant tree species in a temperate broadleaved deciduous forest. Ecosystems, 24(6), 1468–1484.</w:t>
      </w:r>
    </w:p>
    <w:p>
      <w:pPr>
        <w:spacing w:after="120" w:line="264"/>
        <w:ind w:left="360" w:hanging="360"/>
      </w:pPr>
      <w:r>
        <w:rPr>
          <w:rFonts w:ascii="Calibri" w:cs="Calibri" w:eastAsia="Calibri" w:hAnsi="Calibri"/>
          <w:sz w:val="20"/>
          <w:szCs w:val="20"/>
        </w:rPr>
        <w:t xml:space="preserve">Krause, K., et al. (2012). Growth enhancement of Picea abies trees under long-term, low-dose N addition is due to morphological more than to physiological changes. Tree Physiology, 32(12), 1471–1481.</w:t>
      </w:r>
    </w:p>
    <w:p>
      <w:pPr>
        <w:spacing w:after="120" w:line="264"/>
        <w:ind w:left="360" w:hanging="360"/>
      </w:pPr>
      <w:r>
        <w:rPr>
          <w:rFonts w:ascii="Calibri" w:cs="Calibri" w:eastAsia="Calibri" w:hAnsi="Calibri"/>
          <w:sz w:val="20"/>
          <w:szCs w:val="20"/>
        </w:rPr>
        <w:t xml:space="preserve">Oulehle, F., Urban, O., Tahovská, K., et al. (2023). Calcium availability affects the intrinsic water-use efficiency of temperate forest trees. Communications Earth &amp; Environment, 4, 199.</w:t>
      </w:r>
    </w:p>
    <w:p>
      <w:pPr>
        <w:spacing w:after="120" w:line="264"/>
        <w:ind w:left="360" w:hanging="360"/>
      </w:pPr>
      <w:r>
        <w:rPr>
          <w:rFonts w:ascii="Calibri" w:cs="Calibri" w:eastAsia="Calibri" w:hAnsi="Calibri"/>
          <w:sz w:val="20"/>
          <w:szCs w:val="20"/>
        </w:rPr>
        <w:t xml:space="preserve">Wright, S. J. (2019). Plant responses to nutrient addition experiments conducted in tropical forests. Ecological Monographs, 89(4), e01382.</w:t>
      </w:r>
    </w:p>
    <w:p>
      <w:pPr>
        <w:spacing w:after="120" w:line="264"/>
        <w:ind w:left="360" w:hanging="360"/>
      </w:pPr>
      <w:r>
        <w:rPr>
          <w:rFonts w:ascii="Calibri" w:cs="Calibri" w:eastAsia="Calibri" w:hAnsi="Calibri"/>
          <w:sz w:val="20"/>
          <w:szCs w:val="20"/>
        </w:rPr>
        <w:t xml:space="preserve">Yu, Q., Ni, X., Cheng, X., Ma, S., Tian, D., Zhu, B., Zhu, J., Ji, C., Tang, Z., &amp; Fang, J. (2022). Foliar phosphorus allocation and photosynthesis reveal plants’ adaptative strategies to phosphorus limitation in tropical forests at different successional stages. Science of the Total Environment, 846, 157456. https://doi.org/10.1016/j.scitotenv.2022.157456</w:t>
      </w:r>
    </w:p>
    <w:p>
      <w:pPr>
        <w:spacing w:after="120" w:line="264"/>
        <w:ind w:left="360" w:hanging="360"/>
      </w:pPr>
      <w:r>
        <w:rPr>
          <w:rFonts w:ascii="Calibri" w:cs="Calibri" w:eastAsia="Calibri" w:hAnsi="Calibri"/>
          <w:sz w:val="20"/>
          <w:szCs w:val="20"/>
        </w:rPr>
        <w:t xml:space="preserve">Zhang, Y., et al. (2021). Divergent responses of dominant forest tree species to manipulated canopy and understory N additions in terms of foliage stoichiometric, photosynthetic, and hydraulic traits. Journal of Geophysical Research: Biogeosciences, 126, e2021JG006579.</w:t>
      </w:r>
    </w:p>
    <w:p>
      <w:pPr>
        <w:spacing w:after="120" w:line="264"/>
        <w:ind w:left="360" w:hanging="360"/>
      </w:pPr>
      <w:r>
        <w:rPr>
          <w:rFonts w:ascii="Calibri" w:cs="Calibri" w:eastAsia="Calibri" w:hAnsi="Calibri"/>
          <w:sz w:val="20"/>
          <w:szCs w:val="20"/>
        </w:rPr>
        <w:t xml:space="preserve">Zukswert, J. M., Vadeboncoeur, M. A., Fahey, T. J., &amp; Yanai, R. D. (2025). Treatment effects of nitrogen and phosphorus addition on foliar traits in six northern hardwood tree species. Oecologia, 207, 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2026-09-15T16:07:58.717Z</dcterms:created>
  <dcterms:modified xsi:type="dcterms:W3CDTF">2026-09-15T16:07:58.717Z</dcterms:modified>
</cp:coreProperties>
</file>

<file path=docProps/custom.xml><?xml version="1.0" encoding="utf-8"?>
<Properties xmlns="http://schemas.openxmlformats.org/officeDocument/2006/custom-properties" xmlns:vt="http://schemas.openxmlformats.org/officeDocument/2006/docPropsVTypes"/>
</file>