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0" w:right="1" w:firstLine="0"/>
        <w:jc w:val="center"/>
        <w:rPr>
          <w:rFonts w:ascii="Arial MT" w:hAnsi="Arial MT"/>
          <w:sz w:val="44"/>
        </w:rPr>
      </w:pPr>
      <w:r>
        <w:rPr>
          <w:rFonts w:ascii="Arial MT" w:hAnsi="Arial MT"/>
          <w:sz w:val="44"/>
        </w:rPr>
        <w:t>GEORG-AUGUST-UNIVERSITÄT </w:t>
      </w:r>
      <w:r>
        <w:rPr>
          <w:rFonts w:ascii="Arial MT" w:hAnsi="Arial MT"/>
          <w:spacing w:val="-2"/>
          <w:sz w:val="44"/>
        </w:rPr>
        <w:t>GÖTTINGEN</w:t>
      </w:r>
    </w:p>
    <w:p>
      <w:pPr>
        <w:pStyle w:val="BodyText"/>
        <w:spacing w:before="100"/>
        <w:ind w:left="0"/>
        <w:jc w:val="left"/>
        <w:rPr>
          <w:rFonts w:ascii="Arial MT"/>
          <w:sz w:val="44"/>
        </w:rPr>
      </w:pPr>
    </w:p>
    <w:p>
      <w:pPr>
        <w:pStyle w:val="BodyText"/>
        <w:ind w:left="0" w:right="1"/>
        <w:jc w:val="center"/>
        <w:rPr>
          <w:rFonts w:ascii="Arial MT"/>
        </w:rPr>
      </w:pPr>
      <w:r>
        <w:rPr>
          <w:rFonts w:ascii="Arial MT"/>
        </w:rPr>
        <w:t>Uploaddatum: </w:t>
      </w:r>
      <w:r>
        <w:rPr>
          <w:rFonts w:ascii="Arial MT"/>
          <w:spacing w:val="-2"/>
        </w:rPr>
        <w:t>23.08.2021</w:t>
      </w:r>
    </w:p>
    <w:p>
      <w:pPr>
        <w:pStyle w:val="BodyText"/>
        <w:spacing w:before="12"/>
        <w:ind w:left="0" w:right="1"/>
        <w:jc w:val="center"/>
        <w:rPr>
          <w:rFonts w:ascii="Arial MT"/>
        </w:rPr>
      </w:pPr>
      <w:r>
        <w:rPr>
          <w:rFonts w:ascii="Arial MT"/>
        </w:rPr>
        <w:t>Uploadzeit: </w:t>
      </w:r>
      <w:r>
        <w:rPr>
          <w:rFonts w:ascii="Arial MT"/>
          <w:spacing w:val="-2"/>
        </w:rPr>
        <w:t>00:54</w:t>
      </w:r>
    </w:p>
    <w:p>
      <w:pPr>
        <w:pStyle w:val="BodyText"/>
        <w:spacing w:before="19"/>
        <w:ind w:left="0"/>
        <w:jc w:val="left"/>
        <w:rPr>
          <w:rFonts w:ascii="Arial MT"/>
        </w:rPr>
      </w:pPr>
    </w:p>
    <w:p>
      <w:pPr>
        <w:pStyle w:val="Heading3"/>
        <w:spacing w:line="249" w:lineRule="auto"/>
      </w:pPr>
      <w:r>
        <w:rPr/>
        <w:t>Dies</w:t>
      </w:r>
      <w:r>
        <w:rPr>
          <w:spacing w:val="-4"/>
        </w:rPr>
        <w:t> </w:t>
      </w:r>
      <w:r>
        <w:rPr/>
        <w:t>ist</w:t>
      </w:r>
      <w:r>
        <w:rPr>
          <w:spacing w:val="-4"/>
        </w:rPr>
        <w:t> </w:t>
      </w:r>
      <w:r>
        <w:rPr/>
        <w:t>ein</w:t>
      </w:r>
      <w:r>
        <w:rPr>
          <w:spacing w:val="-4"/>
        </w:rPr>
        <w:t> </w:t>
      </w:r>
      <w:r>
        <w:rPr/>
        <w:t>von</w:t>
      </w:r>
      <w:r>
        <w:rPr>
          <w:spacing w:val="-4"/>
        </w:rPr>
        <w:t> </w:t>
      </w:r>
      <w:r>
        <w:rPr/>
        <w:t>FlexNow</w:t>
      </w:r>
      <w:r>
        <w:rPr>
          <w:spacing w:val="-4"/>
        </w:rPr>
        <w:t> </w:t>
      </w:r>
      <w:r>
        <w:rPr/>
        <w:t>automatisch</w:t>
      </w:r>
      <w:r>
        <w:rPr>
          <w:spacing w:val="-4"/>
        </w:rPr>
        <w:t> </w:t>
      </w:r>
      <w:r>
        <w:rPr/>
        <w:t>beim</w:t>
      </w:r>
      <w:r>
        <w:rPr>
          <w:spacing w:val="-4"/>
        </w:rPr>
        <w:t> </w:t>
      </w:r>
      <w:r>
        <w:rPr/>
        <w:t>Upload</w:t>
      </w:r>
      <w:r>
        <w:rPr>
          <w:spacing w:val="-4"/>
        </w:rPr>
        <w:t> </w:t>
      </w:r>
      <w:r>
        <w:rPr/>
        <w:t>generiertes</w:t>
      </w:r>
      <w:r>
        <w:rPr>
          <w:spacing w:val="-4"/>
        </w:rPr>
        <w:t> </w:t>
      </w:r>
      <w:r>
        <w:rPr/>
        <w:t>Deckblatt.</w:t>
      </w:r>
      <w:r>
        <w:rPr>
          <w:spacing w:val="-4"/>
        </w:rPr>
        <w:t> </w:t>
      </w:r>
      <w:r>
        <w:rPr/>
        <w:t>Es dient dazu, die Arbeit automatisiert der Prüfungsakte zuordnen zu können.</w:t>
      </w:r>
    </w:p>
    <w:p>
      <w:pPr>
        <w:pStyle w:val="BodyText"/>
        <w:spacing w:before="10"/>
        <w:ind w:left="0"/>
        <w:jc w:val="left"/>
        <w:rPr>
          <w:rFonts w:ascii="Arial"/>
          <w:b/>
        </w:rPr>
      </w:pPr>
    </w:p>
    <w:p>
      <w:pPr>
        <w:pStyle w:val="Heading3"/>
        <w:spacing w:line="249" w:lineRule="auto"/>
        <w:ind w:left="1407" w:right="1406"/>
      </w:pPr>
      <w:r>
        <w:rPr/>
        <w:t>This</w:t>
      </w:r>
      <w:r>
        <w:rPr>
          <w:spacing w:val="-5"/>
        </w:rPr>
        <w:t> </w:t>
      </w:r>
      <w:r>
        <w:rPr/>
        <w:t>is</w:t>
      </w:r>
      <w:r>
        <w:rPr>
          <w:spacing w:val="-5"/>
        </w:rPr>
        <w:t> </w:t>
      </w:r>
      <w:r>
        <w:rPr/>
        <w:t>a</w:t>
      </w:r>
      <w:r>
        <w:rPr>
          <w:spacing w:val="-5"/>
        </w:rPr>
        <w:t> </w:t>
      </w:r>
      <w:r>
        <w:rPr/>
        <w:t>machine</w:t>
      </w:r>
      <w:r>
        <w:rPr>
          <w:spacing w:val="-5"/>
        </w:rPr>
        <w:t> </w:t>
      </w:r>
      <w:r>
        <w:rPr/>
        <w:t>generated</w:t>
      </w:r>
      <w:r>
        <w:rPr>
          <w:spacing w:val="-5"/>
        </w:rPr>
        <w:t> </w:t>
      </w:r>
      <w:r>
        <w:rPr/>
        <w:t>frontpage</w:t>
      </w:r>
      <w:r>
        <w:rPr>
          <w:spacing w:val="-5"/>
        </w:rPr>
        <w:t> </w:t>
      </w:r>
      <w:r>
        <w:rPr/>
        <w:t>added</w:t>
      </w:r>
      <w:r>
        <w:rPr>
          <w:spacing w:val="-5"/>
        </w:rPr>
        <w:t> </w:t>
      </w:r>
      <w:r>
        <w:rPr/>
        <w:t>by</w:t>
      </w:r>
      <w:r>
        <w:rPr>
          <w:spacing w:val="-5"/>
        </w:rPr>
        <w:t> </w:t>
      </w:r>
      <w:r>
        <w:rPr/>
        <w:t>FlexNow. Its purpose is to link your upload to your examination </w:t>
      </w:r>
      <w:r>
        <w:rPr>
          <w:spacing w:val="-2"/>
        </w:rPr>
        <w:t>file.</w:t>
      </w:r>
    </w:p>
    <w:p>
      <w:pPr>
        <w:pStyle w:val="BodyText"/>
        <w:spacing w:before="204"/>
        <w:ind w:left="0"/>
        <w:jc w:val="left"/>
        <w:rPr>
          <w:rFonts w:ascii="Arial"/>
          <w:b/>
        </w:rPr>
      </w:pPr>
    </w:p>
    <w:p>
      <w:pPr>
        <w:pStyle w:val="BodyText"/>
        <w:spacing w:before="1"/>
        <w:ind w:left="0" w:right="1"/>
        <w:jc w:val="center"/>
        <w:rPr>
          <w:rFonts w:ascii="Arial MT"/>
        </w:rPr>
      </w:pPr>
      <w:r>
        <w:rPr>
          <w:rFonts w:ascii="Arial MT"/>
        </w:rPr>
        <w:t>Matrikelnummer: </w:t>
      </w:r>
      <w:r>
        <w:rPr>
          <w:rFonts w:ascii="Arial MT"/>
          <w:spacing w:val="-2"/>
        </w:rPr>
        <w:t>21770315</w:t>
      </w:r>
    </w:p>
    <w:p>
      <w:pPr>
        <w:pStyle w:val="BodyText"/>
        <w:ind w:left="0"/>
        <w:jc w:val="left"/>
        <w:rPr>
          <w:rFonts w:ascii="Arial MT"/>
          <w:sz w:val="20"/>
        </w:rPr>
      </w:pPr>
    </w:p>
    <w:p>
      <w:pPr>
        <w:pStyle w:val="BodyText"/>
        <w:spacing w:before="172"/>
        <w:ind w:left="0"/>
        <w:jc w:val="left"/>
        <w:rPr>
          <w:rFonts w:ascii="Arial MT"/>
          <w:sz w:val="20"/>
        </w:rPr>
      </w:pPr>
      <w:r>
        <w:rPr>
          <w:rFonts w:ascii="Arial MT"/>
          <w:sz w:val="20"/>
        </w:rPr>
        <w:drawing>
          <wp:anchor distT="0" distB="0" distL="0" distR="0" allowOverlap="1" layoutInCell="1" locked="0" behindDoc="1" simplePos="0" relativeHeight="487587840">
            <wp:simplePos x="0" y="0"/>
            <wp:positionH relativeFrom="page">
              <wp:posOffset>2985788</wp:posOffset>
            </wp:positionH>
            <wp:positionV relativeFrom="paragraph">
              <wp:posOffset>270497</wp:posOffset>
            </wp:positionV>
            <wp:extent cx="1395603" cy="139560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95603" cy="1395602"/>
                    </a:xfrm>
                    <a:prstGeom prst="rect">
                      <a:avLst/>
                    </a:prstGeom>
                  </pic:spPr>
                </pic:pic>
              </a:graphicData>
            </a:graphic>
          </wp:anchor>
        </w:drawing>
      </w:r>
    </w:p>
    <w:p>
      <w:pPr>
        <w:pStyle w:val="BodyText"/>
        <w:spacing w:after="0"/>
        <w:jc w:val="left"/>
        <w:rPr>
          <w:rFonts w:ascii="Arial MT"/>
          <w:sz w:val="20"/>
        </w:rPr>
        <w:sectPr>
          <w:type w:val="continuous"/>
          <w:pgSz w:w="11910" w:h="16840"/>
          <w:pgMar w:top="940" w:bottom="280" w:left="992" w:right="1275"/>
        </w:sectPr>
      </w:pPr>
    </w:p>
    <w:p>
      <w:pPr>
        <w:pStyle w:val="Title"/>
        <w:spacing w:line="641" w:lineRule="exact"/>
        <w:ind w:right="172"/>
      </w:pPr>
      <w:r>
        <w:rPr>
          <w:spacing w:val="-12"/>
        </w:rPr>
        <w:t>Influence</w:t>
      </w:r>
      <w:r>
        <w:rPr>
          <w:spacing w:val="-40"/>
        </w:rPr>
        <w:t> </w:t>
      </w:r>
      <w:r>
        <w:rPr>
          <w:spacing w:val="-12"/>
        </w:rPr>
        <w:t>of</w:t>
      </w:r>
      <w:r>
        <w:rPr>
          <w:spacing w:val="1"/>
        </w:rPr>
        <w:t> </w:t>
      </w:r>
      <w:r>
        <w:rPr>
          <w:spacing w:val="-12"/>
        </w:rPr>
        <w:t>tree</w:t>
      </w:r>
      <w:r>
        <w:rPr>
          <w:spacing w:val="-27"/>
        </w:rPr>
        <w:t> </w:t>
      </w:r>
      <w:r>
        <w:rPr>
          <w:spacing w:val="-12"/>
        </w:rPr>
        <w:t>functional</w:t>
      </w:r>
      <w:r>
        <w:rPr>
          <w:spacing w:val="-20"/>
        </w:rPr>
        <w:t> </w:t>
      </w:r>
      <w:r>
        <w:rPr>
          <w:spacing w:val="-12"/>
        </w:rPr>
        <w:t>strategy</w:t>
      </w:r>
      <w:r>
        <w:rPr>
          <w:spacing w:val="-38"/>
        </w:rPr>
        <w:t> </w:t>
      </w:r>
      <w:r>
        <w:rPr>
          <w:spacing w:val="-12"/>
        </w:rPr>
        <w:t>on</w:t>
      </w:r>
    </w:p>
    <w:p>
      <w:pPr>
        <w:pStyle w:val="Title"/>
        <w:spacing w:line="276" w:lineRule="auto" w:before="101"/>
      </w:pPr>
      <w:r>
        <w:rPr>
          <w:spacing w:val="-10"/>
        </w:rPr>
        <w:t>the</w:t>
      </w:r>
      <w:r>
        <w:rPr>
          <w:spacing w:val="-47"/>
        </w:rPr>
        <w:t> </w:t>
      </w:r>
      <w:r>
        <w:rPr>
          <w:spacing w:val="-10"/>
        </w:rPr>
        <w:t>growth</w:t>
      </w:r>
      <w:r>
        <w:rPr>
          <w:spacing w:val="-36"/>
        </w:rPr>
        <w:t> </w:t>
      </w:r>
      <w:r>
        <w:rPr>
          <w:spacing w:val="-10"/>
        </w:rPr>
        <w:t>response</w:t>
      </w:r>
      <w:r>
        <w:rPr>
          <w:spacing w:val="-39"/>
        </w:rPr>
        <w:t> </w:t>
      </w:r>
      <w:r>
        <w:rPr>
          <w:spacing w:val="-10"/>
        </w:rPr>
        <w:t>to</w:t>
      </w:r>
      <w:r>
        <w:rPr>
          <w:spacing w:val="-35"/>
        </w:rPr>
        <w:t> </w:t>
      </w:r>
      <w:r>
        <w:rPr>
          <w:spacing w:val="-10"/>
        </w:rPr>
        <w:t>nutrient</w:t>
      </w:r>
      <w:r>
        <w:rPr>
          <w:spacing w:val="-46"/>
        </w:rPr>
        <w:t> </w:t>
      </w:r>
      <w:r>
        <w:rPr>
          <w:spacing w:val="-10"/>
        </w:rPr>
        <w:t>addition </w:t>
      </w:r>
      <w:r>
        <w:rPr>
          <w:spacing w:val="-4"/>
        </w:rPr>
        <w:t>–</w:t>
      </w:r>
      <w:r>
        <w:rPr>
          <w:spacing w:val="-26"/>
        </w:rPr>
        <w:t> </w:t>
      </w:r>
      <w:r>
        <w:rPr>
          <w:spacing w:val="-4"/>
        </w:rPr>
        <w:t>results</w:t>
      </w:r>
      <w:r>
        <w:rPr>
          <w:spacing w:val="-33"/>
        </w:rPr>
        <w:t> </w:t>
      </w:r>
      <w:r>
        <w:rPr>
          <w:spacing w:val="-4"/>
        </w:rPr>
        <w:t>from</w:t>
      </w:r>
      <w:r>
        <w:rPr>
          <w:spacing w:val="-41"/>
        </w:rPr>
        <w:t> </w:t>
      </w:r>
      <w:r>
        <w:rPr>
          <w:spacing w:val="-4"/>
        </w:rPr>
        <w:t>a</w:t>
      </w:r>
      <w:r>
        <w:rPr>
          <w:spacing w:val="-34"/>
        </w:rPr>
        <w:t> </w:t>
      </w:r>
      <w:r>
        <w:rPr>
          <w:spacing w:val="-4"/>
        </w:rPr>
        <w:t>long-term</w:t>
      </w:r>
      <w:r>
        <w:rPr>
          <w:spacing w:val="-29"/>
        </w:rPr>
        <w:t> </w:t>
      </w:r>
      <w:r>
        <w:rPr>
          <w:spacing w:val="-4"/>
        </w:rPr>
        <w:t>nutrient manipulation</w:t>
      </w:r>
      <w:r>
        <w:rPr>
          <w:spacing w:val="-42"/>
        </w:rPr>
        <w:t> </w:t>
      </w:r>
      <w:r>
        <w:rPr>
          <w:spacing w:val="-4"/>
        </w:rPr>
        <w:t>experiment</w:t>
      </w:r>
      <w:r>
        <w:rPr>
          <w:spacing w:val="-34"/>
        </w:rPr>
        <w:t> </w:t>
      </w:r>
      <w:r>
        <w:rPr>
          <w:spacing w:val="-4"/>
        </w:rPr>
        <w:t>(NuMEx) along</w:t>
      </w:r>
      <w:r>
        <w:rPr>
          <w:spacing w:val="-30"/>
        </w:rPr>
        <w:t> </w:t>
      </w:r>
      <w:r>
        <w:rPr>
          <w:spacing w:val="-4"/>
        </w:rPr>
        <w:t>an</w:t>
      </w:r>
      <w:r>
        <w:rPr>
          <w:spacing w:val="-38"/>
        </w:rPr>
        <w:t> </w:t>
      </w:r>
      <w:r>
        <w:rPr>
          <w:spacing w:val="-4"/>
        </w:rPr>
        <w:t>elevation</w:t>
      </w:r>
      <w:r>
        <w:rPr>
          <w:spacing w:val="-38"/>
        </w:rPr>
        <w:t> </w:t>
      </w:r>
      <w:r>
        <w:rPr>
          <w:spacing w:val="-4"/>
        </w:rPr>
        <w:t>gradient</w:t>
      </w:r>
      <w:r>
        <w:rPr>
          <w:spacing w:val="-29"/>
        </w:rPr>
        <w:t> </w:t>
      </w:r>
      <w:r>
        <w:rPr>
          <w:spacing w:val="-4"/>
        </w:rPr>
        <w:t>in</w:t>
      </w:r>
      <w:r>
        <w:rPr>
          <w:spacing w:val="-31"/>
        </w:rPr>
        <w:t> </w:t>
      </w:r>
      <w:r>
        <w:rPr>
          <w:spacing w:val="-4"/>
        </w:rPr>
        <w:t>the tropical</w:t>
      </w:r>
      <w:r>
        <w:rPr>
          <w:spacing w:val="-30"/>
        </w:rPr>
        <w:t> </w:t>
      </w:r>
      <w:r>
        <w:rPr>
          <w:spacing w:val="-4"/>
        </w:rPr>
        <w:t>montane</w:t>
      </w:r>
      <w:r>
        <w:rPr>
          <w:spacing w:val="-37"/>
        </w:rPr>
        <w:t> </w:t>
      </w:r>
      <w:r>
        <w:rPr>
          <w:spacing w:val="-4"/>
        </w:rPr>
        <w:t>forest</w:t>
      </w:r>
      <w:r>
        <w:rPr>
          <w:spacing w:val="-46"/>
        </w:rPr>
        <w:t> </w:t>
      </w:r>
      <w:r>
        <w:rPr>
          <w:spacing w:val="-4"/>
        </w:rPr>
        <w:t>of</w:t>
      </w:r>
      <w:r>
        <w:rPr>
          <w:spacing w:val="-19"/>
        </w:rPr>
        <w:t> </w:t>
      </w:r>
      <w:r>
        <w:rPr>
          <w:spacing w:val="-4"/>
        </w:rPr>
        <w:t>southern </w:t>
      </w:r>
      <w:r>
        <w:rPr>
          <w:spacing w:val="-2"/>
        </w:rPr>
        <w:t>Ecuador</w:t>
      </w:r>
    </w:p>
    <w:p>
      <w:pPr>
        <w:spacing w:before="549"/>
        <w:ind w:left="759" w:right="186" w:firstLine="0"/>
        <w:jc w:val="center"/>
        <w:rPr>
          <w:sz w:val="22"/>
        </w:rPr>
      </w:pPr>
      <w:r>
        <w:rPr>
          <w:color w:val="767070"/>
          <w:sz w:val="22"/>
        </w:rPr>
        <w:t>bachelor</w:t>
      </w:r>
      <w:r>
        <w:rPr>
          <w:color w:val="767070"/>
          <w:spacing w:val="-8"/>
          <w:sz w:val="22"/>
        </w:rPr>
        <w:t> </w:t>
      </w:r>
      <w:r>
        <w:rPr>
          <w:color w:val="767070"/>
          <w:spacing w:val="-2"/>
          <w:sz w:val="22"/>
        </w:rPr>
        <w:t>thesis</w:t>
      </w:r>
    </w:p>
    <w:p>
      <w:pPr>
        <w:spacing w:before="183"/>
        <w:ind w:left="759" w:right="186" w:firstLine="0"/>
        <w:jc w:val="center"/>
        <w:rPr>
          <w:sz w:val="22"/>
        </w:rPr>
      </w:pPr>
      <w:r>
        <w:rPr>
          <w:color w:val="767070"/>
          <w:sz w:val="22"/>
        </w:rPr>
        <w:t>in</w:t>
      </w:r>
      <w:r>
        <w:rPr>
          <w:color w:val="767070"/>
          <w:spacing w:val="-2"/>
          <w:sz w:val="22"/>
        </w:rPr>
        <w:t> </w:t>
      </w:r>
      <w:r>
        <w:rPr>
          <w:color w:val="767070"/>
          <w:sz w:val="22"/>
        </w:rPr>
        <w:t>the</w:t>
      </w:r>
      <w:r>
        <w:rPr>
          <w:color w:val="767070"/>
          <w:spacing w:val="-5"/>
          <w:sz w:val="22"/>
        </w:rPr>
        <w:t> </w:t>
      </w:r>
      <w:r>
        <w:rPr>
          <w:color w:val="767070"/>
          <w:sz w:val="22"/>
        </w:rPr>
        <w:t>field</w:t>
      </w:r>
      <w:r>
        <w:rPr>
          <w:color w:val="767070"/>
          <w:spacing w:val="-6"/>
          <w:sz w:val="22"/>
        </w:rPr>
        <w:t> </w:t>
      </w:r>
      <w:r>
        <w:rPr>
          <w:color w:val="767070"/>
          <w:sz w:val="22"/>
        </w:rPr>
        <w:t>of</w:t>
      </w:r>
      <w:r>
        <w:rPr>
          <w:color w:val="767070"/>
          <w:spacing w:val="-1"/>
          <w:sz w:val="22"/>
        </w:rPr>
        <w:t> </w:t>
      </w:r>
      <w:r>
        <w:rPr>
          <w:color w:val="767070"/>
          <w:sz w:val="22"/>
        </w:rPr>
        <w:t>study</w:t>
      </w:r>
      <w:r>
        <w:rPr>
          <w:color w:val="767070"/>
          <w:spacing w:val="-3"/>
          <w:sz w:val="22"/>
        </w:rPr>
        <w:t> </w:t>
      </w:r>
      <w:r>
        <w:rPr>
          <w:color w:val="767070"/>
          <w:sz w:val="22"/>
        </w:rPr>
        <w:t>Biology</w:t>
      </w:r>
      <w:r>
        <w:rPr>
          <w:color w:val="767070"/>
          <w:spacing w:val="-3"/>
          <w:sz w:val="22"/>
        </w:rPr>
        <w:t> </w:t>
      </w:r>
      <w:r>
        <w:rPr>
          <w:color w:val="767070"/>
          <w:spacing w:val="-2"/>
          <w:sz w:val="22"/>
        </w:rPr>
        <w:t>(B.Sc.)</w:t>
      </w:r>
    </w:p>
    <w:p>
      <w:pPr>
        <w:spacing w:before="180"/>
        <w:ind w:left="759" w:right="188" w:firstLine="0"/>
        <w:jc w:val="center"/>
        <w:rPr>
          <w:sz w:val="22"/>
        </w:rPr>
      </w:pPr>
      <w:r>
        <w:rPr>
          <w:color w:val="767070"/>
          <w:sz w:val="22"/>
        </w:rPr>
        <w:t>at</w:t>
      </w:r>
      <w:r>
        <w:rPr>
          <w:color w:val="767070"/>
          <w:spacing w:val="-6"/>
          <w:sz w:val="22"/>
        </w:rPr>
        <w:t> </w:t>
      </w:r>
      <w:r>
        <w:rPr>
          <w:color w:val="767070"/>
          <w:sz w:val="22"/>
        </w:rPr>
        <w:t>the</w:t>
      </w:r>
      <w:r>
        <w:rPr>
          <w:color w:val="767070"/>
          <w:spacing w:val="-10"/>
          <w:sz w:val="22"/>
        </w:rPr>
        <w:t> </w:t>
      </w:r>
      <w:r>
        <w:rPr>
          <w:color w:val="767070"/>
          <w:sz w:val="22"/>
        </w:rPr>
        <w:t>George-August-Universität</w:t>
      </w:r>
      <w:r>
        <w:rPr>
          <w:color w:val="767070"/>
          <w:spacing w:val="-8"/>
          <w:sz w:val="22"/>
        </w:rPr>
        <w:t> </w:t>
      </w:r>
      <w:r>
        <w:rPr>
          <w:color w:val="767070"/>
          <w:spacing w:val="-2"/>
          <w:sz w:val="22"/>
        </w:rPr>
        <w:t>Göttingen</w:t>
      </w:r>
    </w:p>
    <w:p>
      <w:pPr>
        <w:pStyle w:val="BodyText"/>
        <w:ind w:left="0"/>
        <w:jc w:val="left"/>
        <w:rPr>
          <w:sz w:val="22"/>
        </w:rPr>
      </w:pPr>
    </w:p>
    <w:p>
      <w:pPr>
        <w:pStyle w:val="BodyText"/>
        <w:spacing w:before="94"/>
        <w:ind w:left="0"/>
        <w:jc w:val="left"/>
        <w:rPr>
          <w:sz w:val="22"/>
        </w:rPr>
      </w:pPr>
    </w:p>
    <w:p>
      <w:pPr>
        <w:spacing w:before="1"/>
        <w:ind w:left="759" w:right="188" w:firstLine="0"/>
        <w:jc w:val="center"/>
        <w:rPr>
          <w:sz w:val="22"/>
        </w:rPr>
      </w:pPr>
      <w:r>
        <w:rPr>
          <w:color w:val="767070"/>
          <w:sz w:val="22"/>
        </w:rPr>
        <w:t>submitted</w:t>
      </w:r>
      <w:r>
        <w:rPr>
          <w:color w:val="767070"/>
          <w:spacing w:val="-6"/>
          <w:sz w:val="22"/>
        </w:rPr>
        <w:t> </w:t>
      </w:r>
      <w:r>
        <w:rPr>
          <w:color w:val="767070"/>
          <w:spacing w:val="-5"/>
          <w:sz w:val="22"/>
        </w:rPr>
        <w:t>by</w:t>
      </w:r>
    </w:p>
    <w:p>
      <w:pPr>
        <w:spacing w:line="475" w:lineRule="auto" w:before="180"/>
        <w:ind w:left="3275" w:right="2704" w:firstLine="0"/>
        <w:jc w:val="center"/>
        <w:rPr>
          <w:sz w:val="22"/>
        </w:rPr>
      </w:pPr>
      <w:r>
        <w:rPr>
          <w:color w:val="767070"/>
          <w:sz w:val="22"/>
        </w:rPr>
        <w:t>Thilo</w:t>
      </w:r>
      <w:r>
        <w:rPr>
          <w:color w:val="767070"/>
          <w:spacing w:val="-10"/>
          <w:sz w:val="22"/>
        </w:rPr>
        <w:t> </w:t>
      </w:r>
      <w:r>
        <w:rPr>
          <w:color w:val="767070"/>
          <w:sz w:val="22"/>
        </w:rPr>
        <w:t>Reng</w:t>
      </w:r>
      <w:r>
        <w:rPr>
          <w:color w:val="767070"/>
          <w:spacing w:val="-10"/>
          <w:sz w:val="22"/>
        </w:rPr>
        <w:t> </w:t>
      </w:r>
      <w:r>
        <w:rPr>
          <w:color w:val="767070"/>
          <w:sz w:val="22"/>
        </w:rPr>
        <w:t>(matriculation</w:t>
      </w:r>
      <w:r>
        <w:rPr>
          <w:color w:val="767070"/>
          <w:spacing w:val="-9"/>
          <w:sz w:val="22"/>
        </w:rPr>
        <w:t> </w:t>
      </w:r>
      <w:r>
        <w:rPr>
          <w:color w:val="767070"/>
          <w:sz w:val="22"/>
        </w:rPr>
        <w:t>number:</w:t>
      </w:r>
      <w:r>
        <w:rPr>
          <w:color w:val="767070"/>
          <w:spacing w:val="-10"/>
          <w:sz w:val="22"/>
        </w:rPr>
        <w:t> </w:t>
      </w:r>
      <w:r>
        <w:rPr>
          <w:color w:val="767070"/>
          <w:sz w:val="22"/>
        </w:rPr>
        <w:t>21770315) born on 27. December 1998, Nabburg</w:t>
      </w:r>
    </w:p>
    <w:p>
      <w:pPr>
        <w:spacing w:before="16"/>
        <w:ind w:left="759" w:right="210" w:firstLine="0"/>
        <w:jc w:val="center"/>
        <w:rPr>
          <w:sz w:val="22"/>
        </w:rPr>
      </w:pPr>
      <w:r>
        <w:rPr>
          <w:color w:val="767070"/>
          <w:spacing w:val="11"/>
          <w:sz w:val="22"/>
        </w:rPr>
        <w:t>prepared</w:t>
      </w:r>
      <w:r>
        <w:rPr>
          <w:color w:val="767070"/>
          <w:spacing w:val="34"/>
          <w:sz w:val="22"/>
        </w:rPr>
        <w:t> </w:t>
      </w:r>
      <w:r>
        <w:rPr>
          <w:color w:val="767070"/>
          <w:spacing w:val="-5"/>
          <w:sz w:val="22"/>
        </w:rPr>
        <w:t>at</w:t>
      </w:r>
    </w:p>
    <w:p>
      <w:pPr>
        <w:spacing w:line="400" w:lineRule="auto" w:before="135"/>
        <w:ind w:left="3275" w:right="2703" w:firstLine="0"/>
        <w:jc w:val="center"/>
        <w:rPr>
          <w:sz w:val="22"/>
        </w:rPr>
      </w:pPr>
      <w:r>
        <w:rPr>
          <w:color w:val="767070"/>
          <w:sz w:val="22"/>
        </w:rPr>
        <w:t>Albrecht-von-Haller-Institute</w:t>
      </w:r>
      <w:r>
        <w:rPr>
          <w:color w:val="767070"/>
          <w:spacing w:val="-14"/>
          <w:sz w:val="22"/>
        </w:rPr>
        <w:t> </w:t>
      </w:r>
      <w:r>
        <w:rPr>
          <w:color w:val="767070"/>
          <w:sz w:val="22"/>
        </w:rPr>
        <w:t>for</w:t>
      </w:r>
      <w:r>
        <w:rPr>
          <w:color w:val="767070"/>
          <w:spacing w:val="-14"/>
          <w:sz w:val="22"/>
        </w:rPr>
        <w:t> </w:t>
      </w:r>
      <w:r>
        <w:rPr>
          <w:color w:val="767070"/>
          <w:sz w:val="22"/>
        </w:rPr>
        <w:t>plant</w:t>
      </w:r>
      <w:r>
        <w:rPr>
          <w:color w:val="767070"/>
          <w:spacing w:val="-10"/>
          <w:sz w:val="22"/>
        </w:rPr>
        <w:t> </w:t>
      </w:r>
      <w:r>
        <w:rPr>
          <w:color w:val="767070"/>
          <w:sz w:val="22"/>
        </w:rPr>
        <w:t>science at the faculty of Biology and Psychology</w:t>
      </w:r>
    </w:p>
    <w:p>
      <w:pPr>
        <w:pStyle w:val="BodyText"/>
        <w:spacing w:before="184"/>
        <w:ind w:left="0"/>
        <w:jc w:val="left"/>
        <w:rPr>
          <w:sz w:val="22"/>
        </w:rPr>
      </w:pPr>
    </w:p>
    <w:p>
      <w:pPr>
        <w:spacing w:line="400" w:lineRule="auto" w:before="0"/>
        <w:ind w:left="3283" w:right="2668" w:firstLine="624"/>
        <w:jc w:val="left"/>
        <w:rPr>
          <w:sz w:val="22"/>
        </w:rPr>
      </w:pPr>
      <w:r>
        <w:rPr>
          <w:color w:val="767070"/>
          <w:sz w:val="22"/>
        </w:rPr>
        <w:t>First reviewer: Dr. Jürgen Homeier Second</w:t>
      </w:r>
      <w:r>
        <w:rPr>
          <w:color w:val="767070"/>
          <w:spacing w:val="-6"/>
          <w:sz w:val="22"/>
        </w:rPr>
        <w:t> </w:t>
      </w:r>
      <w:r>
        <w:rPr>
          <w:color w:val="767070"/>
          <w:sz w:val="22"/>
        </w:rPr>
        <w:t>reviewer:</w:t>
      </w:r>
      <w:r>
        <w:rPr>
          <w:color w:val="767070"/>
          <w:spacing w:val="-8"/>
          <w:sz w:val="22"/>
        </w:rPr>
        <w:t> </w:t>
      </w:r>
      <w:r>
        <w:rPr>
          <w:color w:val="767070"/>
          <w:sz w:val="22"/>
        </w:rPr>
        <w:t>Prof.</w:t>
      </w:r>
      <w:r>
        <w:rPr>
          <w:color w:val="767070"/>
          <w:spacing w:val="-8"/>
          <w:sz w:val="22"/>
        </w:rPr>
        <w:t> </w:t>
      </w:r>
      <w:r>
        <w:rPr>
          <w:color w:val="767070"/>
          <w:sz w:val="22"/>
        </w:rPr>
        <w:t>Dr.</w:t>
      </w:r>
      <w:r>
        <w:rPr>
          <w:color w:val="767070"/>
          <w:spacing w:val="-6"/>
          <w:sz w:val="22"/>
        </w:rPr>
        <w:t> </w:t>
      </w:r>
      <w:r>
        <w:rPr>
          <w:color w:val="767070"/>
          <w:sz w:val="22"/>
        </w:rPr>
        <w:t>Christoph</w:t>
      </w:r>
      <w:r>
        <w:rPr>
          <w:color w:val="767070"/>
          <w:spacing w:val="-7"/>
          <w:sz w:val="22"/>
        </w:rPr>
        <w:t> </w:t>
      </w:r>
      <w:r>
        <w:rPr>
          <w:color w:val="767070"/>
          <w:sz w:val="22"/>
        </w:rPr>
        <w:t>Leuschner</w:t>
      </w:r>
    </w:p>
    <w:p>
      <w:pPr>
        <w:pStyle w:val="BodyText"/>
        <w:spacing w:before="183"/>
        <w:ind w:left="0"/>
        <w:jc w:val="left"/>
        <w:rPr>
          <w:sz w:val="22"/>
        </w:rPr>
      </w:pPr>
    </w:p>
    <w:p>
      <w:pPr>
        <w:spacing w:before="0"/>
        <w:ind w:left="759" w:right="187" w:firstLine="0"/>
        <w:jc w:val="center"/>
        <w:rPr>
          <w:sz w:val="22"/>
        </w:rPr>
      </w:pPr>
      <w:r>
        <w:rPr>
          <w:color w:val="767070"/>
          <w:spacing w:val="-2"/>
          <w:sz w:val="22"/>
        </w:rPr>
        <w:t>22.08.2021</w:t>
      </w:r>
    </w:p>
    <w:p>
      <w:pPr>
        <w:spacing w:after="0"/>
        <w:jc w:val="center"/>
        <w:rPr>
          <w:sz w:val="22"/>
        </w:rPr>
        <w:sectPr>
          <w:pgSz w:w="12240" w:h="15840"/>
          <w:pgMar w:top="1300" w:bottom="280" w:left="850" w:right="850"/>
        </w:sectPr>
      </w:pPr>
    </w:p>
    <w:p>
      <w:pPr>
        <w:spacing w:before="17"/>
        <w:ind w:left="157" w:right="0" w:firstLine="0"/>
        <w:jc w:val="left"/>
        <w:rPr>
          <w:rFonts w:ascii="Calibri Light"/>
          <w:sz w:val="32"/>
        </w:rPr>
      </w:pPr>
      <w:r>
        <w:rPr>
          <w:rFonts w:ascii="Calibri Light"/>
          <w:color w:val="2E5395"/>
          <w:sz w:val="32"/>
        </w:rPr>
        <w:t>Table</w:t>
      </w:r>
      <w:r>
        <w:rPr>
          <w:rFonts w:ascii="Calibri Light"/>
          <w:color w:val="2E5395"/>
          <w:spacing w:val="-4"/>
          <w:sz w:val="32"/>
        </w:rPr>
        <w:t> </w:t>
      </w:r>
      <w:r>
        <w:rPr>
          <w:rFonts w:ascii="Calibri Light"/>
          <w:color w:val="2E5395"/>
          <w:sz w:val="32"/>
        </w:rPr>
        <w:t>of</w:t>
      </w:r>
      <w:r>
        <w:rPr>
          <w:rFonts w:ascii="Calibri Light"/>
          <w:color w:val="2E5395"/>
          <w:spacing w:val="-6"/>
          <w:sz w:val="32"/>
        </w:rPr>
        <w:t> </w:t>
      </w:r>
      <w:r>
        <w:rPr>
          <w:rFonts w:ascii="Calibri Light"/>
          <w:color w:val="2E5395"/>
          <w:spacing w:val="-2"/>
          <w:sz w:val="32"/>
        </w:rPr>
        <w:t>Contents</w:t>
      </w:r>
    </w:p>
    <w:sdt>
      <w:sdtPr>
        <w:docPartObj>
          <w:docPartGallery w:val="Table of Contents"/>
          <w:docPartUnique/>
        </w:docPartObj>
      </w:sdtPr>
      <w:sdtEndPr/>
      <w:sdtContent>
        <w:p>
          <w:pPr>
            <w:pStyle w:val="TOC1"/>
            <w:tabs>
              <w:tab w:pos="9511" w:val="right" w:leader="dot"/>
            </w:tabs>
            <w:spacing w:before="195"/>
          </w:pPr>
          <w:hyperlink w:history="true" w:anchor="_bookmark0">
            <w:r>
              <w:rPr>
                <w:spacing w:val="-2"/>
              </w:rPr>
              <w:t>Abstract</w:t>
            </w:r>
            <w:r>
              <w:rPr/>
              <w:tab/>
            </w:r>
            <w:r>
              <w:rPr>
                <w:spacing w:val="-10"/>
              </w:rPr>
              <w:t>2</w:t>
            </w:r>
          </w:hyperlink>
        </w:p>
        <w:p>
          <w:pPr>
            <w:pStyle w:val="TOC1"/>
            <w:tabs>
              <w:tab w:pos="9510" w:val="right" w:leader="dot"/>
            </w:tabs>
          </w:pPr>
          <w:hyperlink w:history="true" w:anchor="_bookmark1">
            <w:r>
              <w:rPr>
                <w:spacing w:val="-2"/>
              </w:rPr>
              <w:t>Introduction</w:t>
            </w:r>
            <w:r>
              <w:rPr/>
              <w:tab/>
            </w:r>
            <w:r>
              <w:rPr>
                <w:spacing w:val="-10"/>
              </w:rPr>
              <w:t>3</w:t>
            </w:r>
          </w:hyperlink>
        </w:p>
        <w:p>
          <w:pPr>
            <w:pStyle w:val="TOC2"/>
            <w:tabs>
              <w:tab w:pos="10374" w:val="right" w:leader="dot"/>
            </w:tabs>
          </w:pPr>
          <w:hyperlink w:history="true" w:anchor="_bookmark2">
            <w:r>
              <w:rPr/>
              <w:t>Tropical</w:t>
            </w:r>
            <w:r>
              <w:rPr>
                <w:spacing w:val="-5"/>
              </w:rPr>
              <w:t> </w:t>
            </w:r>
            <w:r>
              <w:rPr/>
              <w:t>Montane</w:t>
            </w:r>
            <w:r>
              <w:rPr>
                <w:spacing w:val="-6"/>
              </w:rPr>
              <w:t> </w:t>
            </w:r>
            <w:r>
              <w:rPr>
                <w:spacing w:val="-2"/>
              </w:rPr>
              <w:t>Forest</w:t>
            </w:r>
            <w:r>
              <w:rPr/>
              <w:tab/>
            </w:r>
            <w:r>
              <w:rPr>
                <w:spacing w:val="-10"/>
              </w:rPr>
              <w:t>3</w:t>
            </w:r>
          </w:hyperlink>
        </w:p>
        <w:p>
          <w:pPr>
            <w:pStyle w:val="TOC2"/>
            <w:tabs>
              <w:tab w:pos="10374" w:val="right" w:leader="dot"/>
            </w:tabs>
            <w:spacing w:before="133"/>
          </w:pPr>
          <w:hyperlink w:history="true" w:anchor="_bookmark3">
            <w:r>
              <w:rPr/>
              <w:t>Nutrient</w:t>
            </w:r>
            <w:r>
              <w:rPr>
                <w:spacing w:val="-2"/>
              </w:rPr>
              <w:t> </w:t>
            </w:r>
            <w:r>
              <w:rPr/>
              <w:t>Entry</w:t>
            </w:r>
            <w:r>
              <w:rPr>
                <w:spacing w:val="-4"/>
              </w:rPr>
              <w:t> </w:t>
            </w:r>
            <w:r>
              <w:rPr/>
              <w:t>and</w:t>
            </w:r>
            <w:r>
              <w:rPr>
                <w:spacing w:val="-2"/>
              </w:rPr>
              <w:t> Limitations</w:t>
            </w:r>
            <w:r>
              <w:rPr/>
              <w:tab/>
            </w:r>
            <w:r>
              <w:rPr>
                <w:spacing w:val="-10"/>
              </w:rPr>
              <w:t>4</w:t>
            </w:r>
          </w:hyperlink>
        </w:p>
        <w:p>
          <w:pPr>
            <w:pStyle w:val="TOC2"/>
            <w:tabs>
              <w:tab w:pos="10374" w:val="right" w:leader="dot"/>
            </w:tabs>
          </w:pPr>
          <w:hyperlink w:history="true" w:anchor="_bookmark4">
            <w:r>
              <w:rPr/>
              <w:t>NuMEx</w:t>
            </w:r>
            <w:r>
              <w:rPr>
                <w:spacing w:val="-5"/>
              </w:rPr>
              <w:t> </w:t>
            </w:r>
            <w:r>
              <w:rPr>
                <w:spacing w:val="-2"/>
              </w:rPr>
              <w:t>Project</w:t>
            </w:r>
            <w:r>
              <w:rPr/>
              <w:tab/>
            </w:r>
            <w:r>
              <w:rPr>
                <w:spacing w:val="-10"/>
              </w:rPr>
              <w:t>6</w:t>
            </w:r>
          </w:hyperlink>
        </w:p>
        <w:p>
          <w:pPr>
            <w:pStyle w:val="TOC1"/>
            <w:tabs>
              <w:tab w:pos="9510" w:val="right" w:leader="dot"/>
            </w:tabs>
          </w:pPr>
          <w:hyperlink w:history="true" w:anchor="_bookmark5">
            <w:r>
              <w:rPr/>
              <w:t>Materials</w:t>
            </w:r>
            <w:r>
              <w:rPr>
                <w:spacing w:val="-4"/>
              </w:rPr>
              <w:t> </w:t>
            </w:r>
            <w:r>
              <w:rPr/>
              <w:t>and</w:t>
            </w:r>
            <w:r>
              <w:rPr>
                <w:spacing w:val="-2"/>
              </w:rPr>
              <w:t> Methods</w:t>
            </w:r>
            <w:r>
              <w:rPr/>
              <w:tab/>
            </w:r>
            <w:r>
              <w:rPr>
                <w:spacing w:val="-10"/>
              </w:rPr>
              <w:t>9</w:t>
            </w:r>
          </w:hyperlink>
        </w:p>
        <w:p>
          <w:pPr>
            <w:pStyle w:val="TOC2"/>
            <w:tabs>
              <w:tab w:pos="10375" w:val="right" w:leader="dot"/>
            </w:tabs>
          </w:pPr>
          <w:hyperlink w:history="true" w:anchor="_bookmark6">
            <w:r>
              <w:rPr/>
              <w:t>Study</w:t>
            </w:r>
            <w:r>
              <w:rPr>
                <w:spacing w:val="-2"/>
              </w:rPr>
              <w:t> </w:t>
            </w:r>
            <w:r>
              <w:rPr>
                <w:spacing w:val="-4"/>
              </w:rPr>
              <w:t>Area</w:t>
            </w:r>
            <w:r>
              <w:rPr/>
              <w:tab/>
            </w:r>
            <w:r>
              <w:rPr>
                <w:spacing w:val="-10"/>
              </w:rPr>
              <w:t>9</w:t>
            </w:r>
          </w:hyperlink>
        </w:p>
        <w:p>
          <w:pPr>
            <w:pStyle w:val="TOC3"/>
            <w:tabs>
              <w:tab w:pos="10377" w:val="right" w:leader="dot"/>
            </w:tabs>
            <w:spacing w:before="135"/>
          </w:pPr>
          <w:hyperlink w:history="true" w:anchor="_bookmark7">
            <w:r>
              <w:rPr/>
              <w:t>Bombuscaro,</w:t>
            </w:r>
            <w:r>
              <w:rPr>
                <w:spacing w:val="-7"/>
              </w:rPr>
              <w:t> </w:t>
            </w:r>
            <w:r>
              <w:rPr/>
              <w:t>1000m</w:t>
            </w:r>
            <w:r>
              <w:rPr>
                <w:spacing w:val="-4"/>
              </w:rPr>
              <w:t> </w:t>
            </w:r>
            <w:r>
              <w:rPr/>
              <w:t>asl</w:t>
            </w:r>
            <w:r>
              <w:rPr>
                <w:spacing w:val="-4"/>
              </w:rPr>
              <w:t> site</w:t>
            </w:r>
            <w:r>
              <w:rPr/>
              <w:tab/>
            </w:r>
            <w:r>
              <w:rPr>
                <w:spacing w:val="-5"/>
              </w:rPr>
              <w:t>11</w:t>
            </w:r>
          </w:hyperlink>
        </w:p>
        <w:p>
          <w:pPr>
            <w:pStyle w:val="TOC3"/>
            <w:tabs>
              <w:tab w:pos="10376" w:val="right" w:leader="dot"/>
            </w:tabs>
            <w:spacing w:before="234"/>
          </w:pPr>
          <w:hyperlink w:history="true" w:anchor="_bookmark8">
            <w:r>
              <w:rPr/>
              <w:t>San</w:t>
            </w:r>
            <w:r>
              <w:rPr>
                <w:spacing w:val="-4"/>
              </w:rPr>
              <w:t> </w:t>
            </w:r>
            <w:r>
              <w:rPr/>
              <w:t>Francisco,</w:t>
            </w:r>
            <w:r>
              <w:rPr>
                <w:spacing w:val="-6"/>
              </w:rPr>
              <w:t> </w:t>
            </w:r>
            <w:r>
              <w:rPr/>
              <w:t>2000m</w:t>
            </w:r>
            <w:r>
              <w:rPr>
                <w:spacing w:val="-4"/>
              </w:rPr>
              <w:t> </w:t>
            </w:r>
            <w:r>
              <w:rPr/>
              <w:t>asl</w:t>
            </w:r>
            <w:r>
              <w:rPr>
                <w:spacing w:val="-5"/>
              </w:rPr>
              <w:t> </w:t>
            </w:r>
            <w:r>
              <w:rPr>
                <w:spacing w:val="-4"/>
              </w:rPr>
              <w:t>site</w:t>
            </w:r>
            <w:r>
              <w:rPr/>
              <w:tab/>
            </w:r>
            <w:r>
              <w:rPr>
                <w:spacing w:val="-5"/>
              </w:rPr>
              <w:t>12</w:t>
            </w:r>
          </w:hyperlink>
        </w:p>
        <w:p>
          <w:pPr>
            <w:pStyle w:val="TOC3"/>
            <w:tabs>
              <w:tab w:pos="10376" w:val="right" w:leader="dot"/>
            </w:tabs>
            <w:spacing w:before="235"/>
          </w:pPr>
          <w:hyperlink w:history="true" w:anchor="_bookmark9">
            <w:r>
              <w:rPr/>
              <w:t>Cajanuma,</w:t>
            </w:r>
            <w:r>
              <w:rPr>
                <w:spacing w:val="-4"/>
              </w:rPr>
              <w:t> </w:t>
            </w:r>
            <w:r>
              <w:rPr/>
              <w:t>3000m</w:t>
            </w:r>
            <w:r>
              <w:rPr>
                <w:spacing w:val="-5"/>
              </w:rPr>
              <w:t> </w:t>
            </w:r>
            <w:r>
              <w:rPr/>
              <w:t>asl</w:t>
            </w:r>
            <w:r>
              <w:rPr>
                <w:spacing w:val="-4"/>
              </w:rPr>
              <w:t> site</w:t>
            </w:r>
            <w:r>
              <w:rPr/>
              <w:tab/>
            </w:r>
            <w:r>
              <w:rPr>
                <w:spacing w:val="-5"/>
              </w:rPr>
              <w:t>12</w:t>
            </w:r>
          </w:hyperlink>
        </w:p>
        <w:p>
          <w:pPr>
            <w:pStyle w:val="TOC2"/>
            <w:tabs>
              <w:tab w:pos="10375" w:val="right" w:leader="dot"/>
            </w:tabs>
            <w:spacing w:before="233"/>
          </w:pPr>
          <w:hyperlink w:history="true" w:anchor="_bookmark10">
            <w:r>
              <w:rPr/>
              <w:t>Nutrient</w:t>
            </w:r>
            <w:r>
              <w:rPr>
                <w:spacing w:val="-5"/>
              </w:rPr>
              <w:t> </w:t>
            </w:r>
            <w:r>
              <w:rPr/>
              <w:t>Addition</w:t>
            </w:r>
            <w:r>
              <w:rPr>
                <w:spacing w:val="-4"/>
              </w:rPr>
              <w:t> </w:t>
            </w:r>
            <w:r>
              <w:rPr/>
              <w:t>Experiment</w:t>
            </w:r>
            <w:r>
              <w:rPr>
                <w:spacing w:val="-5"/>
              </w:rPr>
              <w:t> </w:t>
            </w:r>
            <w:r>
              <w:rPr/>
              <w:t>and</w:t>
            </w:r>
            <w:r>
              <w:rPr>
                <w:spacing w:val="-5"/>
              </w:rPr>
              <w:t> </w:t>
            </w:r>
            <w:r>
              <w:rPr/>
              <w:t>Plot</w:t>
            </w:r>
            <w:r>
              <w:rPr>
                <w:spacing w:val="-4"/>
              </w:rPr>
              <w:t> Setup</w:t>
            </w:r>
            <w:r>
              <w:rPr/>
              <w:tab/>
            </w:r>
            <w:r>
              <w:rPr>
                <w:spacing w:val="-5"/>
              </w:rPr>
              <w:t>13</w:t>
            </w:r>
          </w:hyperlink>
        </w:p>
        <w:p>
          <w:pPr>
            <w:pStyle w:val="TOC2"/>
            <w:tabs>
              <w:tab w:pos="10377" w:val="right" w:leader="dot"/>
            </w:tabs>
            <w:spacing w:before="135"/>
          </w:pPr>
          <w:hyperlink w:history="true" w:anchor="_bookmark11">
            <w:r>
              <w:rPr/>
              <w:t>Functional</w:t>
            </w:r>
            <w:r>
              <w:rPr>
                <w:spacing w:val="-5"/>
              </w:rPr>
              <w:t> </w:t>
            </w:r>
            <w:r>
              <w:rPr>
                <w:spacing w:val="-2"/>
              </w:rPr>
              <w:t>Traits</w:t>
            </w:r>
            <w:r>
              <w:rPr/>
              <w:tab/>
            </w:r>
            <w:r>
              <w:rPr>
                <w:spacing w:val="-5"/>
              </w:rPr>
              <w:t>15</w:t>
            </w:r>
          </w:hyperlink>
        </w:p>
        <w:p>
          <w:pPr>
            <w:pStyle w:val="TOC2"/>
            <w:tabs>
              <w:tab w:pos="10377" w:val="right" w:leader="dot"/>
            </w:tabs>
            <w:spacing w:before="135"/>
          </w:pPr>
          <w:hyperlink w:history="true" w:anchor="_bookmark12">
            <w:r>
              <w:rPr/>
              <w:t>Statistical</w:t>
            </w:r>
            <w:r>
              <w:rPr>
                <w:spacing w:val="-4"/>
              </w:rPr>
              <w:t> </w:t>
            </w:r>
            <w:r>
              <w:rPr>
                <w:spacing w:val="-2"/>
              </w:rPr>
              <w:t>Analysis</w:t>
            </w:r>
            <w:r>
              <w:rPr/>
              <w:tab/>
            </w:r>
            <w:r>
              <w:rPr>
                <w:spacing w:val="-5"/>
              </w:rPr>
              <w:t>15</w:t>
            </w:r>
          </w:hyperlink>
        </w:p>
        <w:p>
          <w:pPr>
            <w:pStyle w:val="TOC3"/>
            <w:tabs>
              <w:tab w:pos="10377" w:val="right" w:leader="dot"/>
            </w:tabs>
          </w:pPr>
          <w:hyperlink w:history="true" w:anchor="_bookmark13">
            <w:r>
              <w:rPr/>
              <w:t>Functional</w:t>
            </w:r>
            <w:r>
              <w:rPr>
                <w:spacing w:val="-5"/>
              </w:rPr>
              <w:t> </w:t>
            </w:r>
            <w:r>
              <w:rPr/>
              <w:t>Trait</w:t>
            </w:r>
            <w:r>
              <w:rPr>
                <w:spacing w:val="-3"/>
              </w:rPr>
              <w:t> </w:t>
            </w:r>
            <w:r>
              <w:rPr/>
              <w:t>Analysis</w:t>
            </w:r>
            <w:r>
              <w:rPr>
                <w:spacing w:val="-8"/>
              </w:rPr>
              <w:t> </w:t>
            </w:r>
            <w:r>
              <w:rPr/>
              <w:t>at</w:t>
            </w:r>
            <w:r>
              <w:rPr>
                <w:spacing w:val="-5"/>
              </w:rPr>
              <w:t> </w:t>
            </w:r>
            <w:r>
              <w:rPr/>
              <w:t>the</w:t>
            </w:r>
            <w:r>
              <w:rPr>
                <w:spacing w:val="-4"/>
              </w:rPr>
              <w:t> </w:t>
            </w:r>
            <w:r>
              <w:rPr/>
              <w:t>Community</w:t>
            </w:r>
            <w:r>
              <w:rPr>
                <w:spacing w:val="-6"/>
              </w:rPr>
              <w:t> </w:t>
            </w:r>
            <w:r>
              <w:rPr/>
              <w:t>Scale</w:t>
            </w:r>
            <w:r>
              <w:rPr>
                <w:spacing w:val="-4"/>
              </w:rPr>
              <w:t> </w:t>
            </w:r>
            <w:r>
              <w:rPr/>
              <w:t>and</w:t>
            </w:r>
            <w:r>
              <w:rPr>
                <w:spacing w:val="-4"/>
              </w:rPr>
              <w:t> </w:t>
            </w:r>
            <w:r>
              <w:rPr/>
              <w:t>within</w:t>
            </w:r>
            <w:r>
              <w:rPr>
                <w:spacing w:val="-4"/>
              </w:rPr>
              <w:t> </w:t>
            </w:r>
            <w:r>
              <w:rPr/>
              <w:t>the</w:t>
            </w:r>
            <w:r>
              <w:rPr>
                <w:spacing w:val="-4"/>
              </w:rPr>
              <w:t> </w:t>
            </w:r>
            <w:r>
              <w:rPr/>
              <w:t>Experimental</w:t>
            </w:r>
            <w:r>
              <w:rPr>
                <w:spacing w:val="-7"/>
              </w:rPr>
              <w:t> </w:t>
            </w:r>
            <w:r>
              <w:rPr>
                <w:spacing w:val="-2"/>
              </w:rPr>
              <w:t>Plots</w:t>
            </w:r>
            <w:r>
              <w:rPr/>
              <w:tab/>
            </w:r>
            <w:r>
              <w:rPr>
                <w:spacing w:val="-5"/>
              </w:rPr>
              <w:t>15</w:t>
            </w:r>
          </w:hyperlink>
        </w:p>
        <w:p>
          <w:pPr>
            <w:pStyle w:val="TOC3"/>
            <w:tabs>
              <w:tab w:pos="10375" w:val="right" w:leader="dot"/>
            </w:tabs>
            <w:spacing w:before="233"/>
          </w:pPr>
          <w:hyperlink w:history="true" w:anchor="_bookmark14">
            <w:r>
              <w:rPr/>
              <w:t>Modelling</w:t>
            </w:r>
            <w:r>
              <w:rPr>
                <w:spacing w:val="-6"/>
              </w:rPr>
              <w:t> </w:t>
            </w:r>
            <w:r>
              <w:rPr/>
              <w:t>of</w:t>
            </w:r>
            <w:r>
              <w:rPr>
                <w:spacing w:val="-4"/>
              </w:rPr>
              <w:t> </w:t>
            </w:r>
            <w:r>
              <w:rPr/>
              <w:t>Tree</w:t>
            </w:r>
            <w:r>
              <w:rPr>
                <w:spacing w:val="-6"/>
              </w:rPr>
              <w:t> </w:t>
            </w:r>
            <w:r>
              <w:rPr>
                <w:spacing w:val="-2"/>
              </w:rPr>
              <w:t>Growth</w:t>
            </w:r>
            <w:r>
              <w:rPr/>
              <w:tab/>
            </w:r>
            <w:r>
              <w:rPr>
                <w:spacing w:val="-5"/>
              </w:rPr>
              <w:t>19</w:t>
            </w:r>
          </w:hyperlink>
        </w:p>
        <w:p>
          <w:pPr>
            <w:pStyle w:val="TOC2"/>
            <w:tabs>
              <w:tab w:pos="10377" w:val="right" w:leader="dot"/>
            </w:tabs>
            <w:spacing w:before="236"/>
          </w:pPr>
          <w:hyperlink w:history="true" w:anchor="_bookmark15">
            <w:r>
              <w:rPr/>
              <w:t>Estimation</w:t>
            </w:r>
            <w:r>
              <w:rPr>
                <w:spacing w:val="-4"/>
              </w:rPr>
              <w:t> </w:t>
            </w:r>
            <w:r>
              <w:rPr/>
              <w:t>of</w:t>
            </w:r>
            <w:r>
              <w:rPr>
                <w:spacing w:val="-3"/>
              </w:rPr>
              <w:t> </w:t>
            </w:r>
            <w:r>
              <w:rPr/>
              <w:t>Forest</w:t>
            </w:r>
            <w:r>
              <w:rPr>
                <w:spacing w:val="-6"/>
              </w:rPr>
              <w:t> </w:t>
            </w:r>
            <w:r>
              <w:rPr/>
              <w:t>Productivity</w:t>
            </w:r>
            <w:r>
              <w:rPr>
                <w:spacing w:val="-6"/>
              </w:rPr>
              <w:t> </w:t>
            </w:r>
            <w:r>
              <w:rPr/>
              <w:t>per</w:t>
            </w:r>
            <w:r>
              <w:rPr>
                <w:spacing w:val="-7"/>
              </w:rPr>
              <w:t> </w:t>
            </w:r>
            <w:r>
              <w:rPr>
                <w:spacing w:val="-4"/>
              </w:rPr>
              <w:t>Plot</w:t>
            </w:r>
            <w:r>
              <w:rPr/>
              <w:tab/>
            </w:r>
            <w:r>
              <w:rPr>
                <w:spacing w:val="-7"/>
              </w:rPr>
              <w:t>21</w:t>
            </w:r>
          </w:hyperlink>
        </w:p>
        <w:p>
          <w:pPr>
            <w:pStyle w:val="TOC1"/>
            <w:tabs>
              <w:tab w:pos="9512" w:val="right" w:leader="dot"/>
            </w:tabs>
          </w:pPr>
          <w:hyperlink w:history="true" w:anchor="_bookmark16">
            <w:r>
              <w:rPr>
                <w:spacing w:val="-2"/>
              </w:rPr>
              <w:t>Results</w:t>
            </w:r>
            <w:r>
              <w:rPr/>
              <w:tab/>
            </w:r>
            <w:r>
              <w:rPr>
                <w:spacing w:val="-5"/>
              </w:rPr>
              <w:t>22</w:t>
            </w:r>
          </w:hyperlink>
        </w:p>
        <w:p>
          <w:pPr>
            <w:pStyle w:val="TOC2"/>
            <w:tabs>
              <w:tab w:pos="10377" w:val="right" w:leader="dot"/>
            </w:tabs>
          </w:pPr>
          <w:hyperlink w:history="true" w:anchor="_bookmark17">
            <w:r>
              <w:rPr/>
              <w:t>Trait</w:t>
            </w:r>
            <w:r>
              <w:rPr>
                <w:spacing w:val="-5"/>
              </w:rPr>
              <w:t> </w:t>
            </w:r>
            <w:r>
              <w:rPr/>
              <w:t>Composition</w:t>
            </w:r>
            <w:r>
              <w:rPr>
                <w:spacing w:val="-3"/>
              </w:rPr>
              <w:t> </w:t>
            </w:r>
            <w:r>
              <w:rPr/>
              <w:t>and</w:t>
            </w:r>
            <w:r>
              <w:rPr>
                <w:spacing w:val="-7"/>
              </w:rPr>
              <w:t> </w:t>
            </w:r>
            <w:r>
              <w:rPr/>
              <w:t>Variation</w:t>
            </w:r>
            <w:r>
              <w:rPr>
                <w:spacing w:val="-3"/>
              </w:rPr>
              <w:t> </w:t>
            </w:r>
            <w:r>
              <w:rPr/>
              <w:t>along</w:t>
            </w:r>
            <w:r>
              <w:rPr>
                <w:spacing w:val="-4"/>
              </w:rPr>
              <w:t> </w:t>
            </w:r>
            <w:r>
              <w:rPr/>
              <w:t>and</w:t>
            </w:r>
            <w:r>
              <w:rPr>
                <w:spacing w:val="-3"/>
              </w:rPr>
              <w:t> </w:t>
            </w:r>
            <w:r>
              <w:rPr/>
              <w:t>inside</w:t>
            </w:r>
            <w:r>
              <w:rPr>
                <w:spacing w:val="-7"/>
              </w:rPr>
              <w:t> </w:t>
            </w:r>
            <w:r>
              <w:rPr/>
              <w:t>the</w:t>
            </w:r>
            <w:r>
              <w:rPr>
                <w:spacing w:val="-4"/>
              </w:rPr>
              <w:t> </w:t>
            </w:r>
            <w:r>
              <w:rPr/>
              <w:t>Elevation</w:t>
            </w:r>
            <w:r>
              <w:rPr>
                <w:spacing w:val="-5"/>
              </w:rPr>
              <w:t> </w:t>
            </w:r>
            <w:r>
              <w:rPr>
                <w:spacing w:val="-2"/>
              </w:rPr>
              <w:t>Gradient</w:t>
            </w:r>
            <w:r>
              <w:rPr/>
              <w:tab/>
            </w:r>
            <w:r>
              <w:rPr>
                <w:spacing w:val="-5"/>
              </w:rPr>
              <w:t>22</w:t>
            </w:r>
          </w:hyperlink>
        </w:p>
        <w:p>
          <w:pPr>
            <w:pStyle w:val="TOC2"/>
            <w:tabs>
              <w:tab w:pos="10378" w:val="right" w:leader="dot"/>
            </w:tabs>
            <w:spacing w:before="135"/>
          </w:pPr>
          <w:hyperlink w:history="true" w:anchor="_bookmark18">
            <w:r>
              <w:rPr/>
              <w:t>Trait-based</w:t>
            </w:r>
            <w:r>
              <w:rPr>
                <w:spacing w:val="-3"/>
              </w:rPr>
              <w:t> </w:t>
            </w:r>
            <w:r>
              <w:rPr/>
              <w:t>Responses</w:t>
            </w:r>
            <w:r>
              <w:rPr>
                <w:spacing w:val="-6"/>
              </w:rPr>
              <w:t> </w:t>
            </w:r>
            <w:r>
              <w:rPr/>
              <w:t>to</w:t>
            </w:r>
            <w:r>
              <w:rPr>
                <w:spacing w:val="-5"/>
              </w:rPr>
              <w:t> </w:t>
            </w:r>
            <w:r>
              <w:rPr/>
              <w:t>Nutrient</w:t>
            </w:r>
            <w:r>
              <w:rPr>
                <w:spacing w:val="-1"/>
              </w:rPr>
              <w:t> </w:t>
            </w:r>
            <w:r>
              <w:rPr>
                <w:spacing w:val="-2"/>
              </w:rPr>
              <w:t>Addition</w:t>
            </w:r>
            <w:r>
              <w:rPr/>
              <w:tab/>
            </w:r>
            <w:r>
              <w:rPr>
                <w:spacing w:val="-5"/>
              </w:rPr>
              <w:t>24</w:t>
            </w:r>
          </w:hyperlink>
        </w:p>
        <w:p>
          <w:pPr>
            <w:pStyle w:val="TOC2"/>
            <w:tabs>
              <w:tab w:pos="10378" w:val="right" w:leader="dot"/>
            </w:tabs>
            <w:spacing w:before="132"/>
          </w:pPr>
          <w:hyperlink w:history="true" w:anchor="_bookmark19">
            <w:r>
              <w:rPr/>
              <w:t>Species</w:t>
            </w:r>
            <w:r>
              <w:rPr>
                <w:spacing w:val="-5"/>
              </w:rPr>
              <w:t> </w:t>
            </w:r>
            <w:r>
              <w:rPr/>
              <w:t>Responses</w:t>
            </w:r>
            <w:r>
              <w:rPr>
                <w:spacing w:val="-4"/>
              </w:rPr>
              <w:t> </w:t>
            </w:r>
            <w:r>
              <w:rPr/>
              <w:t>to</w:t>
            </w:r>
            <w:r>
              <w:rPr>
                <w:spacing w:val="-4"/>
              </w:rPr>
              <w:t> </w:t>
            </w:r>
            <w:r>
              <w:rPr/>
              <w:t>Nutrient</w:t>
            </w:r>
            <w:r>
              <w:rPr>
                <w:spacing w:val="-2"/>
              </w:rPr>
              <w:t> Addition</w:t>
            </w:r>
            <w:r>
              <w:rPr/>
              <w:tab/>
            </w:r>
            <w:r>
              <w:rPr>
                <w:spacing w:val="-5"/>
              </w:rPr>
              <w:t>29</w:t>
            </w:r>
          </w:hyperlink>
        </w:p>
        <w:p>
          <w:pPr>
            <w:pStyle w:val="TOC2"/>
            <w:tabs>
              <w:tab w:pos="10375" w:val="right" w:leader="dot"/>
            </w:tabs>
            <w:spacing w:before="135"/>
          </w:pPr>
          <w:hyperlink w:history="true" w:anchor="_bookmark20">
            <w:r>
              <w:rPr/>
              <w:t>Response</w:t>
            </w:r>
            <w:r>
              <w:rPr>
                <w:spacing w:val="-6"/>
              </w:rPr>
              <w:t> </w:t>
            </w:r>
            <w:r>
              <w:rPr/>
              <w:t>of</w:t>
            </w:r>
            <w:r>
              <w:rPr>
                <w:spacing w:val="-2"/>
              </w:rPr>
              <w:t> </w:t>
            </w:r>
            <w:r>
              <w:rPr/>
              <w:t>basal</w:t>
            </w:r>
            <w:r>
              <w:rPr>
                <w:spacing w:val="-3"/>
              </w:rPr>
              <w:t> </w:t>
            </w:r>
            <w:r>
              <w:rPr/>
              <w:t>area</w:t>
            </w:r>
            <w:r>
              <w:rPr>
                <w:spacing w:val="-3"/>
              </w:rPr>
              <w:t> </w:t>
            </w:r>
            <w:r>
              <w:rPr/>
              <w:t>(BA)</w:t>
            </w:r>
            <w:r>
              <w:rPr>
                <w:spacing w:val="-3"/>
              </w:rPr>
              <w:t> </w:t>
            </w:r>
            <w:r>
              <w:rPr/>
              <w:t>as</w:t>
            </w:r>
            <w:r>
              <w:rPr>
                <w:spacing w:val="-3"/>
              </w:rPr>
              <w:t> </w:t>
            </w:r>
            <w:r>
              <w:rPr/>
              <w:t>an</w:t>
            </w:r>
            <w:r>
              <w:rPr>
                <w:spacing w:val="-3"/>
              </w:rPr>
              <w:t> </w:t>
            </w:r>
            <w:r>
              <w:rPr/>
              <w:t>ecosystem</w:t>
            </w:r>
            <w:r>
              <w:rPr>
                <w:spacing w:val="-5"/>
              </w:rPr>
              <w:t> </w:t>
            </w:r>
            <w:r>
              <w:rPr/>
              <w:t>proxy</w:t>
            </w:r>
            <w:r>
              <w:rPr>
                <w:spacing w:val="-6"/>
              </w:rPr>
              <w:t> </w:t>
            </w:r>
            <w:r>
              <w:rPr/>
              <w:t>to</w:t>
            </w:r>
            <w:r>
              <w:rPr>
                <w:spacing w:val="-5"/>
              </w:rPr>
              <w:t> </w:t>
            </w:r>
            <w:r>
              <w:rPr/>
              <w:t>nutrient</w:t>
            </w:r>
            <w:r>
              <w:rPr>
                <w:spacing w:val="-1"/>
              </w:rPr>
              <w:t> </w:t>
            </w:r>
            <w:r>
              <w:rPr>
                <w:spacing w:val="-2"/>
              </w:rPr>
              <w:t>addition</w:t>
            </w:r>
            <w:r>
              <w:rPr/>
              <w:tab/>
            </w:r>
            <w:r>
              <w:rPr>
                <w:spacing w:val="-5"/>
              </w:rPr>
              <w:t>32</w:t>
            </w:r>
          </w:hyperlink>
        </w:p>
        <w:p>
          <w:pPr>
            <w:pStyle w:val="TOC1"/>
            <w:tabs>
              <w:tab w:pos="9510" w:val="right" w:leader="dot"/>
            </w:tabs>
          </w:pPr>
          <w:hyperlink w:history="true" w:anchor="_bookmark21">
            <w:r>
              <w:rPr>
                <w:spacing w:val="-2"/>
              </w:rPr>
              <w:t>Discussion</w:t>
            </w:r>
            <w:r>
              <w:rPr/>
              <w:tab/>
            </w:r>
            <w:r>
              <w:rPr>
                <w:spacing w:val="-5"/>
              </w:rPr>
              <w:t>33</w:t>
            </w:r>
          </w:hyperlink>
        </w:p>
        <w:p>
          <w:pPr>
            <w:pStyle w:val="TOC2"/>
            <w:tabs>
              <w:tab w:pos="10374" w:val="right" w:leader="dot"/>
            </w:tabs>
          </w:pPr>
          <w:hyperlink w:history="true" w:anchor="_bookmark22">
            <w:r>
              <w:rPr/>
              <w:t>Implications</w:t>
            </w:r>
            <w:r>
              <w:rPr>
                <w:spacing w:val="-7"/>
              </w:rPr>
              <w:t> </w:t>
            </w:r>
            <w:r>
              <w:rPr/>
              <w:t>of</w:t>
            </w:r>
            <w:r>
              <w:rPr>
                <w:spacing w:val="-6"/>
              </w:rPr>
              <w:t> </w:t>
            </w:r>
            <w:r>
              <w:rPr/>
              <w:t>PC</w:t>
            </w:r>
            <w:r>
              <w:rPr>
                <w:spacing w:val="-3"/>
              </w:rPr>
              <w:t> </w:t>
            </w:r>
            <w:r>
              <w:rPr/>
              <w:t>Scores</w:t>
            </w:r>
            <w:r>
              <w:rPr>
                <w:spacing w:val="-8"/>
              </w:rPr>
              <w:t> </w:t>
            </w:r>
            <w:r>
              <w:rPr/>
              <w:t>between</w:t>
            </w:r>
            <w:r>
              <w:rPr>
                <w:spacing w:val="-5"/>
              </w:rPr>
              <w:t> </w:t>
            </w:r>
            <w:r>
              <w:rPr/>
              <w:t>Community</w:t>
            </w:r>
            <w:r>
              <w:rPr>
                <w:spacing w:val="-5"/>
              </w:rPr>
              <w:t> </w:t>
            </w:r>
            <w:r>
              <w:rPr/>
              <w:t>and</w:t>
            </w:r>
            <w:r>
              <w:rPr>
                <w:spacing w:val="-3"/>
              </w:rPr>
              <w:t> </w:t>
            </w:r>
            <w:r>
              <w:rPr>
                <w:spacing w:val="-2"/>
              </w:rPr>
              <w:t>NuMEx</w:t>
            </w:r>
            <w:r>
              <w:rPr/>
              <w:tab/>
            </w:r>
            <w:r>
              <w:rPr>
                <w:spacing w:val="-5"/>
              </w:rPr>
              <w:t>33</w:t>
            </w:r>
          </w:hyperlink>
        </w:p>
        <w:p>
          <w:pPr>
            <w:pStyle w:val="TOC2"/>
            <w:tabs>
              <w:tab w:pos="10374" w:val="right" w:leader="dot"/>
            </w:tabs>
            <w:spacing w:before="135"/>
          </w:pPr>
          <w:hyperlink w:history="true" w:anchor="_bookmark23">
            <w:r>
              <w:rPr/>
              <w:t>Influence</w:t>
            </w:r>
            <w:r>
              <w:rPr>
                <w:spacing w:val="-6"/>
              </w:rPr>
              <w:t> </w:t>
            </w:r>
            <w:r>
              <w:rPr/>
              <w:t>of</w:t>
            </w:r>
            <w:r>
              <w:rPr>
                <w:spacing w:val="-5"/>
              </w:rPr>
              <w:t> </w:t>
            </w:r>
            <w:r>
              <w:rPr/>
              <w:t>Nutrient</w:t>
            </w:r>
            <w:r>
              <w:rPr>
                <w:spacing w:val="-5"/>
              </w:rPr>
              <w:t> </w:t>
            </w:r>
            <w:r>
              <w:rPr/>
              <w:t>Treatment</w:t>
            </w:r>
            <w:r>
              <w:rPr>
                <w:spacing w:val="-5"/>
              </w:rPr>
              <w:t> </w:t>
            </w:r>
            <w:r>
              <w:rPr/>
              <w:t>on</w:t>
            </w:r>
            <w:r>
              <w:rPr>
                <w:spacing w:val="-4"/>
              </w:rPr>
              <w:t> </w:t>
            </w:r>
            <w:r>
              <w:rPr>
                <w:spacing w:val="-2"/>
              </w:rPr>
              <w:t>Growth</w:t>
            </w:r>
            <w:r>
              <w:rPr/>
              <w:tab/>
            </w:r>
            <w:r>
              <w:rPr>
                <w:spacing w:val="-5"/>
              </w:rPr>
              <w:t>34</w:t>
            </w:r>
          </w:hyperlink>
        </w:p>
        <w:p>
          <w:pPr>
            <w:pStyle w:val="TOC2"/>
            <w:tabs>
              <w:tab w:pos="10376" w:val="right" w:leader="dot"/>
            </w:tabs>
          </w:pPr>
          <w:hyperlink w:history="true" w:anchor="_bookmark24">
            <w:r>
              <w:rPr/>
              <w:t>Role</w:t>
            </w:r>
            <w:r>
              <w:rPr>
                <w:spacing w:val="-7"/>
              </w:rPr>
              <w:t> </w:t>
            </w:r>
            <w:r>
              <w:rPr/>
              <w:t>of</w:t>
            </w:r>
            <w:r>
              <w:rPr>
                <w:spacing w:val="-3"/>
              </w:rPr>
              <w:t> </w:t>
            </w:r>
            <w:r>
              <w:rPr/>
              <w:t>Nutrient</w:t>
            </w:r>
            <w:r>
              <w:rPr>
                <w:spacing w:val="-4"/>
              </w:rPr>
              <w:t> </w:t>
            </w:r>
            <w:r>
              <w:rPr/>
              <w:t>Strategies</w:t>
            </w:r>
            <w:r>
              <w:rPr>
                <w:spacing w:val="-5"/>
              </w:rPr>
              <w:t> </w:t>
            </w:r>
            <w:r>
              <w:rPr/>
              <w:t>explained</w:t>
            </w:r>
            <w:r>
              <w:rPr>
                <w:spacing w:val="-5"/>
              </w:rPr>
              <w:t> </w:t>
            </w:r>
            <w:r>
              <w:rPr/>
              <w:t>by</w:t>
            </w:r>
            <w:r>
              <w:rPr>
                <w:spacing w:val="-6"/>
              </w:rPr>
              <w:t> </w:t>
            </w:r>
            <w:r>
              <w:rPr/>
              <w:t>Functional</w:t>
            </w:r>
            <w:r>
              <w:rPr>
                <w:spacing w:val="-7"/>
              </w:rPr>
              <w:t> </w:t>
            </w:r>
            <w:r>
              <w:rPr/>
              <w:t>Traits</w:t>
            </w:r>
            <w:r>
              <w:rPr>
                <w:spacing w:val="-5"/>
              </w:rPr>
              <w:t> </w:t>
            </w:r>
            <w:r>
              <w:rPr/>
              <w:t>concerning</w:t>
            </w:r>
            <w:r>
              <w:rPr>
                <w:spacing w:val="-6"/>
              </w:rPr>
              <w:t> </w:t>
            </w:r>
            <w:r>
              <w:rPr/>
              <w:t>Growth</w:t>
            </w:r>
            <w:r>
              <w:rPr>
                <w:spacing w:val="-5"/>
              </w:rPr>
              <w:t> </w:t>
            </w:r>
            <w:r>
              <w:rPr>
                <w:spacing w:val="-2"/>
              </w:rPr>
              <w:t>Response</w:t>
            </w:r>
            <w:r>
              <w:rPr/>
              <w:tab/>
            </w:r>
            <w:r>
              <w:rPr>
                <w:spacing w:val="-5"/>
              </w:rPr>
              <w:t>36</w:t>
            </w:r>
          </w:hyperlink>
        </w:p>
        <w:p>
          <w:pPr>
            <w:pStyle w:val="TOC2"/>
            <w:tabs>
              <w:tab w:pos="10374" w:val="right" w:leader="dot"/>
            </w:tabs>
            <w:spacing w:before="133"/>
          </w:pPr>
          <w:hyperlink w:history="true" w:anchor="_bookmark25">
            <w:r>
              <w:rPr/>
              <w:t>Species-specific</w:t>
            </w:r>
            <w:r>
              <w:rPr>
                <w:spacing w:val="-6"/>
              </w:rPr>
              <w:t> </w:t>
            </w:r>
            <w:r>
              <w:rPr/>
              <w:t>Response</w:t>
            </w:r>
            <w:r>
              <w:rPr>
                <w:spacing w:val="-6"/>
              </w:rPr>
              <w:t> </w:t>
            </w:r>
            <w:r>
              <w:rPr/>
              <w:t>to</w:t>
            </w:r>
            <w:r>
              <w:rPr>
                <w:spacing w:val="-5"/>
              </w:rPr>
              <w:t> </w:t>
            </w:r>
            <w:r>
              <w:rPr/>
              <w:t>Nutrient</w:t>
            </w:r>
            <w:r>
              <w:rPr>
                <w:spacing w:val="-3"/>
              </w:rPr>
              <w:t> </w:t>
            </w:r>
            <w:r>
              <w:rPr/>
              <w:t>Addition</w:t>
            </w:r>
            <w:r>
              <w:rPr>
                <w:spacing w:val="-3"/>
              </w:rPr>
              <w:t> </w:t>
            </w:r>
            <w:r>
              <w:rPr/>
              <w:t>in</w:t>
            </w:r>
            <w:r>
              <w:rPr>
                <w:spacing w:val="-3"/>
              </w:rPr>
              <w:t> </w:t>
            </w:r>
            <w:r>
              <w:rPr/>
              <w:t>the</w:t>
            </w:r>
            <w:r>
              <w:rPr>
                <w:spacing w:val="-4"/>
              </w:rPr>
              <w:t> </w:t>
            </w:r>
            <w:r>
              <w:rPr/>
              <w:t>light</w:t>
            </w:r>
            <w:r>
              <w:rPr>
                <w:spacing w:val="-6"/>
              </w:rPr>
              <w:t> </w:t>
            </w:r>
            <w:r>
              <w:rPr/>
              <w:t>of</w:t>
            </w:r>
            <w:r>
              <w:rPr>
                <w:spacing w:val="-3"/>
              </w:rPr>
              <w:t> </w:t>
            </w:r>
            <w:r>
              <w:rPr/>
              <w:t>Resource</w:t>
            </w:r>
            <w:r>
              <w:rPr>
                <w:spacing w:val="-4"/>
              </w:rPr>
              <w:t> </w:t>
            </w:r>
            <w:r>
              <w:rPr>
                <w:spacing w:val="-2"/>
              </w:rPr>
              <w:t>Strategies</w:t>
            </w:r>
            <w:r>
              <w:rPr/>
              <w:tab/>
            </w:r>
            <w:r>
              <w:rPr>
                <w:spacing w:val="-5"/>
              </w:rPr>
              <w:t>39</w:t>
            </w:r>
          </w:hyperlink>
        </w:p>
        <w:p>
          <w:pPr>
            <w:pStyle w:val="TOC1"/>
            <w:tabs>
              <w:tab w:pos="9512" w:val="right" w:leader="dot"/>
            </w:tabs>
          </w:pPr>
          <w:hyperlink w:history="true" w:anchor="_bookmark26">
            <w:r>
              <w:rPr>
                <w:spacing w:val="-2"/>
              </w:rPr>
              <w:t>Conclusion</w:t>
            </w:r>
            <w:r>
              <w:rPr/>
              <w:tab/>
            </w:r>
            <w:r>
              <w:rPr>
                <w:spacing w:val="-5"/>
              </w:rPr>
              <w:t>41</w:t>
            </w:r>
          </w:hyperlink>
        </w:p>
        <w:p>
          <w:pPr>
            <w:pStyle w:val="TOC1"/>
            <w:tabs>
              <w:tab w:pos="9511" w:val="right" w:leader="dot"/>
            </w:tabs>
          </w:pPr>
          <w:hyperlink w:history="true" w:anchor="_bookmark27">
            <w:r>
              <w:rPr>
                <w:spacing w:val="-2"/>
              </w:rPr>
              <w:t>Bibliography</w:t>
            </w:r>
            <w:r>
              <w:rPr/>
              <w:tab/>
            </w:r>
            <w:r>
              <w:rPr>
                <w:spacing w:val="-5"/>
              </w:rPr>
              <w:t>42</w:t>
            </w:r>
          </w:hyperlink>
        </w:p>
        <w:p>
          <w:pPr>
            <w:pStyle w:val="TOC1"/>
            <w:tabs>
              <w:tab w:pos="9511" w:val="right" w:leader="dot"/>
            </w:tabs>
            <w:spacing w:before="134"/>
          </w:pPr>
          <w:hyperlink w:history="true" w:anchor="_bookmark28">
            <w:r>
              <w:rPr/>
              <w:t>Declaration</w:t>
            </w:r>
            <w:r>
              <w:rPr>
                <w:spacing w:val="-3"/>
              </w:rPr>
              <w:t> </w:t>
            </w:r>
            <w:r>
              <w:rPr/>
              <w:t>of</w:t>
            </w:r>
            <w:r>
              <w:rPr>
                <w:spacing w:val="-3"/>
              </w:rPr>
              <w:t> </w:t>
            </w:r>
            <w:r>
              <w:rPr>
                <w:spacing w:val="-2"/>
              </w:rPr>
              <w:t>Authorship</w:t>
            </w:r>
            <w:r>
              <w:rPr/>
              <w:tab/>
            </w:r>
            <w:r>
              <w:rPr>
                <w:spacing w:val="-5"/>
              </w:rPr>
              <w:t>49</w:t>
            </w:r>
          </w:hyperlink>
        </w:p>
        <w:p>
          <w:pPr>
            <w:pStyle w:val="TOC1"/>
            <w:tabs>
              <w:tab w:pos="9512" w:val="right" w:leader="dot"/>
            </w:tabs>
          </w:pPr>
          <w:hyperlink w:history="true" w:anchor="_bookmark29">
            <w:r>
              <w:rPr/>
              <w:t>Supplementary</w:t>
            </w:r>
            <w:r>
              <w:rPr>
                <w:spacing w:val="-9"/>
              </w:rPr>
              <w:t> </w:t>
            </w:r>
            <w:r>
              <w:rPr>
                <w:spacing w:val="-2"/>
              </w:rPr>
              <w:t>Material</w:t>
            </w:r>
            <w:r>
              <w:rPr/>
              <w:tab/>
            </w:r>
            <w:r>
              <w:rPr>
                <w:spacing w:val="-5"/>
              </w:rPr>
              <w:t>50</w:t>
            </w:r>
          </w:hyperlink>
        </w:p>
      </w:sdtContent>
    </w:sdt>
    <w:p>
      <w:pPr>
        <w:pStyle w:val="TOC1"/>
        <w:spacing w:after="0"/>
        <w:sectPr>
          <w:footerReference w:type="default" r:id="rId6"/>
          <w:pgSz w:w="12240" w:h="15840"/>
          <w:pgMar w:header="0" w:footer="1012" w:top="1240" w:bottom="1200" w:left="850" w:right="850"/>
          <w:pgNumType w:start="1"/>
        </w:sectPr>
      </w:pPr>
    </w:p>
    <w:p>
      <w:pPr>
        <w:pStyle w:val="Heading1"/>
        <w:spacing w:before="81"/>
      </w:pPr>
      <w:bookmarkStart w:name="_bookmark0" w:id="1"/>
      <w:bookmarkEnd w:id="1"/>
      <w:r>
        <w:rPr/>
      </w:r>
      <w:r>
        <w:rPr>
          <w:color w:val="2E5395"/>
          <w:spacing w:val="-2"/>
        </w:rPr>
        <w:t>Abstract</w:t>
      </w:r>
    </w:p>
    <w:p>
      <w:pPr>
        <w:pStyle w:val="BodyText"/>
        <w:spacing w:line="360" w:lineRule="auto" w:before="58"/>
        <w:ind w:right="151" w:firstLine="566"/>
      </w:pPr>
      <w:r>
        <w:rPr/>
        <w:t>Changes in</w:t>
      </w:r>
      <w:r>
        <w:rPr>
          <w:spacing w:val="-2"/>
        </w:rPr>
        <w:t> </w:t>
      </w:r>
      <w:r>
        <w:rPr/>
        <w:t>nutrient cycles due to</w:t>
      </w:r>
      <w:r>
        <w:rPr>
          <w:spacing w:val="-1"/>
        </w:rPr>
        <w:t> </w:t>
      </w:r>
      <w:r>
        <w:rPr/>
        <w:t>anthropogenic</w:t>
      </w:r>
      <w:r>
        <w:rPr>
          <w:spacing w:val="-1"/>
        </w:rPr>
        <w:t> </w:t>
      </w:r>
      <w:r>
        <w:rPr/>
        <w:t>nutrient</w:t>
      </w:r>
      <w:r>
        <w:rPr>
          <w:spacing w:val="-1"/>
        </w:rPr>
        <w:t> </w:t>
      </w:r>
      <w:r>
        <w:rPr/>
        <w:t>entry</w:t>
      </w:r>
      <w:r>
        <w:rPr>
          <w:spacing w:val="-1"/>
        </w:rPr>
        <w:t> </w:t>
      </w:r>
      <w:r>
        <w:rPr/>
        <w:t>are</w:t>
      </w:r>
      <w:r>
        <w:rPr>
          <w:spacing w:val="-1"/>
        </w:rPr>
        <w:t> </w:t>
      </w:r>
      <w:r>
        <w:rPr/>
        <w:t>one</w:t>
      </w:r>
      <w:r>
        <w:rPr>
          <w:spacing w:val="-1"/>
        </w:rPr>
        <w:t> </w:t>
      </w:r>
      <w:r>
        <w:rPr/>
        <w:t>of</w:t>
      </w:r>
      <w:r>
        <w:rPr>
          <w:spacing w:val="-1"/>
        </w:rPr>
        <w:t> </w:t>
      </w:r>
      <w:r>
        <w:rPr/>
        <w:t>the leading causes of ecosystem disruption in the face of global change. Numerous forest populations in ecosystems around the world are nutrient limited, contributing to species coexistence. Especially highly diverse and heterogeneous ecosystems like tropical rainforests are hypothesized to experience major changes in species diversity and composition. In south Ecuador the Andean tropical montane rainforest’s tree composition is highly diverse and nutrient limited while at the same time already being threatened by nutrient entry and land-use changes. To predict future changes through increasing nutrient deposition, a nutrient manipulation experiment (NuMEx) was set up in 2007 to study the effects of moderate amounts of nitrogen and phosphor addition over the</w:t>
      </w:r>
      <w:r>
        <w:rPr>
          <w:spacing w:val="40"/>
        </w:rPr>
        <w:t> </w:t>
      </w:r>
      <w:r>
        <w:rPr/>
        <w:t>long-term. Several</w:t>
      </w:r>
      <w:r>
        <w:rPr>
          <w:spacing w:val="-1"/>
        </w:rPr>
        <w:t> </w:t>
      </w:r>
      <w:r>
        <w:rPr/>
        <w:t>different</w:t>
      </w:r>
      <w:r>
        <w:rPr>
          <w:spacing w:val="-3"/>
        </w:rPr>
        <w:t> </w:t>
      </w:r>
      <w:r>
        <w:rPr/>
        <w:t>experiments</w:t>
      </w:r>
      <w:r>
        <w:rPr>
          <w:spacing w:val="-1"/>
        </w:rPr>
        <w:t> </w:t>
      </w:r>
      <w:r>
        <w:rPr/>
        <w:t>and</w:t>
      </w:r>
      <w:r>
        <w:rPr>
          <w:spacing w:val="-1"/>
        </w:rPr>
        <w:t> </w:t>
      </w:r>
      <w:r>
        <w:rPr/>
        <w:t>study</w:t>
      </w:r>
      <w:r>
        <w:rPr>
          <w:spacing w:val="-2"/>
        </w:rPr>
        <w:t> </w:t>
      </w:r>
      <w:r>
        <w:rPr/>
        <w:t>designs</w:t>
      </w:r>
      <w:r>
        <w:rPr>
          <w:spacing w:val="-1"/>
        </w:rPr>
        <w:t> </w:t>
      </w:r>
      <w:r>
        <w:rPr/>
        <w:t>have</w:t>
      </w:r>
      <w:r>
        <w:rPr>
          <w:spacing w:val="-3"/>
        </w:rPr>
        <w:t> </w:t>
      </w:r>
      <w:r>
        <w:rPr/>
        <w:t>been</w:t>
      </w:r>
      <w:r>
        <w:rPr>
          <w:spacing w:val="-4"/>
        </w:rPr>
        <w:t> </w:t>
      </w:r>
      <w:r>
        <w:rPr/>
        <w:t>devised</w:t>
      </w:r>
      <w:r>
        <w:rPr>
          <w:spacing w:val="-1"/>
        </w:rPr>
        <w:t> </w:t>
      </w:r>
      <w:r>
        <w:rPr/>
        <w:t>in</w:t>
      </w:r>
      <w:r>
        <w:rPr>
          <w:spacing w:val="-3"/>
        </w:rPr>
        <w:t> </w:t>
      </w:r>
      <w:r>
        <w:rPr/>
        <w:t>the</w:t>
      </w:r>
      <w:r>
        <w:rPr>
          <w:spacing w:val="-1"/>
        </w:rPr>
        <w:t> </w:t>
      </w:r>
      <w:r>
        <w:rPr/>
        <w:t>framework</w:t>
      </w:r>
      <w:r>
        <w:rPr>
          <w:spacing w:val="-1"/>
        </w:rPr>
        <w:t> </w:t>
      </w:r>
      <w:r>
        <w:rPr/>
        <w:t>of NuMEx. My research is focused on evaluating the tree growth response of montane tropical</w:t>
      </w:r>
      <w:r>
        <w:rPr>
          <w:spacing w:val="40"/>
        </w:rPr>
        <w:t> </w:t>
      </w:r>
      <w:r>
        <w:rPr/>
        <w:t>forests in Ecuador along an elevation gradient to experimental addition of N and P, using mean species functional trait assessment</w:t>
      </w:r>
      <w:r>
        <w:rPr>
          <w:spacing w:val="-1"/>
        </w:rPr>
        <w:t> </w:t>
      </w:r>
      <w:r>
        <w:rPr/>
        <w:t>as well as increases of biomasses across plots. For this purpose, probabilistic principal component analysis and linear mixed modelling were used.</w:t>
      </w:r>
    </w:p>
    <w:p>
      <w:pPr>
        <w:pStyle w:val="BodyText"/>
        <w:spacing w:line="360" w:lineRule="auto"/>
        <w:ind w:right="150" w:firstLine="566"/>
      </w:pPr>
      <w:r>
        <w:rPr/>
        <w:t>Tree growth differed across elevation sites, but overall N+P addition performed best when looking at trait level growth as well as ecosystem productivity inside plots, suggesting that co-limitation of N and P varies with elevation. N addition showed a slight increase in productivity effects with increased altitude, whereas individual P treatment showed the opposite trend, supporting a gradient from stronger P limitation due to weathered soils at lower elevations and stronger N limitation at higher elevations due to slower turnover. Acquisitive species showed increased growth response to nutrient addition. Species specific response was diverse but no negative responses to nutrient addition were observed. Several species showed distinct positive responses to nutrient addition, with the highest number of such species being observed at the 3000m asl site. In general, individual species also responded most positively to N+P addition. The results stress the importance of research into these highly diverse and still poorly understood ecosystems, highlighting that potential community shifts could occur due to anthropogenic nutrient alterations.</w:t>
      </w:r>
    </w:p>
    <w:p>
      <w:pPr>
        <w:pStyle w:val="BodyText"/>
        <w:spacing w:after="0" w:line="360" w:lineRule="auto"/>
        <w:sectPr>
          <w:pgSz w:w="12240" w:h="15840"/>
          <w:pgMar w:header="0" w:footer="1012" w:top="1820" w:bottom="1200" w:left="850" w:right="850"/>
        </w:sectPr>
      </w:pPr>
    </w:p>
    <w:p>
      <w:pPr>
        <w:pStyle w:val="Heading1"/>
      </w:pPr>
      <w:bookmarkStart w:name="_bookmark1" w:id="2"/>
      <w:bookmarkEnd w:id="2"/>
      <w:r>
        <w:rPr/>
      </w:r>
      <w:r>
        <w:rPr>
          <w:color w:val="2E5395"/>
          <w:spacing w:val="-2"/>
        </w:rPr>
        <w:t>Introduction</w:t>
      </w:r>
    </w:p>
    <w:p>
      <w:pPr>
        <w:pStyle w:val="Heading2"/>
        <w:spacing w:before="236"/>
      </w:pPr>
      <w:bookmarkStart w:name="_bookmark2" w:id="3"/>
      <w:bookmarkEnd w:id="3"/>
      <w:r>
        <w:rPr/>
      </w:r>
      <w:r>
        <w:rPr>
          <w:color w:val="2E5395"/>
        </w:rPr>
        <w:t>Tropical</w:t>
      </w:r>
      <w:r>
        <w:rPr>
          <w:color w:val="2E5395"/>
          <w:spacing w:val="-9"/>
        </w:rPr>
        <w:t> </w:t>
      </w:r>
      <w:r>
        <w:rPr>
          <w:color w:val="2E5395"/>
        </w:rPr>
        <w:t>Montane</w:t>
      </w:r>
      <w:r>
        <w:rPr>
          <w:color w:val="2E5395"/>
          <w:spacing w:val="-9"/>
        </w:rPr>
        <w:t> </w:t>
      </w:r>
      <w:r>
        <w:rPr>
          <w:color w:val="2E5395"/>
          <w:spacing w:val="-2"/>
        </w:rPr>
        <w:t>Forest</w:t>
      </w:r>
    </w:p>
    <w:p>
      <w:pPr>
        <w:pStyle w:val="BodyText"/>
        <w:spacing w:line="360" w:lineRule="auto" w:before="47"/>
        <w:ind w:right="151" w:firstLine="566"/>
      </w:pPr>
      <w:r>
        <w:rPr/>
        <w:t>Tropical montane forests (TMF) can be found in regions with tropical temperatures up to cold altitudinal belts without extended periods of snow or frost. High productivity and rapid organic turnover are attributed to tropical forest in general due to excessive solar radiation, elevated temperatures, and strong precipitation (Keller et al., 2005). TMFs, when compared to lowland tropical forests (LTF) in the same region, are characterised by lower canopy heights, higher</w:t>
      </w:r>
      <w:r>
        <w:rPr>
          <w:spacing w:val="-2"/>
        </w:rPr>
        <w:t> </w:t>
      </w:r>
      <w:r>
        <w:rPr/>
        <w:t>stem</w:t>
      </w:r>
      <w:r>
        <w:rPr>
          <w:spacing w:val="-1"/>
        </w:rPr>
        <w:t> </w:t>
      </w:r>
      <w:r>
        <w:rPr/>
        <w:t>densities</w:t>
      </w:r>
      <w:r>
        <w:rPr>
          <w:spacing w:val="-1"/>
        </w:rPr>
        <w:t> </w:t>
      </w:r>
      <w:r>
        <w:rPr/>
        <w:t>and</w:t>
      </w:r>
      <w:r>
        <w:rPr>
          <w:spacing w:val="-1"/>
        </w:rPr>
        <w:t> </w:t>
      </w:r>
      <w:r>
        <w:rPr/>
        <w:t>lower aboveground biomass</w:t>
      </w:r>
      <w:r>
        <w:rPr>
          <w:spacing w:val="-1"/>
        </w:rPr>
        <w:t> </w:t>
      </w:r>
      <w:r>
        <w:rPr/>
        <w:t>(AGB)</w:t>
      </w:r>
      <w:r>
        <w:rPr>
          <w:spacing w:val="-1"/>
        </w:rPr>
        <w:t> </w:t>
      </w:r>
      <w:r>
        <w:rPr/>
        <w:t>(Homeier</w:t>
      </w:r>
      <w:r>
        <w:rPr>
          <w:spacing w:val="-2"/>
        </w:rPr>
        <w:t> </w:t>
      </w:r>
      <w:r>
        <w:rPr/>
        <w:t>&amp;</w:t>
      </w:r>
      <w:r>
        <w:rPr>
          <w:spacing w:val="-1"/>
        </w:rPr>
        <w:t> </w:t>
      </w:r>
      <w:r>
        <w:rPr/>
        <w:t>Leuschner,</w:t>
      </w:r>
      <w:r>
        <w:rPr>
          <w:spacing w:val="-1"/>
        </w:rPr>
        <w:t> </w:t>
      </w:r>
      <w:r>
        <w:rPr/>
        <w:t>2021) as</w:t>
      </w:r>
      <w:r>
        <w:rPr>
          <w:spacing w:val="-1"/>
        </w:rPr>
        <w:t> </w:t>
      </w:r>
      <w:r>
        <w:rPr/>
        <w:t>well as higher rainfall and no regular dry seasons (Emck, 2007). Their forest structure consists of evergreen and semi-deciduous trees with a high variance in tree height along the altitudinal gradient and an uneven canopy layer. Trees and epiphytes make up most of the plant life in these ecosystems and they harbour a unique species richness, with tropical forest providing a variety of ecosystem products and serving as a pool for genetic diversity (Homeier, Werner, et al., 2013). Distinction between different sub-ecosystems and altitudinal levels are much harder compared to other montane forests, for</w:t>
      </w:r>
      <w:r>
        <w:rPr>
          <w:spacing w:val="-1"/>
        </w:rPr>
        <w:t> </w:t>
      </w:r>
      <w:r>
        <w:rPr/>
        <w:t>example in the Alps, as clear-cut distribution belts are not as profound, but some differentiation through floristic, physiognomic, and physiological differences can be made. They range from lower montane forest with tree heights reaching up to 40m and evergreen elfin forest with trees reaching barely 8m to tropical montane cloud forest with extremely high precipitation rate even if surroundings consist of dry woodland (Doumenge et al., 1995).</w:t>
      </w:r>
    </w:p>
    <w:p>
      <w:pPr>
        <w:pStyle w:val="BodyText"/>
        <w:spacing w:line="360" w:lineRule="auto"/>
        <w:ind w:right="152" w:firstLine="566"/>
      </w:pPr>
      <w:r>
        <w:rPr/>
        <w:t>My thesis, based on Báez and Homeier's (2018) paper “Functional traits determine tree growth and ecosystem productivity of a tropical montane forest: Insights from a long-term nutrient manipulation experiment”, looked at tree growth data collected from 2008 to 2020 in NuMEx plots in the Reserva Biológica San Francisco (RBSF) and Podocarpus National Park (Podocarpus NP) located on the eastern range of the south Ecuadorian Andes, separating the humid Amazonian basin and dryer Inter-Andean region (Beck et al., 2008). The Ecuadorian rainforest is often referred to as part of the “hottest” hotspots of biodiversity (Barthlott et al.,</w:t>
      </w:r>
      <w:r>
        <w:rPr>
          <w:spacing w:val="80"/>
        </w:rPr>
        <w:t> </w:t>
      </w:r>
      <w:r>
        <w:rPr/>
        <w:t>2007; Bendix, Paladines, et al., 2013; Brummitt &amp; Lughadha, 2003) with 6,7% of all plant species being endemic in the Tropical Andes (Myers et al., 2000), 1450 vascular plant species being identified in the RBSF alone, along with an outstanding number of bryophytes (500 species) (Homeier et al., 2008). Richter et al. (2009) for example named as reasons for this unprecedented</w:t>
      </w:r>
    </w:p>
    <w:p>
      <w:pPr>
        <w:pStyle w:val="BodyText"/>
        <w:spacing w:after="0" w:line="360" w:lineRule="auto"/>
        <w:sectPr>
          <w:pgSz w:w="12240" w:h="15840"/>
          <w:pgMar w:header="0" w:footer="1012" w:top="1240" w:bottom="1200" w:left="850" w:right="850"/>
        </w:sectPr>
      </w:pPr>
    </w:p>
    <w:p>
      <w:pPr>
        <w:pStyle w:val="BodyText"/>
        <w:spacing w:line="360" w:lineRule="auto" w:before="37"/>
        <w:ind w:right="151"/>
      </w:pPr>
      <w:r>
        <w:rPr/>
        <w:t>biodiversity in vascular plants inter alia a historical long-term species accumulation and geographical dispersion barriers. It can be very locally distributed across and inside altitudinal ranges of the montane forest. A high heterogeneity of species diversity is also observed especially due to a variety of environmental conditions created by the rugged mountainous terrain and disturbance through landslides,</w:t>
      </w:r>
      <w:r>
        <w:rPr>
          <w:spacing w:val="-1"/>
        </w:rPr>
        <w:t> </w:t>
      </w:r>
      <w:r>
        <w:rPr/>
        <w:t>enabling a coexistence of a high number of forest species (Richter et al., 2009). The highest abundance of species can be found at intermediate altitudes (~ 2000 m asl) and</w:t>
      </w:r>
      <w:r>
        <w:rPr>
          <w:spacing w:val="-1"/>
        </w:rPr>
        <w:t> </w:t>
      </w:r>
      <w:r>
        <w:rPr/>
        <w:t>species diversity as well as overall growth potential decreases with height (Homeier et al., 2010). Its high diversity in traits and species is linked to ecosystem functions like carbon storage, maintenance of air and water quality, and soil formation (Bendix, Beck, et al., 2013; Roy et al., 2018), making conservation of biodiversity not only intrinsically but also economically valuable (Roy</w:t>
      </w:r>
      <w:r>
        <w:rPr>
          <w:spacing w:val="-2"/>
        </w:rPr>
        <w:t> </w:t>
      </w:r>
      <w:r>
        <w:rPr/>
        <w:t>et</w:t>
      </w:r>
      <w:r>
        <w:rPr>
          <w:spacing w:val="-2"/>
        </w:rPr>
        <w:t> </w:t>
      </w:r>
      <w:r>
        <w:rPr/>
        <w:t>al.,</w:t>
      </w:r>
      <w:r>
        <w:rPr>
          <w:spacing w:val="-1"/>
        </w:rPr>
        <w:t> </w:t>
      </w:r>
      <w:r>
        <w:rPr/>
        <w:t>2018).</w:t>
      </w:r>
      <w:r>
        <w:rPr>
          <w:spacing w:val="-1"/>
        </w:rPr>
        <w:t> </w:t>
      </w:r>
      <w:r>
        <w:rPr/>
        <w:t>The</w:t>
      </w:r>
      <w:r>
        <w:rPr>
          <w:spacing w:val="-2"/>
        </w:rPr>
        <w:t> </w:t>
      </w:r>
      <w:r>
        <w:rPr/>
        <w:t>rainforest</w:t>
      </w:r>
      <w:r>
        <w:rPr>
          <w:spacing w:val="-2"/>
        </w:rPr>
        <w:t> </w:t>
      </w:r>
      <w:r>
        <w:rPr/>
        <w:t>in</w:t>
      </w:r>
      <w:r>
        <w:rPr>
          <w:spacing w:val="-3"/>
        </w:rPr>
        <w:t> </w:t>
      </w:r>
      <w:r>
        <w:rPr/>
        <w:t>Ecuador</w:t>
      </w:r>
      <w:r>
        <w:rPr>
          <w:spacing w:val="-2"/>
        </w:rPr>
        <w:t> </w:t>
      </w:r>
      <w:r>
        <w:rPr/>
        <w:t>with</w:t>
      </w:r>
      <w:r>
        <w:rPr>
          <w:spacing w:val="-2"/>
        </w:rPr>
        <w:t> </w:t>
      </w:r>
      <w:r>
        <w:rPr/>
        <w:t>many</w:t>
      </w:r>
      <w:r>
        <w:rPr>
          <w:spacing w:val="-2"/>
        </w:rPr>
        <w:t> </w:t>
      </w:r>
      <w:r>
        <w:rPr/>
        <w:t>other</w:t>
      </w:r>
      <w:r>
        <w:rPr>
          <w:spacing w:val="-2"/>
        </w:rPr>
        <w:t> </w:t>
      </w:r>
      <w:r>
        <w:rPr/>
        <w:t>ecosystems</w:t>
      </w:r>
      <w:r>
        <w:rPr>
          <w:spacing w:val="-1"/>
        </w:rPr>
        <w:t> </w:t>
      </w:r>
      <w:r>
        <w:rPr/>
        <w:t>around</w:t>
      </w:r>
      <w:r>
        <w:rPr>
          <w:spacing w:val="-1"/>
        </w:rPr>
        <w:t> </w:t>
      </w:r>
      <w:r>
        <w:rPr/>
        <w:t>the</w:t>
      </w:r>
      <w:r>
        <w:rPr>
          <w:spacing w:val="-4"/>
        </w:rPr>
        <w:t> </w:t>
      </w:r>
      <w:r>
        <w:rPr/>
        <w:t>world (Sala</w:t>
      </w:r>
      <w:r>
        <w:rPr>
          <w:spacing w:val="-2"/>
        </w:rPr>
        <w:t> </w:t>
      </w:r>
      <w:r>
        <w:rPr/>
        <w:t>et al., 2000) faces risks by</w:t>
      </w:r>
      <w:r>
        <w:rPr>
          <w:spacing w:val="-2"/>
        </w:rPr>
        <w:t> </w:t>
      </w:r>
      <w:r>
        <w:rPr/>
        <w:t>human impact. Global</w:t>
      </w:r>
      <w:r>
        <w:rPr>
          <w:spacing w:val="-2"/>
        </w:rPr>
        <w:t> </w:t>
      </w:r>
      <w:r>
        <w:rPr/>
        <w:t>warming and most importantly anthropogenic land use (Sala, 2000; Tapia-Aemijos et al., 2015) in the form of land reforms, pasteurization of forest</w:t>
      </w:r>
      <w:r>
        <w:rPr>
          <w:spacing w:val="40"/>
        </w:rPr>
        <w:t> </w:t>
      </w:r>
      <w:r>
        <w:rPr/>
        <w:t>and road construction (Pohle et al., 2013), will seriously damage this ecosystem in the future and forest deforestation, as well as fragmentation, has increased yearly, strongest in the years 1989 to 2008, already destroying 46% of south Ecuador’s original forest cover ( Tapia-Armijos et al., 2015).</w:t>
      </w:r>
    </w:p>
    <w:p>
      <w:pPr>
        <w:pStyle w:val="Heading2"/>
        <w:spacing w:before="40"/>
        <w:jc w:val="both"/>
      </w:pPr>
      <w:bookmarkStart w:name="_bookmark3" w:id="4"/>
      <w:bookmarkEnd w:id="4"/>
      <w:r>
        <w:rPr/>
      </w:r>
      <w:r>
        <w:rPr>
          <w:color w:val="2E5395"/>
        </w:rPr>
        <w:t>Nutrient</w:t>
      </w:r>
      <w:r>
        <w:rPr>
          <w:color w:val="2E5395"/>
          <w:spacing w:val="-9"/>
        </w:rPr>
        <w:t> </w:t>
      </w:r>
      <w:r>
        <w:rPr>
          <w:color w:val="2E5395"/>
        </w:rPr>
        <w:t>Entry</w:t>
      </w:r>
      <w:r>
        <w:rPr>
          <w:color w:val="2E5395"/>
          <w:spacing w:val="-5"/>
        </w:rPr>
        <w:t> </w:t>
      </w:r>
      <w:r>
        <w:rPr>
          <w:color w:val="2E5395"/>
        </w:rPr>
        <w:t>and</w:t>
      </w:r>
      <w:r>
        <w:rPr>
          <w:color w:val="2E5395"/>
          <w:spacing w:val="-8"/>
        </w:rPr>
        <w:t> </w:t>
      </w:r>
      <w:r>
        <w:rPr>
          <w:color w:val="2E5395"/>
          <w:spacing w:val="-2"/>
        </w:rPr>
        <w:t>Limitations</w:t>
      </w:r>
    </w:p>
    <w:p>
      <w:pPr>
        <w:pStyle w:val="BodyText"/>
        <w:spacing w:line="360" w:lineRule="auto" w:before="48"/>
        <w:ind w:right="152" w:firstLine="566"/>
      </w:pPr>
      <w:r>
        <w:rPr/>
        <w:t>In addition, natural nutrient entry concerning nitrogen (N) and phosphor (P) cycles have already been disturbed by humans. In 1965, anthropogenic production of reactive nitrogen exceeded natural production (Galloway &amp; Cowling, 2002) leading to oversaturation of ecosystems driven mainly by the agricultural and livestock sector (Bouwman et al., 2013). Through artificial fertilization P is also being deposited into ecosystems in excessive amounts (Filippelli, 2008). Looking at the Andean rainforest, 90% of nutrient deposition today comes from anthropogenic sources such as air pollution, pasteurization of land and forest burns (Boy et al., 2008;</w:t>
      </w:r>
      <w:r>
        <w:rPr>
          <w:spacing w:val="40"/>
        </w:rPr>
        <w:t> </w:t>
      </w:r>
      <w:r>
        <w:rPr/>
        <w:t>Fabian et al., 2005) increasing N deposition by &gt;10kg ha⁻¹ in the decade between 2000 and 2010 (Fabian et al., 2005; Wilcke et al., 2013). The macronutrients I want to examine in detail (i.e., N and P) have been directly linked to forest burns. N deposition originates from mass burning of rainforest in addition to currents passing active volcanos (Fabian et al., 2005, 2009) whereas P has been associated</w:t>
      </w:r>
      <w:r>
        <w:rPr>
          <w:spacing w:val="-1"/>
        </w:rPr>
        <w:t> </w:t>
      </w:r>
      <w:r>
        <w:rPr/>
        <w:t>with</w:t>
      </w:r>
      <w:r>
        <w:rPr>
          <w:spacing w:val="-2"/>
        </w:rPr>
        <w:t> </w:t>
      </w:r>
      <w:r>
        <w:rPr/>
        <w:t>forest</w:t>
      </w:r>
      <w:r>
        <w:rPr>
          <w:spacing w:val="-2"/>
        </w:rPr>
        <w:t> </w:t>
      </w:r>
      <w:r>
        <w:rPr/>
        <w:t>burns (Mahowald</w:t>
      </w:r>
      <w:r>
        <w:rPr>
          <w:spacing w:val="-1"/>
        </w:rPr>
        <w:t> </w:t>
      </w:r>
      <w:r>
        <w:rPr/>
        <w:t>et</w:t>
      </w:r>
      <w:r>
        <w:rPr>
          <w:spacing w:val="-2"/>
        </w:rPr>
        <w:t> </w:t>
      </w:r>
      <w:r>
        <w:rPr/>
        <w:t>al.,</w:t>
      </w:r>
      <w:r>
        <w:rPr>
          <w:spacing w:val="-3"/>
        </w:rPr>
        <w:t> </w:t>
      </w:r>
      <w:r>
        <w:rPr/>
        <w:t>2005) and/or</w:t>
      </w:r>
      <w:r>
        <w:rPr>
          <w:spacing w:val="-2"/>
        </w:rPr>
        <w:t> </w:t>
      </w:r>
      <w:r>
        <w:rPr/>
        <w:t>phosphate</w:t>
      </w:r>
      <w:r>
        <w:rPr>
          <w:spacing w:val="-1"/>
        </w:rPr>
        <w:t> </w:t>
      </w:r>
      <w:r>
        <w:rPr/>
        <w:t>mining</w:t>
      </w:r>
      <w:r>
        <w:rPr>
          <w:spacing w:val="-1"/>
        </w:rPr>
        <w:t> </w:t>
      </w:r>
      <w:r>
        <w:rPr/>
        <w:t>in</w:t>
      </w:r>
      <w:r>
        <w:rPr>
          <w:spacing w:val="-3"/>
        </w:rPr>
        <w:t> </w:t>
      </w:r>
      <w:r>
        <w:rPr/>
        <w:t>Africa (Fabian</w:t>
      </w:r>
      <w:r>
        <w:rPr>
          <w:spacing w:val="-2"/>
        </w:rPr>
        <w:t> </w:t>
      </w:r>
      <w:r>
        <w:rPr/>
        <w:t>et al.,</w:t>
      </w:r>
      <w:r>
        <w:rPr>
          <w:spacing w:val="30"/>
        </w:rPr>
        <w:t> </w:t>
      </w:r>
      <w:r>
        <w:rPr/>
        <w:t>2009).</w:t>
      </w:r>
      <w:r>
        <w:rPr>
          <w:spacing w:val="30"/>
        </w:rPr>
        <w:t> </w:t>
      </w:r>
      <w:r>
        <w:rPr/>
        <w:t>At</w:t>
      </w:r>
      <w:r>
        <w:rPr>
          <w:spacing w:val="30"/>
        </w:rPr>
        <w:t> </w:t>
      </w:r>
      <w:r>
        <w:rPr/>
        <w:t>the</w:t>
      </w:r>
      <w:r>
        <w:rPr>
          <w:spacing w:val="30"/>
        </w:rPr>
        <w:t> </w:t>
      </w:r>
      <w:r>
        <w:rPr/>
        <w:t>same</w:t>
      </w:r>
      <w:r>
        <w:rPr>
          <w:spacing w:val="28"/>
        </w:rPr>
        <w:t> </w:t>
      </w:r>
      <w:r>
        <w:rPr/>
        <w:t>time,</w:t>
      </w:r>
      <w:r>
        <w:rPr>
          <w:spacing w:val="31"/>
        </w:rPr>
        <w:t> </w:t>
      </w:r>
      <w:r>
        <w:rPr/>
        <w:t>tight</w:t>
      </w:r>
      <w:r>
        <w:rPr>
          <w:spacing w:val="30"/>
        </w:rPr>
        <w:t> </w:t>
      </w:r>
      <w:r>
        <w:rPr/>
        <w:t>P</w:t>
      </w:r>
      <w:r>
        <w:rPr>
          <w:spacing w:val="30"/>
        </w:rPr>
        <w:t> </w:t>
      </w:r>
      <w:r>
        <w:rPr/>
        <w:t>cycling</w:t>
      </w:r>
      <w:r>
        <w:rPr>
          <w:spacing w:val="30"/>
        </w:rPr>
        <w:t> </w:t>
      </w:r>
      <w:r>
        <w:rPr/>
        <w:t>and</w:t>
      </w:r>
      <w:r>
        <w:rPr>
          <w:spacing w:val="30"/>
        </w:rPr>
        <w:t> </w:t>
      </w:r>
      <w:r>
        <w:rPr/>
        <w:t>almost</w:t>
      </w:r>
      <w:r>
        <w:rPr>
          <w:spacing w:val="30"/>
        </w:rPr>
        <w:t> </w:t>
      </w:r>
      <w:r>
        <w:rPr/>
        <w:t>100%</w:t>
      </w:r>
      <w:r>
        <w:rPr>
          <w:spacing w:val="30"/>
        </w:rPr>
        <w:t> </w:t>
      </w:r>
      <w:r>
        <w:rPr/>
        <w:t>retention</w:t>
      </w:r>
      <w:r>
        <w:rPr>
          <w:spacing w:val="30"/>
        </w:rPr>
        <w:t> </w:t>
      </w:r>
      <w:r>
        <w:rPr/>
        <w:t>and</w:t>
      </w:r>
      <w:r>
        <w:rPr>
          <w:spacing w:val="30"/>
        </w:rPr>
        <w:t> </w:t>
      </w:r>
      <w:r>
        <w:rPr/>
        <w:t>accumulation</w:t>
      </w:r>
      <w:r>
        <w:rPr>
          <w:spacing w:val="31"/>
        </w:rPr>
        <w:t> </w:t>
      </w:r>
      <w:r>
        <w:rPr/>
        <w:t>of</w:t>
      </w:r>
      <w:r>
        <w:rPr>
          <w:spacing w:val="30"/>
        </w:rPr>
        <w:t> </w:t>
      </w:r>
      <w:r>
        <w:rPr/>
        <w:t>P</w:t>
      </w:r>
    </w:p>
    <w:p>
      <w:pPr>
        <w:pStyle w:val="BodyText"/>
        <w:spacing w:after="0" w:line="360" w:lineRule="auto"/>
        <w:sectPr>
          <w:pgSz w:w="12240" w:h="15840"/>
          <w:pgMar w:header="0" w:footer="1012" w:top="1220" w:bottom="1200" w:left="850" w:right="850"/>
        </w:sectPr>
      </w:pPr>
    </w:p>
    <w:p>
      <w:pPr>
        <w:pStyle w:val="BodyText"/>
        <w:spacing w:line="360" w:lineRule="auto" w:before="37"/>
        <w:ind w:right="151"/>
      </w:pPr>
      <w:r>
        <w:rPr/>
        <w:t>deposition was shown by Wilcke et al. (2019). While nutrient limitations of various kinds have been shown to influence productivity of forest worldwide (Fernández-Martínez et al., 2014), the Andean rainforest in particular, being located on soil with low mineral fertility (Richter et al., 2013), is believed to be primarily limited by nutrients (Homeier &amp; Leuschner, 2021). Increased fertilization is postulated to have a major impact on individual tree growth (Báez &amp; Homeier,</w:t>
      </w:r>
      <w:r>
        <w:rPr>
          <w:spacing w:val="40"/>
        </w:rPr>
        <w:t> </w:t>
      </w:r>
      <w:r>
        <w:rPr/>
        <w:t>2018; Fabian et al., 2005; Homeier et al., 2012) as well as composition of trees in the ecosystem (Báez &amp; Homeier, 2018). Therefore, lifting nutrient restrictions potentially leads to domination of</w:t>
      </w:r>
      <w:r>
        <w:rPr>
          <w:spacing w:val="40"/>
        </w:rPr>
        <w:t> </w:t>
      </w:r>
      <w:r>
        <w:rPr/>
        <w:t>a few fast-growing tree species overgrowing competitors (Báez &amp; Homeier, 2018; Huston &amp; Huston, 1994). Changes to the forest structure and diversity would be the result leading to changed net primary productivity (NPP) indirectly impacting the carbon cycling capacity of the ecosystem (Alvarez-Clare et al., 2013) as well as disturb ecosystem functions if a critical mass of</w:t>
      </w:r>
      <w:r>
        <w:rPr>
          <w:spacing w:val="40"/>
        </w:rPr>
        <w:t> </w:t>
      </w:r>
      <w:r>
        <w:rPr/>
        <w:t>key species is lost. Fertilization experiments in the frame of the Ecuadorian NuMEx project with </w:t>
      </w:r>
      <w:r>
        <w:rPr>
          <w:i/>
        </w:rPr>
        <w:t>Pouteria torta </w:t>
      </w:r>
      <w:r>
        <w:rPr/>
        <w:t>seedlings (Sapotaceae), a locally abundant species, also found physiological and morphological adaptations to increased N and P availability. These hint</w:t>
      </w:r>
      <w:r>
        <w:rPr>
          <w:spacing w:val="-1"/>
        </w:rPr>
        <w:t> </w:t>
      </w:r>
      <w:r>
        <w:rPr/>
        <w:t>to changes in recruitment and impacts on forest composition even though they could not be predicted due to the complex nature of population level changes associated with increased nutrient access in this species (Cárate-Tandalla et al., 2015).</w:t>
      </w:r>
    </w:p>
    <w:p>
      <w:pPr>
        <w:pStyle w:val="BodyText"/>
        <w:spacing w:line="360" w:lineRule="auto" w:before="2"/>
        <w:ind w:right="161" w:firstLine="566"/>
        <w:jc w:val="left"/>
      </w:pPr>
      <w:r>
        <w:rPr/>
        <w:t>Most</w:t>
      </w:r>
      <w:r>
        <w:rPr>
          <w:spacing w:val="-4"/>
        </w:rPr>
        <w:t> </w:t>
      </w:r>
      <w:r>
        <w:rPr/>
        <w:t>likely</w:t>
      </w:r>
      <w:r>
        <w:rPr>
          <w:spacing w:val="-4"/>
        </w:rPr>
        <w:t> </w:t>
      </w:r>
      <w:r>
        <w:rPr/>
        <w:t>the</w:t>
      </w:r>
      <w:r>
        <w:rPr>
          <w:spacing w:val="-3"/>
        </w:rPr>
        <w:t> </w:t>
      </w:r>
      <w:r>
        <w:rPr/>
        <w:t>highly</w:t>
      </w:r>
      <w:r>
        <w:rPr>
          <w:spacing w:val="-4"/>
        </w:rPr>
        <w:t> </w:t>
      </w:r>
      <w:r>
        <w:rPr/>
        <w:t>diverse</w:t>
      </w:r>
      <w:r>
        <w:rPr>
          <w:spacing w:val="-3"/>
        </w:rPr>
        <w:t> </w:t>
      </w:r>
      <w:r>
        <w:rPr/>
        <w:t>and</w:t>
      </w:r>
      <w:r>
        <w:rPr>
          <w:spacing w:val="-1"/>
        </w:rPr>
        <w:t> </w:t>
      </w:r>
      <w:r>
        <w:rPr/>
        <w:t>structurally</w:t>
      </w:r>
      <w:r>
        <w:rPr>
          <w:spacing w:val="-2"/>
        </w:rPr>
        <w:t> </w:t>
      </w:r>
      <w:r>
        <w:rPr/>
        <w:t>heterogenous</w:t>
      </w:r>
      <w:r>
        <w:rPr>
          <w:spacing w:val="-1"/>
        </w:rPr>
        <w:t> </w:t>
      </w:r>
      <w:r>
        <w:rPr/>
        <w:t>TMF</w:t>
      </w:r>
      <w:r>
        <w:rPr>
          <w:spacing w:val="-3"/>
        </w:rPr>
        <w:t> </w:t>
      </w:r>
      <w:r>
        <w:rPr/>
        <w:t>will</w:t>
      </w:r>
      <w:r>
        <w:rPr>
          <w:spacing w:val="-3"/>
        </w:rPr>
        <w:t> </w:t>
      </w:r>
      <w:r>
        <w:rPr/>
        <w:t>not</w:t>
      </w:r>
      <w:r>
        <w:rPr>
          <w:spacing w:val="-4"/>
        </w:rPr>
        <w:t> </w:t>
      </w:r>
      <w:r>
        <w:rPr/>
        <w:t>respond</w:t>
      </w:r>
      <w:r>
        <w:rPr>
          <w:spacing w:val="-3"/>
        </w:rPr>
        <w:t> </w:t>
      </w:r>
      <w:r>
        <w:rPr/>
        <w:t>equally</w:t>
      </w:r>
      <w:r>
        <w:rPr>
          <w:spacing w:val="-2"/>
        </w:rPr>
        <w:t> </w:t>
      </w:r>
      <w:r>
        <w:rPr/>
        <w:t>to nutrient addition at differing elevations. The reason being, N limitation should increase and P limitation should decrease with altitude derived from the leaf N:P gradient observed in the Andes (Fisher et al., 2013) as well as other montane tropical forest (Tanner et al., 1998). In theory,</w:t>
      </w:r>
      <w:r>
        <w:rPr>
          <w:spacing w:val="40"/>
        </w:rPr>
        <w:t> </w:t>
      </w:r>
      <w:r>
        <w:rPr/>
        <w:t>lowland soils, having undergone longer soil genesis, are more weathered (i.e., lower P content), whereas high plant turnover/decomposition and nitrogen fixators over an extended period accumulate N. The montane soils are not as old therefore should provide more P, but less N had time to accumulate and plant turnover is slower (Wilcke et al., 2008) most likely due to the temperature gradient (Salinas et al., 2011). Litter quality and therefore nutrient/mineral content has also been shown to decrease with altitude (Beck &amp; Richter, 2008). This difference is probably weaker in this analysis as all plots are located inside the Andean montane rainforest compared to findings</w:t>
      </w:r>
      <w:r>
        <w:rPr>
          <w:spacing w:val="-1"/>
        </w:rPr>
        <w:t> </w:t>
      </w:r>
      <w:r>
        <w:rPr/>
        <w:t>of</w:t>
      </w:r>
      <w:r>
        <w:rPr>
          <w:spacing w:val="-2"/>
        </w:rPr>
        <w:t> </w:t>
      </w:r>
      <w:r>
        <w:rPr/>
        <w:t>Fisher’s</w:t>
      </w:r>
      <w:r>
        <w:rPr>
          <w:spacing w:val="-2"/>
        </w:rPr>
        <w:t> </w:t>
      </w:r>
      <w:r>
        <w:rPr/>
        <w:t>et</w:t>
      </w:r>
      <w:r>
        <w:rPr>
          <w:spacing w:val="-3"/>
        </w:rPr>
        <w:t> </w:t>
      </w:r>
      <w:r>
        <w:rPr/>
        <w:t>al.</w:t>
      </w:r>
      <w:r>
        <w:rPr>
          <w:spacing w:val="-2"/>
        </w:rPr>
        <w:t> </w:t>
      </w:r>
      <w:r>
        <w:rPr/>
        <w:t>(2013)</w:t>
      </w:r>
      <w:r>
        <w:rPr>
          <w:spacing w:val="-1"/>
        </w:rPr>
        <w:t> </w:t>
      </w:r>
      <w:r>
        <w:rPr/>
        <w:t>leaf</w:t>
      </w:r>
      <w:r>
        <w:rPr>
          <w:spacing w:val="-2"/>
        </w:rPr>
        <w:t> </w:t>
      </w:r>
      <w:r>
        <w:rPr/>
        <w:t>nutrient</w:t>
      </w:r>
      <w:r>
        <w:rPr>
          <w:spacing w:val="-1"/>
        </w:rPr>
        <w:t> </w:t>
      </w:r>
      <w:r>
        <w:rPr/>
        <w:t>analysis,</w:t>
      </w:r>
      <w:r>
        <w:rPr>
          <w:spacing w:val="-1"/>
        </w:rPr>
        <w:t> </w:t>
      </w:r>
      <w:r>
        <w:rPr/>
        <w:t>setting</w:t>
      </w:r>
      <w:r>
        <w:rPr>
          <w:spacing w:val="-2"/>
        </w:rPr>
        <w:t> </w:t>
      </w:r>
      <w:r>
        <w:rPr/>
        <w:t>up</w:t>
      </w:r>
      <w:r>
        <w:rPr>
          <w:spacing w:val="-2"/>
        </w:rPr>
        <w:t> </w:t>
      </w:r>
      <w:r>
        <w:rPr/>
        <w:t>the</w:t>
      </w:r>
      <w:r>
        <w:rPr>
          <w:spacing w:val="-2"/>
        </w:rPr>
        <w:t> </w:t>
      </w:r>
      <w:r>
        <w:rPr/>
        <w:t>lowest</w:t>
      </w:r>
      <w:r>
        <w:rPr>
          <w:spacing w:val="-3"/>
        </w:rPr>
        <w:t> </w:t>
      </w:r>
      <w:r>
        <w:rPr/>
        <w:t>plot</w:t>
      </w:r>
      <w:r>
        <w:rPr>
          <w:spacing w:val="-4"/>
        </w:rPr>
        <w:t> </w:t>
      </w:r>
      <w:r>
        <w:rPr/>
        <w:t>at</w:t>
      </w:r>
      <w:r>
        <w:rPr>
          <w:spacing w:val="-3"/>
        </w:rPr>
        <w:t> </w:t>
      </w:r>
      <w:r>
        <w:rPr/>
        <w:t>200</w:t>
      </w:r>
      <w:r>
        <w:rPr>
          <w:spacing w:val="-2"/>
        </w:rPr>
        <w:t> </w:t>
      </w:r>
      <w:r>
        <w:rPr/>
        <w:t>m</w:t>
      </w:r>
      <w:r>
        <w:rPr>
          <w:spacing w:val="-2"/>
        </w:rPr>
        <w:t> </w:t>
      </w:r>
      <w:r>
        <w:rPr/>
        <w:t>asl.</w:t>
      </w:r>
      <w:r>
        <w:rPr>
          <w:spacing w:val="-2"/>
        </w:rPr>
        <w:t> </w:t>
      </w:r>
      <w:r>
        <w:rPr/>
        <w:t>There have also been many findings contradicting the clear gradient of lowland forest being only P</w:t>
      </w:r>
    </w:p>
    <w:p>
      <w:pPr>
        <w:pStyle w:val="BodyText"/>
        <w:spacing w:after="0" w:line="360" w:lineRule="auto"/>
        <w:jc w:val="left"/>
        <w:sectPr>
          <w:pgSz w:w="12240" w:h="15840"/>
          <w:pgMar w:header="0" w:footer="1012" w:top="1220" w:bottom="1200" w:left="850" w:right="850"/>
        </w:sectPr>
      </w:pPr>
    </w:p>
    <w:p>
      <w:pPr>
        <w:pStyle w:val="BodyText"/>
        <w:spacing w:line="360" w:lineRule="auto" w:before="37"/>
        <w:ind w:right="211"/>
        <w:jc w:val="left"/>
      </w:pPr>
      <w:r>
        <w:rPr/>
        <w:t>limited</w:t>
      </w:r>
      <w:r>
        <w:rPr>
          <w:spacing w:val="-3"/>
        </w:rPr>
        <w:t> </w:t>
      </w:r>
      <w:r>
        <w:rPr/>
        <w:t>while</w:t>
      </w:r>
      <w:r>
        <w:rPr>
          <w:spacing w:val="-3"/>
        </w:rPr>
        <w:t> </w:t>
      </w:r>
      <w:r>
        <w:rPr/>
        <w:t>montane</w:t>
      </w:r>
      <w:r>
        <w:rPr>
          <w:spacing w:val="-1"/>
        </w:rPr>
        <w:t> </w:t>
      </w:r>
      <w:r>
        <w:rPr/>
        <w:t>forests</w:t>
      </w:r>
      <w:r>
        <w:rPr>
          <w:spacing w:val="-3"/>
        </w:rPr>
        <w:t> </w:t>
      </w:r>
      <w:r>
        <w:rPr/>
        <w:t>are</w:t>
      </w:r>
      <w:r>
        <w:rPr>
          <w:spacing w:val="-3"/>
        </w:rPr>
        <w:t> </w:t>
      </w:r>
      <w:r>
        <w:rPr/>
        <w:t>solely</w:t>
      </w:r>
      <w:r>
        <w:rPr>
          <w:spacing w:val="-4"/>
        </w:rPr>
        <w:t> </w:t>
      </w:r>
      <w:r>
        <w:rPr/>
        <w:t>N</w:t>
      </w:r>
      <w:r>
        <w:rPr>
          <w:spacing w:val="-3"/>
        </w:rPr>
        <w:t> </w:t>
      </w:r>
      <w:r>
        <w:rPr/>
        <w:t>limited (Wullaert</w:t>
      </w:r>
      <w:r>
        <w:rPr>
          <w:spacing w:val="-5"/>
        </w:rPr>
        <w:t> </w:t>
      </w:r>
      <w:r>
        <w:rPr/>
        <w:t>et</w:t>
      </w:r>
      <w:r>
        <w:rPr>
          <w:spacing w:val="-4"/>
        </w:rPr>
        <w:t> </w:t>
      </w:r>
      <w:r>
        <w:rPr/>
        <w:t>al.,</w:t>
      </w:r>
      <w:r>
        <w:rPr>
          <w:spacing w:val="-3"/>
        </w:rPr>
        <w:t> </w:t>
      </w:r>
      <w:r>
        <w:rPr/>
        <w:t>2010).</w:t>
      </w:r>
      <w:r>
        <w:rPr>
          <w:spacing w:val="-3"/>
        </w:rPr>
        <w:t> </w:t>
      </w:r>
      <w:r>
        <w:rPr/>
        <w:t>Co-limitation</w:t>
      </w:r>
      <w:r>
        <w:rPr>
          <w:spacing w:val="-4"/>
        </w:rPr>
        <w:t> </w:t>
      </w:r>
      <w:r>
        <w:rPr/>
        <w:t>of</w:t>
      </w:r>
      <w:r>
        <w:rPr>
          <w:spacing w:val="-3"/>
        </w:rPr>
        <w:t> </w:t>
      </w:r>
      <w:r>
        <w:rPr/>
        <w:t>N</w:t>
      </w:r>
      <w:r>
        <w:rPr>
          <w:spacing w:val="-4"/>
        </w:rPr>
        <w:t> </w:t>
      </w:r>
      <w:r>
        <w:rPr/>
        <w:t>and</w:t>
      </w:r>
      <w:r>
        <w:rPr>
          <w:spacing w:val="-4"/>
        </w:rPr>
        <w:t> </w:t>
      </w:r>
      <w:r>
        <w:rPr/>
        <w:t>P has been postulated to play a key role in limiting production of species especially at lower elevations (up to 1000 m asl) in the rainforest of Ecuador (Fisher et al., 2013).</w:t>
      </w:r>
    </w:p>
    <w:p>
      <w:pPr>
        <w:pStyle w:val="Heading2"/>
        <w:spacing w:before="40"/>
      </w:pPr>
      <w:bookmarkStart w:name="_bookmark4" w:id="5"/>
      <w:bookmarkEnd w:id="5"/>
      <w:r>
        <w:rPr/>
      </w:r>
      <w:r>
        <w:rPr>
          <w:color w:val="2E5395"/>
        </w:rPr>
        <w:t>NuMEx</w:t>
      </w:r>
      <w:r>
        <w:rPr>
          <w:color w:val="2E5395"/>
          <w:spacing w:val="-9"/>
        </w:rPr>
        <w:t> </w:t>
      </w:r>
      <w:r>
        <w:rPr>
          <w:color w:val="2E5395"/>
          <w:spacing w:val="-2"/>
        </w:rPr>
        <w:t>Project</w:t>
      </w:r>
    </w:p>
    <w:p>
      <w:pPr>
        <w:pStyle w:val="BodyText"/>
        <w:spacing w:line="360" w:lineRule="auto" w:before="48"/>
        <w:ind w:right="153" w:firstLine="566"/>
      </w:pPr>
      <w:r>
        <w:rPr/>
        <w:t>Nutrient manipulation experiments are common practice to test the influence of nutrient addition on seedlings and mature trees. In the framework of NuMEx in south Ecuador the experimental site setup was devised and is entertained by a collaboration of scientists since January 2008. In such an experiment plots are surveyed and a treatment of nutrients is applied to all but control plots. Tree diameter changes, above ground biomass, and root density pre- and post-nutrient addition are only a few variables that can then be measured over the course of the experiment</w:t>
      </w:r>
      <w:r>
        <w:rPr>
          <w:spacing w:val="-4"/>
        </w:rPr>
        <w:t> </w:t>
      </w:r>
      <w:r>
        <w:rPr/>
        <w:t>to</w:t>
      </w:r>
      <w:r>
        <w:rPr>
          <w:spacing w:val="-1"/>
        </w:rPr>
        <w:t> </w:t>
      </w:r>
      <w:r>
        <w:rPr/>
        <w:t>get</w:t>
      </w:r>
      <w:r>
        <w:rPr>
          <w:spacing w:val="-2"/>
        </w:rPr>
        <w:t> </w:t>
      </w:r>
      <w:r>
        <w:rPr/>
        <w:t>insights</w:t>
      </w:r>
      <w:r>
        <w:rPr>
          <w:spacing w:val="-2"/>
        </w:rPr>
        <w:t> </w:t>
      </w:r>
      <w:r>
        <w:rPr/>
        <w:t>in</w:t>
      </w:r>
      <w:r>
        <w:rPr>
          <w:spacing w:val="-4"/>
        </w:rPr>
        <w:t> </w:t>
      </w:r>
      <w:r>
        <w:rPr/>
        <w:t>how</w:t>
      </w:r>
      <w:r>
        <w:rPr>
          <w:spacing w:val="-2"/>
        </w:rPr>
        <w:t> </w:t>
      </w:r>
      <w:r>
        <w:rPr/>
        <w:t>the</w:t>
      </w:r>
      <w:r>
        <w:rPr>
          <w:spacing w:val="-3"/>
        </w:rPr>
        <w:t> </w:t>
      </w:r>
      <w:r>
        <w:rPr/>
        <w:t>ecosystem</w:t>
      </w:r>
      <w:r>
        <w:rPr>
          <w:spacing w:val="-4"/>
        </w:rPr>
        <w:t> </w:t>
      </w:r>
      <w:r>
        <w:rPr/>
        <w:t>will</w:t>
      </w:r>
      <w:r>
        <w:rPr>
          <w:spacing w:val="-2"/>
        </w:rPr>
        <w:t> </w:t>
      </w:r>
      <w:r>
        <w:rPr/>
        <w:t>respond</w:t>
      </w:r>
      <w:r>
        <w:rPr>
          <w:spacing w:val="-3"/>
        </w:rPr>
        <w:t> </w:t>
      </w:r>
      <w:r>
        <w:rPr/>
        <w:t>to</w:t>
      </w:r>
      <w:r>
        <w:rPr>
          <w:spacing w:val="-1"/>
        </w:rPr>
        <w:t> </w:t>
      </w:r>
      <w:r>
        <w:rPr/>
        <w:t>“natural” nutrient</w:t>
      </w:r>
      <w:r>
        <w:rPr>
          <w:spacing w:val="-2"/>
        </w:rPr>
        <w:t> </w:t>
      </w:r>
      <w:r>
        <w:rPr/>
        <w:t>increases.</w:t>
      </w:r>
      <w:r>
        <w:rPr>
          <w:spacing w:val="-3"/>
        </w:rPr>
        <w:t> </w:t>
      </w:r>
      <w:r>
        <w:rPr/>
        <w:t>Most of the body of knowledge concerning this topic comes from the abundant amount of data present for ecosystems of the northern hemisphere, but quantitative understanding of processes is still lacking for the southern hemisphere, especially for tropic ecosystems (Phoenix et al., 2006). The heterogenous response to nutrient addition observed, for example, in highly diverse, lowland tropical forest in Costa Rica (Alvarez-Clare et al., 2013) complicates abstraction in and across tropical ecosystems leading to contradictive and inconclusive findings. To get reliable data nutrient manipulation experiments have to be set up as long-term experiments (Alvarez-Clare et al., 2013; Cárate-Tandalla et al., 2015). In addition to NuMEx, other long term nutrient manipulation</w:t>
      </w:r>
      <w:r>
        <w:rPr>
          <w:spacing w:val="-4"/>
        </w:rPr>
        <w:t> </w:t>
      </w:r>
      <w:r>
        <w:rPr/>
        <w:t>experiments</w:t>
      </w:r>
      <w:r>
        <w:rPr>
          <w:spacing w:val="-2"/>
        </w:rPr>
        <w:t> </w:t>
      </w:r>
      <w:r>
        <w:rPr/>
        <w:t>around</w:t>
      </w:r>
      <w:r>
        <w:rPr>
          <w:spacing w:val="-4"/>
        </w:rPr>
        <w:t> </w:t>
      </w:r>
      <w:r>
        <w:rPr/>
        <w:t>the</w:t>
      </w:r>
      <w:r>
        <w:rPr>
          <w:spacing w:val="-1"/>
        </w:rPr>
        <w:t> </w:t>
      </w:r>
      <w:r>
        <w:rPr/>
        <w:t>world</w:t>
      </w:r>
      <w:r>
        <w:rPr>
          <w:spacing w:val="-3"/>
        </w:rPr>
        <w:t> </w:t>
      </w:r>
      <w:r>
        <w:rPr/>
        <w:t>are</w:t>
      </w:r>
      <w:r>
        <w:rPr>
          <w:spacing w:val="-3"/>
        </w:rPr>
        <w:t> </w:t>
      </w:r>
      <w:r>
        <w:rPr/>
        <w:t>looking</w:t>
      </w:r>
      <w:r>
        <w:rPr>
          <w:spacing w:val="-3"/>
        </w:rPr>
        <w:t> </w:t>
      </w:r>
      <w:r>
        <w:rPr/>
        <w:t>at</w:t>
      </w:r>
      <w:r>
        <w:rPr>
          <w:spacing w:val="-2"/>
        </w:rPr>
        <w:t> </w:t>
      </w:r>
      <w:r>
        <w:rPr/>
        <w:t>tropical</w:t>
      </w:r>
      <w:r>
        <w:rPr>
          <w:spacing w:val="-4"/>
        </w:rPr>
        <w:t> </w:t>
      </w:r>
      <w:r>
        <w:rPr/>
        <w:t>forests</w:t>
      </w:r>
      <w:r>
        <w:rPr>
          <w:spacing w:val="-3"/>
        </w:rPr>
        <w:t> </w:t>
      </w:r>
      <w:r>
        <w:rPr/>
        <w:t>notably</w:t>
      </w:r>
      <w:r>
        <w:rPr>
          <w:spacing w:val="-4"/>
        </w:rPr>
        <w:t> </w:t>
      </w:r>
      <w:r>
        <w:rPr/>
        <w:t>in</w:t>
      </w:r>
      <w:r>
        <w:rPr>
          <w:spacing w:val="-3"/>
        </w:rPr>
        <w:t> </w:t>
      </w:r>
      <w:r>
        <w:rPr/>
        <w:t>China,</w:t>
      </w:r>
      <w:r>
        <w:rPr>
          <w:spacing w:val="-1"/>
        </w:rPr>
        <w:t> </w:t>
      </w:r>
      <w:r>
        <w:rPr/>
        <w:t>Costa Rica, Indonesia, and Panama (Alvarez-Clare et al., 2013; Mirmantoet al., 1999; Wright et al., 2011; Zhu et al., 2013).</w:t>
      </w:r>
    </w:p>
    <w:p>
      <w:pPr>
        <w:pStyle w:val="BodyText"/>
        <w:spacing w:line="360" w:lineRule="auto" w:before="1"/>
        <w:ind w:right="153" w:firstLine="566"/>
      </w:pPr>
      <w:r>
        <w:rPr/>
        <w:t>The</w:t>
      </w:r>
      <w:r>
        <w:rPr>
          <w:spacing w:val="-2"/>
        </w:rPr>
        <w:t> </w:t>
      </w:r>
      <w:r>
        <w:rPr/>
        <w:t>sites</w:t>
      </w:r>
      <w:r>
        <w:rPr>
          <w:spacing w:val="-1"/>
        </w:rPr>
        <w:t> </w:t>
      </w:r>
      <w:r>
        <w:rPr/>
        <w:t>in</w:t>
      </w:r>
      <w:r>
        <w:rPr>
          <w:spacing w:val="-1"/>
        </w:rPr>
        <w:t> </w:t>
      </w:r>
      <w:r>
        <w:rPr/>
        <w:t>south</w:t>
      </w:r>
      <w:r>
        <w:rPr>
          <w:spacing w:val="-2"/>
        </w:rPr>
        <w:t> </w:t>
      </w:r>
      <w:r>
        <w:rPr/>
        <w:t>Ecuador</w:t>
      </w:r>
      <w:r>
        <w:rPr>
          <w:spacing w:val="-2"/>
        </w:rPr>
        <w:t> </w:t>
      </w:r>
      <w:r>
        <w:rPr/>
        <w:t>set</w:t>
      </w:r>
      <w:r>
        <w:rPr>
          <w:spacing w:val="-3"/>
        </w:rPr>
        <w:t> </w:t>
      </w:r>
      <w:r>
        <w:rPr/>
        <w:t>themselves</w:t>
      </w:r>
      <w:r>
        <w:rPr>
          <w:spacing w:val="-1"/>
        </w:rPr>
        <w:t> </w:t>
      </w:r>
      <w:r>
        <w:rPr/>
        <w:t>apart</w:t>
      </w:r>
      <w:r>
        <w:rPr>
          <w:spacing w:val="-3"/>
        </w:rPr>
        <w:t> </w:t>
      </w:r>
      <w:r>
        <w:rPr/>
        <w:t>through usage</w:t>
      </w:r>
      <w:r>
        <w:rPr>
          <w:spacing w:val="-2"/>
        </w:rPr>
        <w:t> </w:t>
      </w:r>
      <w:r>
        <w:rPr/>
        <w:t>of</w:t>
      </w:r>
      <w:r>
        <w:rPr>
          <w:spacing w:val="-2"/>
        </w:rPr>
        <w:t> </w:t>
      </w:r>
      <w:r>
        <w:rPr/>
        <w:t>more</w:t>
      </w:r>
      <w:r>
        <w:rPr>
          <w:spacing w:val="-2"/>
        </w:rPr>
        <w:t> </w:t>
      </w:r>
      <w:r>
        <w:rPr/>
        <w:t>moderate</w:t>
      </w:r>
      <w:r>
        <w:rPr>
          <w:spacing w:val="-2"/>
        </w:rPr>
        <w:t> </w:t>
      </w:r>
      <w:r>
        <w:rPr/>
        <w:t>amounts</w:t>
      </w:r>
      <w:r>
        <w:rPr>
          <w:spacing w:val="-1"/>
        </w:rPr>
        <w:t> </w:t>
      </w:r>
      <w:r>
        <w:rPr/>
        <w:t>of nutrient addition of 50 kg ha</w:t>
      </w:r>
      <w:r>
        <w:rPr>
          <w:vertAlign w:val="superscript"/>
        </w:rPr>
        <w:t>-1</w:t>
      </w:r>
      <w:r>
        <w:rPr>
          <w:vertAlign w:val="baseline"/>
        </w:rPr>
        <w:t> a</w:t>
      </w:r>
      <w:r>
        <w:rPr>
          <w:vertAlign w:val="superscript"/>
        </w:rPr>
        <w:t>-1</w:t>
      </w:r>
      <w:r>
        <w:rPr>
          <w:spacing w:val="-11"/>
          <w:vertAlign w:val="baseline"/>
        </w:rPr>
        <w:t> </w:t>
      </w:r>
      <w:r>
        <w:rPr>
          <w:vertAlign w:val="baseline"/>
        </w:rPr>
        <w:t>N and 10 kg ha</w:t>
      </w:r>
      <w:r>
        <w:rPr>
          <w:vertAlign w:val="superscript"/>
        </w:rPr>
        <w:t>-1</w:t>
      </w:r>
      <w:r>
        <w:rPr>
          <w:vertAlign w:val="baseline"/>
        </w:rPr>
        <w:t> a</w:t>
      </w:r>
      <w:r>
        <w:rPr>
          <w:vertAlign w:val="superscript"/>
        </w:rPr>
        <w:t>-1</w:t>
      </w:r>
      <w:r>
        <w:rPr>
          <w:spacing w:val="-9"/>
          <w:vertAlign w:val="baseline"/>
        </w:rPr>
        <w:t> </w:t>
      </w:r>
      <w:r>
        <w:rPr>
          <w:vertAlign w:val="baseline"/>
        </w:rPr>
        <w:t>P (Báez &amp; Homeier, 2018) compared to more aggressive</w:t>
      </w:r>
      <w:r>
        <w:rPr>
          <w:spacing w:val="-2"/>
          <w:vertAlign w:val="baseline"/>
        </w:rPr>
        <w:t> </w:t>
      </w:r>
      <w:r>
        <w:rPr>
          <w:vertAlign w:val="baseline"/>
        </w:rPr>
        <w:t>dosing</w:t>
      </w:r>
      <w:r>
        <w:rPr>
          <w:spacing w:val="-2"/>
          <w:vertAlign w:val="baseline"/>
        </w:rPr>
        <w:t> </w:t>
      </w:r>
      <w:r>
        <w:rPr>
          <w:vertAlign w:val="baseline"/>
        </w:rPr>
        <w:t>by</w:t>
      </w:r>
      <w:r>
        <w:rPr>
          <w:spacing w:val="-1"/>
          <w:vertAlign w:val="baseline"/>
        </w:rPr>
        <w:t> </w:t>
      </w:r>
      <w:r>
        <w:rPr>
          <w:vertAlign w:val="baseline"/>
        </w:rPr>
        <w:t>Alvarez-Clare</w:t>
      </w:r>
      <w:r>
        <w:rPr>
          <w:spacing w:val="-2"/>
          <w:vertAlign w:val="baseline"/>
        </w:rPr>
        <w:t> </w:t>
      </w:r>
      <w:r>
        <w:rPr>
          <w:vertAlign w:val="baseline"/>
        </w:rPr>
        <w:t>et</w:t>
      </w:r>
      <w:r>
        <w:rPr>
          <w:spacing w:val="-3"/>
          <w:vertAlign w:val="baseline"/>
        </w:rPr>
        <w:t> </w:t>
      </w:r>
      <w:r>
        <w:rPr>
          <w:vertAlign w:val="baseline"/>
        </w:rPr>
        <w:t>al.</w:t>
      </w:r>
      <w:r>
        <w:rPr>
          <w:spacing w:val="-2"/>
          <w:vertAlign w:val="baseline"/>
        </w:rPr>
        <w:t> </w:t>
      </w:r>
      <w:r>
        <w:rPr>
          <w:vertAlign w:val="baseline"/>
        </w:rPr>
        <w:t>(2013)</w:t>
      </w:r>
      <w:r>
        <w:rPr>
          <w:spacing w:val="-2"/>
          <w:vertAlign w:val="baseline"/>
        </w:rPr>
        <w:t> </w:t>
      </w:r>
      <w:r>
        <w:rPr>
          <w:vertAlign w:val="baseline"/>
        </w:rPr>
        <w:t>and</w:t>
      </w:r>
      <w:r>
        <w:rPr>
          <w:spacing w:val="-3"/>
          <w:vertAlign w:val="baseline"/>
        </w:rPr>
        <w:t> </w:t>
      </w:r>
      <w:r>
        <w:rPr>
          <w:vertAlign w:val="baseline"/>
        </w:rPr>
        <w:t>Gargallo-Garriga</w:t>
      </w:r>
      <w:r>
        <w:rPr>
          <w:spacing w:val="-2"/>
          <w:vertAlign w:val="baseline"/>
        </w:rPr>
        <w:t> </w:t>
      </w:r>
      <w:r>
        <w:rPr>
          <w:vertAlign w:val="baseline"/>
        </w:rPr>
        <w:t>et</w:t>
      </w:r>
      <w:r>
        <w:rPr>
          <w:spacing w:val="-3"/>
          <w:vertAlign w:val="baseline"/>
        </w:rPr>
        <w:t> </w:t>
      </w:r>
      <w:r>
        <w:rPr>
          <w:vertAlign w:val="baseline"/>
        </w:rPr>
        <w:t>al.</w:t>
      </w:r>
      <w:r>
        <w:rPr>
          <w:spacing w:val="-2"/>
          <w:vertAlign w:val="baseline"/>
        </w:rPr>
        <w:t> </w:t>
      </w:r>
      <w:r>
        <w:rPr>
          <w:vertAlign w:val="baseline"/>
        </w:rPr>
        <w:t>(2017)</w:t>
      </w:r>
      <w:r>
        <w:rPr>
          <w:spacing w:val="-1"/>
          <w:vertAlign w:val="baseline"/>
        </w:rPr>
        <w:t> </w:t>
      </w:r>
      <w:r>
        <w:rPr>
          <w:vertAlign w:val="baseline"/>
        </w:rPr>
        <w:t>(100/125</w:t>
      </w:r>
      <w:r>
        <w:rPr>
          <w:spacing w:val="-2"/>
          <w:vertAlign w:val="baseline"/>
        </w:rPr>
        <w:t> </w:t>
      </w:r>
      <w:r>
        <w:rPr>
          <w:vertAlign w:val="baseline"/>
        </w:rPr>
        <w:t>kg</w:t>
      </w:r>
      <w:r>
        <w:rPr>
          <w:spacing w:val="-2"/>
          <w:vertAlign w:val="baseline"/>
        </w:rPr>
        <w:t> </w:t>
      </w:r>
      <w:r>
        <w:rPr>
          <w:vertAlign w:val="baseline"/>
        </w:rPr>
        <w:t>ha</w:t>
      </w:r>
      <w:r>
        <w:rPr>
          <w:vertAlign w:val="superscript"/>
        </w:rPr>
        <w:t>-1</w:t>
      </w:r>
      <w:r>
        <w:rPr>
          <w:spacing w:val="-3"/>
          <w:vertAlign w:val="baseline"/>
        </w:rPr>
        <w:t> </w:t>
      </w:r>
      <w:r>
        <w:rPr>
          <w:vertAlign w:val="baseline"/>
        </w:rPr>
        <w:t>a</w:t>
      </w:r>
      <w:r>
        <w:rPr>
          <w:vertAlign w:val="superscript"/>
        </w:rPr>
        <w:t>-1</w:t>
      </w:r>
      <w:r>
        <w:rPr>
          <w:vertAlign w:val="baseline"/>
        </w:rPr>
        <w:t> N and 47/50 kg ha</w:t>
      </w:r>
      <w:r>
        <w:rPr>
          <w:vertAlign w:val="superscript"/>
        </w:rPr>
        <w:t>-1</w:t>
      </w:r>
      <w:r>
        <w:rPr>
          <w:vertAlign w:val="baseline"/>
        </w:rPr>
        <w:t> a</w:t>
      </w:r>
      <w:r>
        <w:rPr>
          <w:vertAlign w:val="superscript"/>
        </w:rPr>
        <w:t>-1</w:t>
      </w:r>
      <w:r>
        <w:rPr>
          <w:vertAlign w:val="baseline"/>
        </w:rPr>
        <w:t> P respectively), mimicking more closely the anthropogenic entries of</w:t>
      </w:r>
      <w:r>
        <w:rPr>
          <w:spacing w:val="-1"/>
          <w:vertAlign w:val="baseline"/>
        </w:rPr>
        <w:t> </w:t>
      </w:r>
      <w:r>
        <w:rPr>
          <w:vertAlign w:val="baseline"/>
        </w:rPr>
        <w:t>either</w:t>
      </w:r>
    </w:p>
    <w:p>
      <w:pPr>
        <w:pStyle w:val="BodyText"/>
        <w:spacing w:line="360" w:lineRule="auto"/>
        <w:ind w:right="153"/>
      </w:pPr>
      <w:r>
        <w:rPr/>
        <w:t>~20-30 kg ha</w:t>
      </w:r>
      <w:r>
        <w:rPr>
          <w:vertAlign w:val="superscript"/>
        </w:rPr>
        <w:t>-1</w:t>
      </w:r>
      <w:r>
        <w:rPr>
          <w:vertAlign w:val="baseline"/>
        </w:rPr>
        <w:t> a</w:t>
      </w:r>
      <w:r>
        <w:rPr>
          <w:vertAlign w:val="superscript"/>
        </w:rPr>
        <w:t>-1</w:t>
      </w:r>
      <w:r>
        <w:rPr>
          <w:vertAlign w:val="baseline"/>
        </w:rPr>
        <w:t> N and ~1-3 kg ha</w:t>
      </w:r>
      <w:r>
        <w:rPr>
          <w:vertAlign w:val="superscript"/>
        </w:rPr>
        <w:t>-1</w:t>
      </w:r>
      <w:r>
        <w:rPr>
          <w:vertAlign w:val="baseline"/>
        </w:rPr>
        <w:t> a</w:t>
      </w:r>
      <w:r>
        <w:rPr>
          <w:vertAlign w:val="superscript"/>
        </w:rPr>
        <w:t>-1</w:t>
      </w:r>
      <w:r>
        <w:rPr>
          <w:vertAlign w:val="baseline"/>
        </w:rPr>
        <w:t> P - a rough estimation derived from findings by Boy et al. (2008) between 1998 and 2003 - or the more recent data from Velescu et al. (2016) recording 46kg ha</w:t>
      </w:r>
      <w:r>
        <w:rPr>
          <w:vertAlign w:val="superscript"/>
        </w:rPr>
        <w:t>-1</w:t>
      </w:r>
      <w:r>
        <w:rPr>
          <w:vertAlign w:val="baseline"/>
        </w:rPr>
        <w:t> a</w:t>
      </w:r>
      <w:r>
        <w:rPr>
          <w:vertAlign w:val="superscript"/>
        </w:rPr>
        <w:t>-1</w:t>
      </w:r>
      <w:r>
        <w:rPr>
          <w:vertAlign w:val="baseline"/>
        </w:rPr>
        <w:t> N and 2.4</w:t>
      </w:r>
      <w:r>
        <w:rPr>
          <w:spacing w:val="-1"/>
          <w:vertAlign w:val="baseline"/>
        </w:rPr>
        <w:t> </w:t>
      </w:r>
      <w:r>
        <w:rPr>
          <w:vertAlign w:val="baseline"/>
        </w:rPr>
        <w:t>kg ha</w:t>
      </w:r>
      <w:r>
        <w:rPr>
          <w:vertAlign w:val="superscript"/>
        </w:rPr>
        <w:t>-1</w:t>
      </w:r>
      <w:r>
        <w:rPr>
          <w:vertAlign w:val="baseline"/>
        </w:rPr>
        <w:t> a</w:t>
      </w:r>
      <w:r>
        <w:rPr>
          <w:vertAlign w:val="superscript"/>
        </w:rPr>
        <w:t>-1</w:t>
      </w:r>
      <w:r>
        <w:rPr>
          <w:spacing w:val="-16"/>
          <w:vertAlign w:val="baseline"/>
        </w:rPr>
        <w:t> </w:t>
      </w:r>
      <w:r>
        <w:rPr>
          <w:vertAlign w:val="baseline"/>
        </w:rPr>
        <w:t>P dry bulk deposition, while still being high</w:t>
      </w:r>
      <w:r>
        <w:rPr>
          <w:spacing w:val="-1"/>
          <w:vertAlign w:val="baseline"/>
        </w:rPr>
        <w:t> </w:t>
      </w:r>
      <w:r>
        <w:rPr>
          <w:vertAlign w:val="baseline"/>
        </w:rPr>
        <w:t>enough to show</w:t>
      </w:r>
      <w:r>
        <w:rPr>
          <w:spacing w:val="-1"/>
          <w:vertAlign w:val="baseline"/>
        </w:rPr>
        <w:t> </w:t>
      </w:r>
      <w:r>
        <w:rPr>
          <w:vertAlign w:val="baseline"/>
        </w:rPr>
        <w:t>significant impacts</w:t>
      </w:r>
      <w:r>
        <w:rPr>
          <w:spacing w:val="23"/>
          <w:vertAlign w:val="baseline"/>
        </w:rPr>
        <w:t> </w:t>
      </w:r>
      <w:r>
        <w:rPr>
          <w:vertAlign w:val="baseline"/>
        </w:rPr>
        <w:t>on</w:t>
      </w:r>
      <w:r>
        <w:rPr>
          <w:spacing w:val="24"/>
          <w:vertAlign w:val="baseline"/>
        </w:rPr>
        <w:t> </w:t>
      </w:r>
      <w:r>
        <w:rPr>
          <w:vertAlign w:val="baseline"/>
        </w:rPr>
        <w:t>tree</w:t>
      </w:r>
      <w:r>
        <w:rPr>
          <w:spacing w:val="25"/>
          <w:vertAlign w:val="baseline"/>
        </w:rPr>
        <w:t> </w:t>
      </w:r>
      <w:r>
        <w:rPr>
          <w:vertAlign w:val="baseline"/>
        </w:rPr>
        <w:t>growth</w:t>
      </w:r>
      <w:r>
        <w:rPr>
          <w:spacing w:val="25"/>
          <w:vertAlign w:val="baseline"/>
        </w:rPr>
        <w:t> </w:t>
      </w:r>
      <w:r>
        <w:rPr>
          <w:vertAlign w:val="baseline"/>
        </w:rPr>
        <w:t>in</w:t>
      </w:r>
      <w:r>
        <w:rPr>
          <w:spacing w:val="24"/>
          <w:vertAlign w:val="baseline"/>
        </w:rPr>
        <w:t> </w:t>
      </w:r>
      <w:r>
        <w:rPr>
          <w:vertAlign w:val="baseline"/>
        </w:rPr>
        <w:t>the</w:t>
      </w:r>
      <w:r>
        <w:rPr>
          <w:spacing w:val="25"/>
          <w:vertAlign w:val="baseline"/>
        </w:rPr>
        <w:t> </w:t>
      </w:r>
      <w:r>
        <w:rPr>
          <w:vertAlign w:val="baseline"/>
        </w:rPr>
        <w:t>timeframe</w:t>
      </w:r>
      <w:r>
        <w:rPr>
          <w:spacing w:val="25"/>
          <w:vertAlign w:val="baseline"/>
        </w:rPr>
        <w:t> </w:t>
      </w:r>
      <w:r>
        <w:rPr>
          <w:vertAlign w:val="baseline"/>
        </w:rPr>
        <w:t>of</w:t>
      </w:r>
      <w:r>
        <w:rPr>
          <w:spacing w:val="24"/>
          <w:vertAlign w:val="baseline"/>
        </w:rPr>
        <w:t> </w:t>
      </w:r>
      <w:r>
        <w:rPr>
          <w:vertAlign w:val="baseline"/>
        </w:rPr>
        <w:t>the</w:t>
      </w:r>
      <w:r>
        <w:rPr>
          <w:spacing w:val="26"/>
          <w:vertAlign w:val="baseline"/>
        </w:rPr>
        <w:t> </w:t>
      </w:r>
      <w:r>
        <w:rPr>
          <w:vertAlign w:val="baseline"/>
        </w:rPr>
        <w:t>study.</w:t>
      </w:r>
      <w:r>
        <w:rPr>
          <w:spacing w:val="29"/>
          <w:vertAlign w:val="baseline"/>
        </w:rPr>
        <w:t> </w:t>
      </w:r>
      <w:r>
        <w:rPr>
          <w:vertAlign w:val="baseline"/>
        </w:rPr>
        <w:t>Plots</w:t>
      </w:r>
      <w:r>
        <w:rPr>
          <w:spacing w:val="25"/>
          <w:vertAlign w:val="baseline"/>
        </w:rPr>
        <w:t> </w:t>
      </w:r>
      <w:r>
        <w:rPr>
          <w:vertAlign w:val="baseline"/>
        </w:rPr>
        <w:t>have</w:t>
      </w:r>
      <w:r>
        <w:rPr>
          <w:spacing w:val="25"/>
          <w:vertAlign w:val="baseline"/>
        </w:rPr>
        <w:t> </w:t>
      </w:r>
      <w:r>
        <w:rPr>
          <w:vertAlign w:val="baseline"/>
        </w:rPr>
        <w:t>been</w:t>
      </w:r>
      <w:r>
        <w:rPr>
          <w:spacing w:val="25"/>
          <w:vertAlign w:val="baseline"/>
        </w:rPr>
        <w:t> </w:t>
      </w:r>
      <w:r>
        <w:rPr>
          <w:vertAlign w:val="baseline"/>
        </w:rPr>
        <w:t>set</w:t>
      </w:r>
      <w:r>
        <w:rPr>
          <w:spacing w:val="24"/>
          <w:vertAlign w:val="baseline"/>
        </w:rPr>
        <w:t> </w:t>
      </w:r>
      <w:r>
        <w:rPr>
          <w:vertAlign w:val="baseline"/>
        </w:rPr>
        <w:t>up</w:t>
      </w:r>
      <w:r>
        <w:rPr>
          <w:spacing w:val="25"/>
          <w:vertAlign w:val="baseline"/>
        </w:rPr>
        <w:t> </w:t>
      </w:r>
      <w:r>
        <w:rPr>
          <w:vertAlign w:val="baseline"/>
        </w:rPr>
        <w:t>at</w:t>
      </w:r>
      <w:r>
        <w:rPr>
          <w:spacing w:val="24"/>
          <w:vertAlign w:val="baseline"/>
        </w:rPr>
        <w:t> </w:t>
      </w:r>
      <w:r>
        <w:rPr>
          <w:vertAlign w:val="baseline"/>
        </w:rPr>
        <w:t>three</w:t>
      </w:r>
      <w:r>
        <w:rPr>
          <w:spacing w:val="25"/>
          <w:vertAlign w:val="baseline"/>
        </w:rPr>
        <w:t> </w:t>
      </w:r>
      <w:r>
        <w:rPr>
          <w:spacing w:val="-2"/>
          <w:vertAlign w:val="baseline"/>
        </w:rPr>
        <w:t>different</w:t>
      </w:r>
    </w:p>
    <w:p>
      <w:pPr>
        <w:pStyle w:val="BodyText"/>
        <w:spacing w:after="0" w:line="360" w:lineRule="auto"/>
        <w:sectPr>
          <w:pgSz w:w="12240" w:h="15840"/>
          <w:pgMar w:header="0" w:footer="1012" w:top="1220" w:bottom="1200" w:left="850" w:right="850"/>
        </w:sectPr>
      </w:pPr>
    </w:p>
    <w:p>
      <w:pPr>
        <w:pStyle w:val="BodyText"/>
        <w:spacing w:line="360" w:lineRule="auto" w:before="37"/>
        <w:jc w:val="left"/>
      </w:pPr>
      <w:r>
        <w:rPr/>
        <w:t>elevations (~ 1000 / 2000 / 3000m asl) to study the differing effects of nutrient</w:t>
      </w:r>
      <w:r>
        <w:rPr>
          <w:spacing w:val="21"/>
        </w:rPr>
        <w:t> </w:t>
      </w:r>
      <w:r>
        <w:rPr/>
        <w:t>increase over this ecological gradient.</w:t>
      </w:r>
    </w:p>
    <w:p>
      <w:pPr>
        <w:spacing w:before="0"/>
        <w:ind w:left="157" w:right="0" w:firstLine="0"/>
        <w:jc w:val="left"/>
        <w:rPr>
          <w:rFonts w:ascii="Calibri Light"/>
          <w:sz w:val="26"/>
        </w:rPr>
      </w:pPr>
      <w:r>
        <w:rPr>
          <w:rFonts w:ascii="Calibri Light"/>
          <w:color w:val="2E5395"/>
          <w:sz w:val="26"/>
        </w:rPr>
        <w:t>Functional</w:t>
      </w:r>
      <w:r>
        <w:rPr>
          <w:rFonts w:ascii="Calibri Light"/>
          <w:color w:val="2E5395"/>
          <w:spacing w:val="-10"/>
          <w:sz w:val="26"/>
        </w:rPr>
        <w:t> </w:t>
      </w:r>
      <w:r>
        <w:rPr>
          <w:rFonts w:ascii="Calibri Light"/>
          <w:color w:val="2E5395"/>
          <w:spacing w:val="-2"/>
          <w:sz w:val="26"/>
        </w:rPr>
        <w:t>Traits</w:t>
      </w:r>
    </w:p>
    <w:p>
      <w:pPr>
        <w:pStyle w:val="BodyText"/>
        <w:spacing w:line="360" w:lineRule="auto" w:before="157"/>
        <w:ind w:left="100" w:right="152" w:firstLine="569"/>
      </w:pPr>
      <w:r>
        <w:rPr/>
        <w:t>To evaluate the net primary production (NPP) of ecosystems a diversity–productivity relationship (DPR) is often called on. But mixed results have been found if such a relationship exists (Homeier &amp; Leuschner, 2021). Therefore, I will not be assessing productivity in relation to diversity but functional traits. Even though individual level assessment of trees to nutrient</w:t>
      </w:r>
      <w:r>
        <w:rPr>
          <w:spacing w:val="40"/>
        </w:rPr>
        <w:t> </w:t>
      </w:r>
      <w:r>
        <w:rPr/>
        <w:t>addition would have a great expressiveness for the overall response of the forest ecosystem it would be near impossible due to the low density of each species (some tree species are not even represented with at least one species in each plot) as well as the high work/monetary costs associated with a full sampling. Therefore, species mean functional traits have been used by</w:t>
      </w:r>
      <w:r>
        <w:rPr>
          <w:spacing w:val="21"/>
        </w:rPr>
        <w:t> </w:t>
      </w:r>
      <w:r>
        <w:rPr/>
        <w:t>Báez</w:t>
      </w:r>
      <w:r>
        <w:rPr>
          <w:spacing w:val="40"/>
        </w:rPr>
        <w:t> </w:t>
      </w:r>
      <w:r>
        <w:rPr/>
        <w:t>&amp; Homeier (2018) to explain effects of nutrient addition, with functional traits being “morphological,</w:t>
      </w:r>
      <w:r>
        <w:rPr>
          <w:spacing w:val="-3"/>
        </w:rPr>
        <w:t> </w:t>
      </w:r>
      <w:r>
        <w:rPr/>
        <w:t>biochemical,</w:t>
      </w:r>
      <w:r>
        <w:rPr>
          <w:spacing w:val="-3"/>
        </w:rPr>
        <w:t> </w:t>
      </w:r>
      <w:r>
        <w:rPr/>
        <w:t>physiological,</w:t>
      </w:r>
      <w:r>
        <w:rPr>
          <w:spacing w:val="-3"/>
        </w:rPr>
        <w:t> </w:t>
      </w:r>
      <w:r>
        <w:rPr/>
        <w:t>structural,</w:t>
      </w:r>
      <w:r>
        <w:rPr>
          <w:spacing w:val="-3"/>
        </w:rPr>
        <w:t> </w:t>
      </w:r>
      <w:r>
        <w:rPr/>
        <w:t>phenological,</w:t>
      </w:r>
      <w:r>
        <w:rPr>
          <w:spacing w:val="-1"/>
        </w:rPr>
        <w:t> </w:t>
      </w:r>
      <w:r>
        <w:rPr/>
        <w:t>or</w:t>
      </w:r>
      <w:r>
        <w:rPr>
          <w:spacing w:val="-4"/>
        </w:rPr>
        <w:t> </w:t>
      </w:r>
      <w:r>
        <w:rPr/>
        <w:t>behavioural</w:t>
      </w:r>
      <w:r>
        <w:rPr>
          <w:spacing w:val="-4"/>
        </w:rPr>
        <w:t> </w:t>
      </w:r>
      <w:r>
        <w:rPr/>
        <w:t>characteristics that are expressed in phenotypes of individual organisms and are considered relevant to the response of such organisms to the environment and/or their effects on ecosystem properties”</w:t>
      </w:r>
      <w:r>
        <w:rPr>
          <w:spacing w:val="40"/>
        </w:rPr>
        <w:t> </w:t>
      </w:r>
      <w:r>
        <w:rPr/>
        <w:t>(Díaz et al., 2013). There exist many more definitions of functional traits and functional effects based on the aspects that are looked at in detail (Weiss &amp; Ray, 2019). My working definition states that functional traits can be adaptive to environmental factors and mediate the survival of individuals in the face of environmental drivers (i.e., response traits) and/or shape environmental processes (i.e., effect traits) that need not to be adaptive (Nock et al., 2016). These functional traits can be used to group and predict responses and strategies of plants in ecosystems. The review of Caruso et al. (2020) presents the main problems usage of functional traits had, including</w:t>
      </w:r>
      <w:r>
        <w:rPr>
          <w:spacing w:val="40"/>
        </w:rPr>
        <w:t> </w:t>
      </w:r>
      <w:r>
        <w:rPr/>
        <w:t>“Difficulty of Measuring Functional Traits”, “A Lack of Emphasis on the Process by Which Functional Traits</w:t>
      </w:r>
      <w:r>
        <w:rPr>
          <w:spacing w:val="-1"/>
        </w:rPr>
        <w:t> </w:t>
      </w:r>
      <w:r>
        <w:rPr/>
        <w:t>Evolve”,</w:t>
      </w:r>
      <w:r>
        <w:rPr>
          <w:spacing w:val="-1"/>
        </w:rPr>
        <w:t> </w:t>
      </w:r>
      <w:r>
        <w:rPr/>
        <w:t>“The</w:t>
      </w:r>
      <w:r>
        <w:rPr>
          <w:spacing w:val="-2"/>
        </w:rPr>
        <w:t> </w:t>
      </w:r>
      <w:r>
        <w:rPr/>
        <w:t>Difficulty</w:t>
      </w:r>
      <w:r>
        <w:rPr>
          <w:spacing w:val="-3"/>
        </w:rPr>
        <w:t> </w:t>
      </w:r>
      <w:r>
        <w:rPr/>
        <w:t>of</w:t>
      </w:r>
      <w:r>
        <w:rPr>
          <w:spacing w:val="-2"/>
        </w:rPr>
        <w:t> </w:t>
      </w:r>
      <w:r>
        <w:rPr/>
        <w:t>Connecting</w:t>
      </w:r>
      <w:r>
        <w:rPr>
          <w:spacing w:val="-1"/>
        </w:rPr>
        <w:t> </w:t>
      </w:r>
      <w:r>
        <w:rPr/>
        <w:t>Variation</w:t>
      </w:r>
      <w:r>
        <w:rPr>
          <w:spacing w:val="-2"/>
        </w:rPr>
        <w:t> </w:t>
      </w:r>
      <w:r>
        <w:rPr/>
        <w:t>in Functional Traits</w:t>
      </w:r>
      <w:r>
        <w:rPr>
          <w:spacing w:val="-1"/>
        </w:rPr>
        <w:t> </w:t>
      </w:r>
      <w:r>
        <w:rPr/>
        <w:t>to</w:t>
      </w:r>
      <w:r>
        <w:rPr>
          <w:spacing w:val="-2"/>
        </w:rPr>
        <w:t> </w:t>
      </w:r>
      <w:r>
        <w:rPr/>
        <w:t>Variation in Fitness” and “A Lack of Researchers Trained in Both Ecophysiology and Evolutionary Biology” and outlines that in the last 17 years major advancements have been made on all of the topics making functional traits established in modern biological research. To assess functional traits in a species rich environment like the montane rainforest in Ecuador a sampling of at least one individual per species per plot (where possible) has the optimal cost-benefit ratio to derive meaningful</w:t>
      </w:r>
      <w:r>
        <w:rPr>
          <w:spacing w:val="5"/>
        </w:rPr>
        <w:t> </w:t>
      </w:r>
      <w:r>
        <w:rPr/>
        <w:t>species</w:t>
      </w:r>
      <w:r>
        <w:rPr>
          <w:spacing w:val="8"/>
        </w:rPr>
        <w:t> </w:t>
      </w:r>
      <w:r>
        <w:rPr/>
        <w:t>trait</w:t>
      </w:r>
      <w:r>
        <w:rPr>
          <w:spacing w:val="6"/>
        </w:rPr>
        <w:t> </w:t>
      </w:r>
      <w:r>
        <w:rPr/>
        <w:t>values</w:t>
      </w:r>
      <w:r>
        <w:rPr>
          <w:spacing w:val="11"/>
        </w:rPr>
        <w:t> </w:t>
      </w:r>
      <w:r>
        <w:rPr/>
        <w:t>for</w:t>
      </w:r>
      <w:r>
        <w:rPr>
          <w:spacing w:val="6"/>
        </w:rPr>
        <w:t> </w:t>
      </w:r>
      <w:r>
        <w:rPr/>
        <w:t>further</w:t>
      </w:r>
      <w:r>
        <w:rPr>
          <w:spacing w:val="7"/>
        </w:rPr>
        <w:t> </w:t>
      </w:r>
      <w:r>
        <w:rPr/>
        <w:t>analysis</w:t>
      </w:r>
      <w:r>
        <w:rPr>
          <w:spacing w:val="9"/>
        </w:rPr>
        <w:t> </w:t>
      </w:r>
      <w:r>
        <w:rPr/>
        <w:t>(Baraloto</w:t>
      </w:r>
      <w:r>
        <w:rPr>
          <w:spacing w:val="7"/>
        </w:rPr>
        <w:t> </w:t>
      </w:r>
      <w:r>
        <w:rPr/>
        <w:t>et</w:t>
      </w:r>
      <w:r>
        <w:rPr>
          <w:spacing w:val="6"/>
        </w:rPr>
        <w:t> </w:t>
      </w:r>
      <w:r>
        <w:rPr/>
        <w:t>al.,</w:t>
      </w:r>
      <w:r>
        <w:rPr>
          <w:spacing w:val="7"/>
        </w:rPr>
        <w:t> </w:t>
      </w:r>
      <w:r>
        <w:rPr/>
        <w:t>2010).</w:t>
      </w:r>
      <w:r>
        <w:rPr>
          <w:spacing w:val="9"/>
        </w:rPr>
        <w:t> </w:t>
      </w:r>
      <w:r>
        <w:rPr/>
        <w:t>But</w:t>
      </w:r>
      <w:r>
        <w:rPr>
          <w:spacing w:val="6"/>
        </w:rPr>
        <w:t> </w:t>
      </w:r>
      <w:r>
        <w:rPr/>
        <w:t>Baraloto</w:t>
      </w:r>
      <w:r>
        <w:rPr>
          <w:spacing w:val="7"/>
        </w:rPr>
        <w:t> </w:t>
      </w:r>
      <w:r>
        <w:rPr/>
        <w:t>et</w:t>
      </w:r>
      <w:r>
        <w:rPr>
          <w:spacing w:val="6"/>
        </w:rPr>
        <w:t> </w:t>
      </w:r>
      <w:r>
        <w:rPr/>
        <w:t>al.</w:t>
      </w:r>
      <w:r>
        <w:rPr>
          <w:spacing w:val="6"/>
        </w:rPr>
        <w:t> </w:t>
      </w:r>
      <w:r>
        <w:rPr>
          <w:spacing w:val="-2"/>
        </w:rPr>
        <w:t>(2010)</w:t>
      </w:r>
    </w:p>
    <w:p>
      <w:pPr>
        <w:pStyle w:val="BodyText"/>
        <w:spacing w:after="0" w:line="360" w:lineRule="auto"/>
        <w:sectPr>
          <w:pgSz w:w="12240" w:h="15840"/>
          <w:pgMar w:header="0" w:footer="1012" w:top="1220" w:bottom="1200" w:left="850" w:right="850"/>
        </w:sectPr>
      </w:pPr>
    </w:p>
    <w:p>
      <w:pPr>
        <w:pStyle w:val="BodyText"/>
        <w:spacing w:line="360" w:lineRule="auto" w:before="37"/>
        <w:ind w:left="100" w:right="152"/>
      </w:pPr>
      <w:r>
        <w:rPr/>
        <w:t>also state that with increased investment (monetary, time, etc.) the data quality can still be increased, therefore where possible multiple individuals per species should be sampled to</w:t>
      </w:r>
      <w:r>
        <w:rPr>
          <w:spacing w:val="80"/>
        </w:rPr>
        <w:t> </w:t>
      </w:r>
      <w:r>
        <w:rPr/>
        <w:t>calculate meaningful species mean trait values.</w:t>
      </w:r>
    </w:p>
    <w:p>
      <w:pPr>
        <w:pStyle w:val="BodyText"/>
        <w:spacing w:line="360" w:lineRule="auto"/>
        <w:ind w:right="152" w:firstLine="566"/>
      </w:pPr>
      <w:r>
        <w:rPr/>
        <w:t>Because of</w:t>
      </w:r>
      <w:r>
        <w:rPr>
          <w:spacing w:val="-2"/>
        </w:rPr>
        <w:t> </w:t>
      </w:r>
      <w:r>
        <w:rPr/>
        <w:t>the outlined complexity and heterogeneity of the ecosystem in Ecuador as well as the necessity to be observed over long time periods to find significant changes to forest composition and species-/trait-dependent discrepancies, the data gathered in plots of this long-term NuMEx project is worth being periodically analysed to create reliable models and</w:t>
      </w:r>
      <w:r>
        <w:rPr>
          <w:spacing w:val="80"/>
        </w:rPr>
        <w:t> </w:t>
      </w:r>
      <w:r>
        <w:rPr/>
        <w:t>predictions of how this uniquely biodiverse ecosystem will respond to this aspect of global</w:t>
      </w:r>
      <w:r>
        <w:rPr>
          <w:spacing w:val="40"/>
        </w:rPr>
        <w:t> </w:t>
      </w:r>
      <w:r>
        <w:rPr/>
        <w:t>change. Therefore, my thesis explores the in-situ response of trees in the tropical montane forest in the Ecuadorian Andes to the addition of moderate amounts of nitrogen and/or phosphate</w:t>
      </w:r>
      <w:r>
        <w:rPr>
          <w:spacing w:val="40"/>
        </w:rPr>
        <w:t> </w:t>
      </w:r>
      <w:r>
        <w:rPr/>
        <w:t>based on</w:t>
      </w:r>
      <w:r>
        <w:rPr>
          <w:spacing w:val="-1"/>
        </w:rPr>
        <w:t> </w:t>
      </w:r>
      <w:r>
        <w:rPr/>
        <w:t>10</w:t>
      </w:r>
      <w:r>
        <w:rPr>
          <w:spacing w:val="-1"/>
        </w:rPr>
        <w:t> </w:t>
      </w:r>
      <w:r>
        <w:rPr/>
        <w:t>functional</w:t>
      </w:r>
      <w:r>
        <w:rPr>
          <w:spacing w:val="-1"/>
        </w:rPr>
        <w:t> </w:t>
      </w:r>
      <w:r>
        <w:rPr/>
        <w:t>traits, tree diameter, tree species and, their</w:t>
      </w:r>
      <w:r>
        <w:rPr>
          <w:spacing w:val="-2"/>
        </w:rPr>
        <w:t> </w:t>
      </w:r>
      <w:r>
        <w:rPr/>
        <w:t>total</w:t>
      </w:r>
      <w:r>
        <w:rPr>
          <w:spacing w:val="-1"/>
        </w:rPr>
        <w:t> </w:t>
      </w:r>
      <w:r>
        <w:rPr/>
        <w:t>basal</w:t>
      </w:r>
      <w:r>
        <w:rPr>
          <w:spacing w:val="-1"/>
        </w:rPr>
        <w:t> </w:t>
      </w:r>
      <w:r>
        <w:rPr/>
        <w:t>area (BA) as a</w:t>
      </w:r>
      <w:r>
        <w:rPr>
          <w:spacing w:val="-5"/>
        </w:rPr>
        <w:t> </w:t>
      </w:r>
      <w:r>
        <w:rPr/>
        <w:t>means of estimating biomass. It will also expand the models and protocols of Báez &amp; Homeier (2018) to analyse not</w:t>
      </w:r>
      <w:r>
        <w:rPr>
          <w:spacing w:val="-1"/>
        </w:rPr>
        <w:t> </w:t>
      </w:r>
      <w:r>
        <w:rPr/>
        <w:t>only</w:t>
      </w:r>
      <w:r>
        <w:rPr>
          <w:spacing w:val="-1"/>
        </w:rPr>
        <w:t> </w:t>
      </w:r>
      <w:r>
        <w:rPr/>
        <w:t>the 2000m asl</w:t>
      </w:r>
      <w:r>
        <w:rPr>
          <w:spacing w:val="-1"/>
        </w:rPr>
        <w:t> </w:t>
      </w:r>
      <w:r>
        <w:rPr/>
        <w:t>plots but</w:t>
      </w:r>
      <w:r>
        <w:rPr>
          <w:spacing w:val="-1"/>
        </w:rPr>
        <w:t> </w:t>
      </w:r>
      <w:r>
        <w:rPr/>
        <w:t>all</w:t>
      </w:r>
      <w:r>
        <w:rPr>
          <w:spacing w:val="-1"/>
        </w:rPr>
        <w:t> </w:t>
      </w:r>
      <w:r>
        <w:rPr/>
        <w:t>three</w:t>
      </w:r>
      <w:r>
        <w:rPr>
          <w:spacing w:val="-1"/>
        </w:rPr>
        <w:t> </w:t>
      </w:r>
      <w:r>
        <w:rPr/>
        <w:t>elevations (1000/2000/3000m asl) to</w:t>
      </w:r>
      <w:r>
        <w:rPr>
          <w:spacing w:val="-1"/>
        </w:rPr>
        <w:t> </w:t>
      </w:r>
      <w:r>
        <w:rPr/>
        <w:t>get</w:t>
      </w:r>
      <w:r>
        <w:rPr>
          <w:spacing w:val="-1"/>
        </w:rPr>
        <w:t> </w:t>
      </w:r>
      <w:r>
        <w:rPr/>
        <w:t>insights into the effects of an altitudinal gradient on nutrient limitation. Looking at an extended</w:t>
      </w:r>
      <w:r>
        <w:rPr>
          <w:spacing w:val="40"/>
        </w:rPr>
        <w:t> </w:t>
      </w:r>
      <w:r>
        <w:rPr/>
        <w:t>timeframe of about 12-years, I hypothesize that:</w:t>
      </w:r>
    </w:p>
    <w:p>
      <w:pPr>
        <w:pStyle w:val="ListParagraph"/>
        <w:numPr>
          <w:ilvl w:val="0"/>
          <w:numId w:val="1"/>
        </w:numPr>
        <w:tabs>
          <w:tab w:pos="878" w:val="left" w:leader="none"/>
        </w:tabs>
        <w:spacing w:line="360" w:lineRule="auto" w:before="0" w:after="0"/>
        <w:ind w:left="878" w:right="156" w:hanging="360"/>
        <w:jc w:val="both"/>
        <w:rPr>
          <w:rFonts w:ascii="Calibri"/>
          <w:sz w:val="24"/>
        </w:rPr>
      </w:pPr>
      <w:r>
        <w:rPr>
          <w:sz w:val="24"/>
        </w:rPr>
        <w:t>The</w:t>
      </w:r>
      <w:r>
        <w:rPr>
          <w:spacing w:val="-2"/>
          <w:sz w:val="24"/>
        </w:rPr>
        <w:t> </w:t>
      </w:r>
      <w:r>
        <w:rPr>
          <w:sz w:val="24"/>
        </w:rPr>
        <w:t>trait composition</w:t>
      </w:r>
      <w:r>
        <w:rPr>
          <w:spacing w:val="-2"/>
          <w:sz w:val="24"/>
        </w:rPr>
        <w:t> </w:t>
      </w:r>
      <w:r>
        <w:rPr>
          <w:sz w:val="24"/>
        </w:rPr>
        <w:t>should</w:t>
      </w:r>
      <w:r>
        <w:rPr>
          <w:spacing w:val="-1"/>
          <w:sz w:val="24"/>
        </w:rPr>
        <w:t> </w:t>
      </w:r>
      <w:r>
        <w:rPr>
          <w:sz w:val="24"/>
        </w:rPr>
        <w:t>change</w:t>
      </w:r>
      <w:r>
        <w:rPr>
          <w:spacing w:val="-1"/>
          <w:sz w:val="24"/>
        </w:rPr>
        <w:t> </w:t>
      </w:r>
      <w:r>
        <w:rPr>
          <w:sz w:val="24"/>
        </w:rPr>
        <w:t>along</w:t>
      </w:r>
      <w:r>
        <w:rPr>
          <w:spacing w:val="-1"/>
          <w:sz w:val="24"/>
        </w:rPr>
        <w:t> </w:t>
      </w:r>
      <w:r>
        <w:rPr>
          <w:sz w:val="24"/>
        </w:rPr>
        <w:t>the</w:t>
      </w:r>
      <w:r>
        <w:rPr>
          <w:spacing w:val="-1"/>
          <w:sz w:val="24"/>
        </w:rPr>
        <w:t> </w:t>
      </w:r>
      <w:r>
        <w:rPr>
          <w:sz w:val="24"/>
        </w:rPr>
        <w:t>elevation</w:t>
      </w:r>
      <w:r>
        <w:rPr>
          <w:spacing w:val="-2"/>
          <w:sz w:val="24"/>
        </w:rPr>
        <w:t> </w:t>
      </w:r>
      <w:r>
        <w:rPr>
          <w:sz w:val="24"/>
        </w:rPr>
        <w:t>gradient;</w:t>
      </w:r>
      <w:r>
        <w:rPr>
          <w:spacing w:val="-1"/>
          <w:sz w:val="24"/>
        </w:rPr>
        <w:t> </w:t>
      </w:r>
      <w:r>
        <w:rPr>
          <w:sz w:val="24"/>
        </w:rPr>
        <w:t>the</w:t>
      </w:r>
      <w:r>
        <w:rPr>
          <w:spacing w:val="-1"/>
          <w:sz w:val="24"/>
        </w:rPr>
        <w:t> </w:t>
      </w:r>
      <w:r>
        <w:rPr>
          <w:sz w:val="24"/>
        </w:rPr>
        <w:t>higher</w:t>
      </w:r>
      <w:r>
        <w:rPr>
          <w:spacing w:val="-2"/>
          <w:sz w:val="24"/>
        </w:rPr>
        <w:t> </w:t>
      </w:r>
      <w:r>
        <w:rPr>
          <w:sz w:val="24"/>
        </w:rPr>
        <w:t>the</w:t>
      </w:r>
      <w:r>
        <w:rPr>
          <w:spacing w:val="-1"/>
          <w:sz w:val="24"/>
        </w:rPr>
        <w:t> </w:t>
      </w:r>
      <w:r>
        <w:rPr>
          <w:sz w:val="24"/>
        </w:rPr>
        <w:t>elevation, the more conservative traits would be expected due to N-limitation and lower</w:t>
      </w:r>
      <w:r>
        <w:rPr>
          <w:spacing w:val="80"/>
          <w:sz w:val="24"/>
        </w:rPr>
        <w:t> </w:t>
      </w:r>
      <w:r>
        <w:rPr>
          <w:spacing w:val="-2"/>
          <w:sz w:val="24"/>
        </w:rPr>
        <w:t>temperatures</w:t>
      </w:r>
    </w:p>
    <w:p>
      <w:pPr>
        <w:pStyle w:val="ListParagraph"/>
        <w:numPr>
          <w:ilvl w:val="0"/>
          <w:numId w:val="1"/>
        </w:numPr>
        <w:tabs>
          <w:tab w:pos="878" w:val="left" w:leader="none"/>
        </w:tabs>
        <w:spacing w:line="360" w:lineRule="auto" w:before="1" w:after="0"/>
        <w:ind w:left="878" w:right="153" w:hanging="360"/>
        <w:jc w:val="both"/>
        <w:rPr>
          <w:rFonts w:ascii="Calibri" w:hAnsi="Calibri"/>
          <w:sz w:val="24"/>
        </w:rPr>
      </w:pPr>
      <w:r>
        <w:rPr>
          <w:sz w:val="24"/>
        </w:rPr>
        <w:t>The trends in Báez &amp; Homeier (2018) will be confirmed, i.e., nutrient addition plots will show</w:t>
      </w:r>
      <w:r>
        <w:rPr>
          <w:spacing w:val="-4"/>
          <w:sz w:val="24"/>
        </w:rPr>
        <w:t> </w:t>
      </w:r>
      <w:r>
        <w:rPr>
          <w:sz w:val="24"/>
        </w:rPr>
        <w:t>more</w:t>
      </w:r>
      <w:r>
        <w:rPr>
          <w:spacing w:val="-3"/>
          <w:sz w:val="24"/>
        </w:rPr>
        <w:t> </w:t>
      </w:r>
      <w:r>
        <w:rPr>
          <w:sz w:val="24"/>
        </w:rPr>
        <w:t>growth</w:t>
      </w:r>
      <w:r>
        <w:rPr>
          <w:spacing w:val="-2"/>
          <w:sz w:val="24"/>
        </w:rPr>
        <w:t> </w:t>
      </w:r>
      <w:r>
        <w:rPr>
          <w:sz w:val="24"/>
        </w:rPr>
        <w:t>than</w:t>
      </w:r>
      <w:r>
        <w:rPr>
          <w:spacing w:val="-4"/>
          <w:sz w:val="24"/>
        </w:rPr>
        <w:t> </w:t>
      </w:r>
      <w:r>
        <w:rPr>
          <w:sz w:val="24"/>
        </w:rPr>
        <w:t>control</w:t>
      </w:r>
      <w:r>
        <w:rPr>
          <w:spacing w:val="-3"/>
          <w:sz w:val="24"/>
        </w:rPr>
        <w:t> </w:t>
      </w:r>
      <w:r>
        <w:rPr>
          <w:sz w:val="24"/>
        </w:rPr>
        <w:t>plots,</w:t>
      </w:r>
      <w:r>
        <w:rPr>
          <w:spacing w:val="-2"/>
          <w:sz w:val="24"/>
        </w:rPr>
        <w:t> </w:t>
      </w:r>
      <w:r>
        <w:rPr>
          <w:sz w:val="24"/>
        </w:rPr>
        <w:t>with</w:t>
      </w:r>
      <w:r>
        <w:rPr>
          <w:spacing w:val="-2"/>
          <w:sz w:val="24"/>
        </w:rPr>
        <w:t> </w:t>
      </w:r>
      <w:r>
        <w:rPr>
          <w:sz w:val="24"/>
        </w:rPr>
        <w:t>stronger</w:t>
      </w:r>
      <w:r>
        <w:rPr>
          <w:spacing w:val="-4"/>
          <w:sz w:val="24"/>
        </w:rPr>
        <w:t> </w:t>
      </w:r>
      <w:r>
        <w:rPr>
          <w:sz w:val="24"/>
        </w:rPr>
        <w:t>increases</w:t>
      </w:r>
      <w:r>
        <w:rPr>
          <w:spacing w:val="-2"/>
          <w:sz w:val="24"/>
        </w:rPr>
        <w:t> </w:t>
      </w:r>
      <w:r>
        <w:rPr>
          <w:sz w:val="24"/>
        </w:rPr>
        <w:t>in</w:t>
      </w:r>
      <w:r>
        <w:rPr>
          <w:spacing w:val="-3"/>
          <w:sz w:val="24"/>
        </w:rPr>
        <w:t> </w:t>
      </w:r>
      <w:r>
        <w:rPr>
          <w:sz w:val="24"/>
        </w:rPr>
        <w:t>plots receiving</w:t>
      </w:r>
      <w:r>
        <w:rPr>
          <w:spacing w:val="-3"/>
          <w:sz w:val="24"/>
        </w:rPr>
        <w:t> </w:t>
      </w:r>
      <w:r>
        <w:rPr>
          <w:sz w:val="24"/>
        </w:rPr>
        <w:t>both</w:t>
      </w:r>
      <w:r>
        <w:rPr>
          <w:spacing w:val="-3"/>
          <w:sz w:val="24"/>
        </w:rPr>
        <w:t> </w:t>
      </w:r>
      <w:r>
        <w:rPr>
          <w:sz w:val="24"/>
        </w:rPr>
        <w:t>N</w:t>
      </w:r>
      <w:r>
        <w:rPr>
          <w:spacing w:val="-1"/>
          <w:sz w:val="24"/>
        </w:rPr>
        <w:t> </w:t>
      </w:r>
      <w:r>
        <w:rPr>
          <w:sz w:val="24"/>
        </w:rPr>
        <w:t>and </w:t>
      </w:r>
      <w:r>
        <w:rPr>
          <w:spacing w:val="-6"/>
          <w:sz w:val="24"/>
        </w:rPr>
        <w:t>P.</w:t>
      </w:r>
    </w:p>
    <w:p>
      <w:pPr>
        <w:pStyle w:val="ListParagraph"/>
        <w:numPr>
          <w:ilvl w:val="0"/>
          <w:numId w:val="1"/>
        </w:numPr>
        <w:tabs>
          <w:tab w:pos="876" w:val="left" w:leader="none"/>
          <w:tab w:pos="878" w:val="left" w:leader="none"/>
        </w:tabs>
        <w:spacing w:line="360" w:lineRule="auto" w:before="0" w:after="0"/>
        <w:ind w:left="878" w:right="155" w:hanging="360"/>
        <w:jc w:val="both"/>
        <w:rPr>
          <w:sz w:val="24"/>
        </w:rPr>
      </w:pPr>
      <w:r>
        <w:rPr>
          <w:sz w:val="24"/>
        </w:rPr>
        <w:t>Along the altitudinal gradient the impact of P-addition should decrease, and the impact of N-addition should increase based on the findings outlined in the introduction.</w:t>
      </w:r>
    </w:p>
    <w:p>
      <w:pPr>
        <w:pStyle w:val="ListParagraph"/>
        <w:numPr>
          <w:ilvl w:val="0"/>
          <w:numId w:val="1"/>
        </w:numPr>
        <w:tabs>
          <w:tab w:pos="878" w:val="left" w:leader="none"/>
        </w:tabs>
        <w:spacing w:line="360" w:lineRule="auto" w:before="0" w:after="0"/>
        <w:ind w:left="878" w:right="154" w:hanging="360"/>
        <w:jc w:val="both"/>
        <w:rPr>
          <w:rFonts w:ascii="Calibri"/>
          <w:sz w:val="24"/>
        </w:rPr>
      </w:pPr>
      <w:r>
        <w:rPr>
          <w:sz w:val="24"/>
        </w:rPr>
        <w:t>Acquisitive</w:t>
      </w:r>
      <w:r>
        <w:rPr>
          <w:spacing w:val="-2"/>
          <w:sz w:val="24"/>
        </w:rPr>
        <w:t> </w:t>
      </w:r>
      <w:r>
        <w:rPr>
          <w:sz w:val="24"/>
        </w:rPr>
        <w:t>species,</w:t>
      </w:r>
      <w:r>
        <w:rPr>
          <w:spacing w:val="-2"/>
          <w:sz w:val="24"/>
        </w:rPr>
        <w:t> </w:t>
      </w:r>
      <w:r>
        <w:rPr>
          <w:sz w:val="24"/>
        </w:rPr>
        <w:t>as</w:t>
      </w:r>
      <w:r>
        <w:rPr>
          <w:spacing w:val="-2"/>
          <w:sz w:val="24"/>
        </w:rPr>
        <w:t> </w:t>
      </w:r>
      <w:r>
        <w:rPr>
          <w:sz w:val="24"/>
        </w:rPr>
        <w:t>categorized</w:t>
      </w:r>
      <w:r>
        <w:rPr>
          <w:spacing w:val="-2"/>
          <w:sz w:val="24"/>
        </w:rPr>
        <w:t> </w:t>
      </w:r>
      <w:r>
        <w:rPr>
          <w:sz w:val="24"/>
        </w:rPr>
        <w:t>by</w:t>
      </w:r>
      <w:r>
        <w:rPr>
          <w:spacing w:val="-3"/>
          <w:sz w:val="24"/>
        </w:rPr>
        <w:t> </w:t>
      </w:r>
      <w:r>
        <w:rPr>
          <w:sz w:val="24"/>
        </w:rPr>
        <w:t>mean</w:t>
      </w:r>
      <w:r>
        <w:rPr>
          <w:spacing w:val="-3"/>
          <w:sz w:val="24"/>
        </w:rPr>
        <w:t> </w:t>
      </w:r>
      <w:r>
        <w:rPr>
          <w:sz w:val="24"/>
        </w:rPr>
        <w:t>functional</w:t>
      </w:r>
      <w:r>
        <w:rPr>
          <w:spacing w:val="-1"/>
          <w:sz w:val="24"/>
        </w:rPr>
        <w:t> </w:t>
      </w:r>
      <w:r>
        <w:rPr>
          <w:sz w:val="24"/>
        </w:rPr>
        <w:t>traits, should</w:t>
      </w:r>
      <w:r>
        <w:rPr>
          <w:spacing w:val="-2"/>
          <w:sz w:val="24"/>
        </w:rPr>
        <w:t> </w:t>
      </w:r>
      <w:r>
        <w:rPr>
          <w:sz w:val="24"/>
        </w:rPr>
        <w:t>respond</w:t>
      </w:r>
      <w:r>
        <w:rPr>
          <w:spacing w:val="-2"/>
          <w:sz w:val="24"/>
        </w:rPr>
        <w:t> </w:t>
      </w:r>
      <w:r>
        <w:rPr>
          <w:sz w:val="24"/>
        </w:rPr>
        <w:t>more</w:t>
      </w:r>
      <w:r>
        <w:rPr>
          <w:spacing w:val="-2"/>
          <w:sz w:val="24"/>
        </w:rPr>
        <w:t> </w:t>
      </w:r>
      <w:r>
        <w:rPr>
          <w:sz w:val="24"/>
        </w:rPr>
        <w:t>strongly in terms of growth to nutrient addition than conservative species. Trees with different functional</w:t>
      </w:r>
      <w:r>
        <w:rPr>
          <w:spacing w:val="-2"/>
          <w:sz w:val="24"/>
        </w:rPr>
        <w:t> </w:t>
      </w:r>
      <w:r>
        <w:rPr>
          <w:sz w:val="24"/>
        </w:rPr>
        <w:t>traits</w:t>
      </w:r>
      <w:r>
        <w:rPr>
          <w:spacing w:val="-1"/>
          <w:sz w:val="24"/>
        </w:rPr>
        <w:t> </w:t>
      </w:r>
      <w:r>
        <w:rPr>
          <w:sz w:val="24"/>
        </w:rPr>
        <w:t>should differ</w:t>
      </w:r>
      <w:r>
        <w:rPr>
          <w:spacing w:val="-3"/>
          <w:sz w:val="24"/>
        </w:rPr>
        <w:t> </w:t>
      </w:r>
      <w:r>
        <w:rPr>
          <w:sz w:val="24"/>
        </w:rPr>
        <w:t>in</w:t>
      </w:r>
      <w:r>
        <w:rPr>
          <w:spacing w:val="-3"/>
          <w:sz w:val="24"/>
        </w:rPr>
        <w:t> </w:t>
      </w:r>
      <w:r>
        <w:rPr>
          <w:sz w:val="24"/>
        </w:rPr>
        <w:t>their</w:t>
      </w:r>
      <w:r>
        <w:rPr>
          <w:spacing w:val="-3"/>
          <w:sz w:val="24"/>
        </w:rPr>
        <w:t> </w:t>
      </w:r>
      <w:r>
        <w:rPr>
          <w:sz w:val="24"/>
        </w:rPr>
        <w:t>growth response</w:t>
      </w:r>
      <w:r>
        <w:rPr>
          <w:spacing w:val="-1"/>
          <w:sz w:val="24"/>
        </w:rPr>
        <w:t> </w:t>
      </w:r>
      <w:r>
        <w:rPr>
          <w:sz w:val="24"/>
        </w:rPr>
        <w:t>to</w:t>
      </w:r>
      <w:r>
        <w:rPr>
          <w:spacing w:val="-2"/>
          <w:sz w:val="24"/>
        </w:rPr>
        <w:t> </w:t>
      </w:r>
      <w:r>
        <w:rPr>
          <w:sz w:val="24"/>
        </w:rPr>
        <w:t>nutrient</w:t>
      </w:r>
      <w:r>
        <w:rPr>
          <w:spacing w:val="-3"/>
          <w:sz w:val="24"/>
        </w:rPr>
        <w:t> </w:t>
      </w:r>
      <w:r>
        <w:rPr>
          <w:sz w:val="24"/>
        </w:rPr>
        <w:t>addition</w:t>
      </w:r>
      <w:r>
        <w:rPr>
          <w:spacing w:val="-2"/>
          <w:sz w:val="24"/>
        </w:rPr>
        <w:t> </w:t>
      </w:r>
      <w:r>
        <w:rPr>
          <w:sz w:val="24"/>
        </w:rPr>
        <w:t>whereas similar functional traits should yield similar growth responses and therefore productivity during the study period could be explained by the trait-based response to N and P addition.</w:t>
      </w:r>
    </w:p>
    <w:p>
      <w:pPr>
        <w:pStyle w:val="ListParagraph"/>
        <w:spacing w:after="0" w:line="360" w:lineRule="auto"/>
        <w:jc w:val="both"/>
        <w:rPr>
          <w:rFonts w:ascii="Calibri"/>
          <w:sz w:val="24"/>
        </w:rPr>
        <w:sectPr>
          <w:pgSz w:w="12240" w:h="15840"/>
          <w:pgMar w:header="0" w:footer="1012" w:top="1220" w:bottom="1200" w:left="850" w:right="850"/>
        </w:sectPr>
      </w:pPr>
    </w:p>
    <w:p>
      <w:pPr>
        <w:pStyle w:val="Heading1"/>
      </w:pPr>
      <w:bookmarkStart w:name="_bookmark5" w:id="6"/>
      <w:bookmarkEnd w:id="6"/>
      <w:r>
        <w:rPr/>
      </w:r>
      <w:r>
        <w:rPr>
          <w:color w:val="2E5395"/>
        </w:rPr>
        <w:t>Materials</w:t>
      </w:r>
      <w:r>
        <w:rPr>
          <w:color w:val="2E5395"/>
          <w:spacing w:val="-12"/>
        </w:rPr>
        <w:t> </w:t>
      </w:r>
      <w:r>
        <w:rPr>
          <w:color w:val="2E5395"/>
        </w:rPr>
        <w:t>and</w:t>
      </w:r>
      <w:r>
        <w:rPr>
          <w:color w:val="2E5395"/>
          <w:spacing w:val="-8"/>
        </w:rPr>
        <w:t> </w:t>
      </w:r>
      <w:r>
        <w:rPr>
          <w:color w:val="2E5395"/>
          <w:spacing w:val="-2"/>
        </w:rPr>
        <w:t>Methods</w:t>
      </w:r>
    </w:p>
    <w:p>
      <w:pPr>
        <w:pStyle w:val="Heading2"/>
        <w:spacing w:before="236"/>
      </w:pPr>
      <w:bookmarkStart w:name="_bookmark6" w:id="7"/>
      <w:bookmarkEnd w:id="7"/>
      <w:r>
        <w:rPr/>
      </w:r>
      <w:r>
        <w:rPr>
          <w:color w:val="2E5395"/>
        </w:rPr>
        <w:t>Study</w:t>
      </w:r>
      <w:r>
        <w:rPr>
          <w:color w:val="2E5395"/>
          <w:spacing w:val="-6"/>
        </w:rPr>
        <w:t> </w:t>
      </w:r>
      <w:r>
        <w:rPr>
          <w:color w:val="2E5395"/>
          <w:spacing w:val="-4"/>
        </w:rPr>
        <w:t>Area</w:t>
      </w:r>
    </w:p>
    <w:p>
      <w:pPr>
        <w:pStyle w:val="BodyText"/>
        <w:spacing w:line="360" w:lineRule="auto" w:before="47"/>
        <w:ind w:right="152" w:firstLine="566"/>
      </w:pPr>
      <w:r>
        <w:rPr/>
        <w:t>The data for this study was gathered at three sites along a gradient from premontane to upper</w:t>
      </w:r>
      <w:r>
        <w:rPr>
          <w:spacing w:val="-3"/>
        </w:rPr>
        <w:t> </w:t>
      </w:r>
      <w:r>
        <w:rPr/>
        <w:t>montane</w:t>
      </w:r>
      <w:r>
        <w:rPr>
          <w:spacing w:val="-2"/>
        </w:rPr>
        <w:t> </w:t>
      </w:r>
      <w:r>
        <w:rPr/>
        <w:t>tropical</w:t>
      </w:r>
      <w:r>
        <w:rPr>
          <w:spacing w:val="-2"/>
        </w:rPr>
        <w:t> </w:t>
      </w:r>
      <w:r>
        <w:rPr/>
        <w:t>old-growth</w:t>
      </w:r>
      <w:r>
        <w:rPr>
          <w:spacing w:val="-3"/>
        </w:rPr>
        <w:t> </w:t>
      </w:r>
      <w:r>
        <w:rPr/>
        <w:t>forests</w:t>
      </w:r>
      <w:r>
        <w:rPr>
          <w:spacing w:val="-2"/>
        </w:rPr>
        <w:t> </w:t>
      </w:r>
      <w:r>
        <w:rPr/>
        <w:t>in</w:t>
      </w:r>
      <w:r>
        <w:rPr>
          <w:spacing w:val="-1"/>
        </w:rPr>
        <w:t> </w:t>
      </w:r>
      <w:r>
        <w:rPr/>
        <w:t>Ecuador.</w:t>
      </w:r>
      <w:r>
        <w:rPr>
          <w:spacing w:val="-2"/>
        </w:rPr>
        <w:t> </w:t>
      </w:r>
      <w:r>
        <w:rPr/>
        <w:t>The</w:t>
      </w:r>
      <w:r>
        <w:rPr>
          <w:spacing w:val="-2"/>
        </w:rPr>
        <w:t> </w:t>
      </w:r>
      <w:r>
        <w:rPr/>
        <w:t>plots</w:t>
      </w:r>
      <w:r>
        <w:rPr>
          <w:spacing w:val="-2"/>
        </w:rPr>
        <w:t> </w:t>
      </w:r>
      <w:r>
        <w:rPr/>
        <w:t>are</w:t>
      </w:r>
      <w:r>
        <w:rPr>
          <w:spacing w:val="-1"/>
        </w:rPr>
        <w:t> </w:t>
      </w:r>
      <w:r>
        <w:rPr/>
        <w:t>spread</w:t>
      </w:r>
      <w:r>
        <w:rPr>
          <w:spacing w:val="-3"/>
        </w:rPr>
        <w:t> </w:t>
      </w:r>
      <w:r>
        <w:rPr/>
        <w:t>over</w:t>
      </w:r>
      <w:r>
        <w:rPr>
          <w:spacing w:val="-3"/>
        </w:rPr>
        <w:t> </w:t>
      </w:r>
      <w:r>
        <w:rPr/>
        <w:t>the</w:t>
      </w:r>
      <w:r>
        <w:rPr>
          <w:spacing w:val="-2"/>
        </w:rPr>
        <w:t> </w:t>
      </w:r>
      <w:r>
        <w:rPr/>
        <w:t>study</w:t>
      </w:r>
      <w:r>
        <w:rPr>
          <w:spacing w:val="-3"/>
        </w:rPr>
        <w:t> </w:t>
      </w:r>
      <w:r>
        <w:rPr/>
        <w:t>area:</w:t>
      </w:r>
      <w:r>
        <w:rPr>
          <w:spacing w:val="-1"/>
        </w:rPr>
        <w:t> </w:t>
      </w:r>
      <w:r>
        <w:rPr/>
        <w:t>at 990-1200m asl (hereafter called the ‘1000m asl site’ or Bombuscaro) near the city of Zamorra (S 4°06</w:t>
      </w:r>
      <w:r>
        <w:rPr>
          <w:rFonts w:ascii="Times New Roman" w:hAnsi="Times New Roman"/>
        </w:rPr>
        <w:t>″</w:t>
      </w:r>
      <w:r>
        <w:rPr/>
        <w:t>, W 78°58</w:t>
      </w:r>
      <w:r>
        <w:rPr>
          <w:rFonts w:ascii="Times New Roman" w:hAnsi="Times New Roman"/>
        </w:rPr>
        <w:t>″</w:t>
      </w:r>
      <w:r>
        <w:rPr/>
        <w:t>), at 1800-2100m asl (hereafter called the ‘2000m asl site’ or San Francisco) in the Reserva San Francisco (3°580S, 79°040W), and at 2800-3000m asl (hereafter called the ‘3000m asl site’ or Cajanuma) south of Loja (S 04°06, W 79°10) (Fig. 1). The 1000m asl site and the 3000m asl site are located inside the Podocarpus National Park. Climate, ecological aspects, as well as soil properties vary across the distinct locations (Tab. 1). Distinct trends are associated with the altitudinal gradient. Temperature decreases by ~ 5 K/km whereas precipitation increases with altitude (Cárate-Tandalla et al., 2018). The climate at all three sites is tropical humid with April to July being wet season and September to December the driest period (Homeier et al., 2021). Nonetheless, rainfall shows only marginal seasonality with no pronounced dry periods (Emck, 2007). All three sites are year-round humid with canopy cover and tree height decreasing along the elevation gradient. The structure, composition, and appearance of the forest varies greatly (Fig. 2) with only five tree species being shared between 2000m asl site and each of the other sites and a complete species turnover between the 1000m asl and 3000m asl site (Homeier, Leuschner, et al., 2013). At the two upper sites, soils are periodically influenced by surface water and show in some parts chemically reducing conditions. The topography at all elevation is rugged with slopes ranging from 20 to 50° (Báez &amp; Homeier, 2018; Soethe et al., 2008). Highest plant diversity is</w:t>
      </w:r>
      <w:r>
        <w:rPr>
          <w:spacing w:val="40"/>
        </w:rPr>
        <w:t> </w:t>
      </w:r>
      <w:r>
        <w:rPr/>
        <w:t>found at medium elevation and following 2000m asl a continuous reduction in absolute species number and tree height is observed with overall ratio of species-groups (i.e., percentage of trees, shrubs, etc. of total species) staying constant (Homeier, Werner, et al., 2013).</w:t>
      </w:r>
    </w:p>
    <w:p>
      <w:pPr>
        <w:pStyle w:val="BodyText"/>
        <w:spacing w:after="0" w:line="360" w:lineRule="auto"/>
        <w:sectPr>
          <w:pgSz w:w="12240" w:h="15840"/>
          <w:pgMar w:header="0" w:footer="1012" w:top="1240" w:bottom="1200" w:left="850" w:right="850"/>
        </w:sectPr>
      </w:pPr>
    </w:p>
    <w:p>
      <w:pPr>
        <w:spacing w:line="240" w:lineRule="auto"/>
        <w:ind w:left="1559" w:right="0" w:firstLine="0"/>
        <w:rPr>
          <w:sz w:val="20"/>
        </w:rPr>
      </w:pPr>
      <w:r>
        <w:rPr>
          <w:sz w:val="20"/>
        </w:rPr>
        <w:drawing>
          <wp:inline distT="0" distB="0" distL="0" distR="0">
            <wp:extent cx="4782736" cy="51023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82736" cy="5102352"/>
                    </a:xfrm>
                    <a:prstGeom prst="rect">
                      <a:avLst/>
                    </a:prstGeom>
                  </pic:spPr>
                </pic:pic>
              </a:graphicData>
            </a:graphic>
          </wp:inline>
        </w:drawing>
      </w:r>
      <w:r>
        <w:rPr>
          <w:sz w:val="20"/>
        </w:rPr>
      </w:r>
    </w:p>
    <w:p>
      <w:pPr>
        <w:pStyle w:val="BodyText"/>
        <w:spacing w:before="86"/>
        <w:ind w:left="0"/>
        <w:jc w:val="left"/>
        <w:rPr>
          <w:sz w:val="22"/>
        </w:rPr>
      </w:pPr>
    </w:p>
    <w:p>
      <w:pPr>
        <w:spacing w:line="259" w:lineRule="auto" w:before="0"/>
        <w:ind w:left="157" w:right="167" w:firstLine="0"/>
        <w:jc w:val="both"/>
        <w:rPr>
          <w:i/>
          <w:sz w:val="22"/>
        </w:rPr>
      </w:pPr>
      <w:r>
        <w:rPr>
          <w:color w:val="5A5A5A"/>
          <w:spacing w:val="10"/>
          <w:sz w:val="22"/>
        </w:rPr>
        <w:t>Fig.</w:t>
      </w:r>
      <w:r>
        <w:rPr>
          <w:color w:val="5A5A5A"/>
          <w:spacing w:val="40"/>
          <w:sz w:val="22"/>
        </w:rPr>
        <w:t> </w:t>
      </w:r>
      <w:r>
        <w:rPr>
          <w:color w:val="5A5A5A"/>
          <w:sz w:val="22"/>
        </w:rPr>
        <w:t>1:</w:t>
      </w:r>
      <w:r>
        <w:rPr>
          <w:color w:val="5A5A5A"/>
          <w:spacing w:val="40"/>
          <w:sz w:val="22"/>
        </w:rPr>
        <w:t> </w:t>
      </w:r>
      <w:r>
        <w:rPr>
          <w:i/>
          <w:color w:val="5A5A5A"/>
          <w:spacing w:val="11"/>
          <w:sz w:val="22"/>
        </w:rPr>
        <w:t>Location</w:t>
      </w:r>
      <w:r>
        <w:rPr>
          <w:i/>
          <w:color w:val="5A5A5A"/>
          <w:spacing w:val="37"/>
          <w:sz w:val="22"/>
        </w:rPr>
        <w:t> </w:t>
      </w:r>
      <w:r>
        <w:rPr>
          <w:i/>
          <w:color w:val="5A5A5A"/>
          <w:sz w:val="22"/>
        </w:rPr>
        <w:t>of</w:t>
      </w:r>
      <w:r>
        <w:rPr>
          <w:i/>
          <w:color w:val="5A5A5A"/>
          <w:spacing w:val="38"/>
          <w:sz w:val="22"/>
        </w:rPr>
        <w:t> </w:t>
      </w:r>
      <w:r>
        <w:rPr>
          <w:i/>
          <w:color w:val="5A5A5A"/>
          <w:spacing w:val="9"/>
          <w:sz w:val="22"/>
        </w:rPr>
        <w:t>the</w:t>
      </w:r>
      <w:r>
        <w:rPr>
          <w:i/>
          <w:color w:val="5A5A5A"/>
          <w:spacing w:val="37"/>
          <w:sz w:val="22"/>
        </w:rPr>
        <w:t> </w:t>
      </w:r>
      <w:r>
        <w:rPr>
          <w:i/>
          <w:color w:val="5A5A5A"/>
          <w:spacing w:val="12"/>
          <w:sz w:val="22"/>
        </w:rPr>
        <w:t>research</w:t>
      </w:r>
      <w:r>
        <w:rPr>
          <w:i/>
          <w:color w:val="5A5A5A"/>
          <w:spacing w:val="38"/>
          <w:sz w:val="22"/>
        </w:rPr>
        <w:t> </w:t>
      </w:r>
      <w:r>
        <w:rPr>
          <w:i/>
          <w:color w:val="5A5A5A"/>
          <w:spacing w:val="10"/>
          <w:sz w:val="22"/>
        </w:rPr>
        <w:t>area.</w:t>
      </w:r>
      <w:r>
        <w:rPr>
          <w:i/>
          <w:color w:val="5A5A5A"/>
          <w:spacing w:val="38"/>
          <w:sz w:val="22"/>
        </w:rPr>
        <w:t> </w:t>
      </w:r>
      <w:r>
        <w:rPr>
          <w:i/>
          <w:color w:val="5A5A5A"/>
          <w:spacing w:val="9"/>
          <w:sz w:val="22"/>
        </w:rPr>
        <w:t>The</w:t>
      </w:r>
      <w:r>
        <w:rPr>
          <w:i/>
          <w:color w:val="5A5A5A"/>
          <w:spacing w:val="40"/>
          <w:sz w:val="22"/>
        </w:rPr>
        <w:t> </w:t>
      </w:r>
      <w:r>
        <w:rPr>
          <w:i/>
          <w:color w:val="5A5A5A"/>
          <w:spacing w:val="10"/>
          <w:sz w:val="22"/>
        </w:rPr>
        <w:t>image</w:t>
      </w:r>
      <w:r>
        <w:rPr>
          <w:i/>
          <w:color w:val="5A5A5A"/>
          <w:spacing w:val="39"/>
          <w:sz w:val="22"/>
        </w:rPr>
        <w:t> </w:t>
      </w:r>
      <w:r>
        <w:rPr>
          <w:i/>
          <w:color w:val="5A5A5A"/>
          <w:sz w:val="22"/>
        </w:rPr>
        <w:t>on</w:t>
      </w:r>
      <w:r>
        <w:rPr>
          <w:i/>
          <w:color w:val="5A5A5A"/>
          <w:spacing w:val="37"/>
          <w:sz w:val="22"/>
        </w:rPr>
        <w:t> </w:t>
      </w:r>
      <w:r>
        <w:rPr>
          <w:i/>
          <w:color w:val="5A5A5A"/>
          <w:spacing w:val="9"/>
          <w:sz w:val="22"/>
        </w:rPr>
        <w:t>the</w:t>
      </w:r>
      <w:r>
        <w:rPr>
          <w:i/>
          <w:color w:val="5A5A5A"/>
          <w:spacing w:val="37"/>
          <w:sz w:val="22"/>
        </w:rPr>
        <w:t> </w:t>
      </w:r>
      <w:r>
        <w:rPr>
          <w:i/>
          <w:color w:val="5A5A5A"/>
          <w:sz w:val="22"/>
        </w:rPr>
        <w:t>top</w:t>
      </w:r>
      <w:r>
        <w:rPr>
          <w:i/>
          <w:color w:val="5A5A5A"/>
          <w:spacing w:val="39"/>
          <w:sz w:val="22"/>
        </w:rPr>
        <w:t> </w:t>
      </w:r>
      <w:r>
        <w:rPr>
          <w:i/>
          <w:color w:val="5A5A5A"/>
          <w:spacing w:val="10"/>
          <w:sz w:val="22"/>
        </w:rPr>
        <w:t>left</w:t>
      </w:r>
      <w:r>
        <w:rPr>
          <w:i/>
          <w:color w:val="5A5A5A"/>
          <w:spacing w:val="37"/>
          <w:sz w:val="22"/>
        </w:rPr>
        <w:t> </w:t>
      </w:r>
      <w:r>
        <w:rPr>
          <w:i/>
          <w:color w:val="5A5A5A"/>
          <w:spacing w:val="11"/>
          <w:sz w:val="22"/>
        </w:rPr>
        <w:t>shows</w:t>
      </w:r>
      <w:r>
        <w:rPr>
          <w:i/>
          <w:color w:val="5A5A5A"/>
          <w:spacing w:val="38"/>
          <w:sz w:val="22"/>
        </w:rPr>
        <w:t> </w:t>
      </w:r>
      <w:r>
        <w:rPr>
          <w:i/>
          <w:color w:val="5A5A5A"/>
          <w:spacing w:val="9"/>
          <w:sz w:val="22"/>
        </w:rPr>
        <w:t>the</w:t>
      </w:r>
      <w:r>
        <w:rPr>
          <w:i/>
          <w:color w:val="5A5A5A"/>
          <w:spacing w:val="37"/>
          <w:sz w:val="22"/>
        </w:rPr>
        <w:t> </w:t>
      </w:r>
      <w:r>
        <w:rPr>
          <w:i/>
          <w:color w:val="5A5A5A"/>
          <w:spacing w:val="12"/>
          <w:sz w:val="22"/>
        </w:rPr>
        <w:t>general</w:t>
      </w:r>
      <w:r>
        <w:rPr>
          <w:i/>
          <w:color w:val="5A5A5A"/>
          <w:spacing w:val="38"/>
          <w:sz w:val="22"/>
        </w:rPr>
        <w:t> </w:t>
      </w:r>
      <w:r>
        <w:rPr>
          <w:i/>
          <w:color w:val="5A5A5A"/>
          <w:spacing w:val="10"/>
          <w:sz w:val="22"/>
        </w:rPr>
        <w:t>area</w:t>
      </w:r>
      <w:r>
        <w:rPr>
          <w:i/>
          <w:color w:val="5A5A5A"/>
          <w:spacing w:val="39"/>
          <w:sz w:val="22"/>
        </w:rPr>
        <w:t> </w:t>
      </w:r>
      <w:r>
        <w:rPr>
          <w:i/>
          <w:color w:val="5A5A5A"/>
          <w:spacing w:val="9"/>
          <w:sz w:val="22"/>
        </w:rPr>
        <w:t>the</w:t>
      </w:r>
      <w:r>
        <w:rPr>
          <w:i/>
          <w:color w:val="5A5A5A"/>
          <w:spacing w:val="37"/>
          <w:sz w:val="22"/>
        </w:rPr>
        <w:t> </w:t>
      </w:r>
      <w:r>
        <w:rPr>
          <w:i/>
          <w:color w:val="5A5A5A"/>
          <w:spacing w:val="10"/>
          <w:sz w:val="22"/>
        </w:rPr>
        <w:t>sites </w:t>
      </w:r>
      <w:r>
        <w:rPr>
          <w:i/>
          <w:color w:val="5A5A5A"/>
          <w:spacing w:val="9"/>
          <w:sz w:val="22"/>
        </w:rPr>
        <w:t>are</w:t>
      </w:r>
      <w:r>
        <w:rPr>
          <w:i/>
          <w:color w:val="5A5A5A"/>
          <w:spacing w:val="40"/>
          <w:sz w:val="22"/>
        </w:rPr>
        <w:t> </w:t>
      </w:r>
      <w:r>
        <w:rPr>
          <w:i/>
          <w:color w:val="5A5A5A"/>
          <w:spacing w:val="12"/>
          <w:sz w:val="22"/>
        </w:rPr>
        <w:t>situated</w:t>
      </w:r>
      <w:r>
        <w:rPr>
          <w:i/>
          <w:color w:val="5A5A5A"/>
          <w:spacing w:val="40"/>
          <w:sz w:val="22"/>
        </w:rPr>
        <w:t> </w:t>
      </w:r>
      <w:r>
        <w:rPr>
          <w:i/>
          <w:color w:val="5A5A5A"/>
          <w:sz w:val="22"/>
        </w:rPr>
        <w:t>in</w:t>
      </w:r>
      <w:r>
        <w:rPr>
          <w:i/>
          <w:color w:val="5A5A5A"/>
          <w:spacing w:val="51"/>
          <w:sz w:val="22"/>
        </w:rPr>
        <w:t> </w:t>
      </w:r>
      <w:r>
        <w:rPr>
          <w:i/>
          <w:color w:val="5A5A5A"/>
          <w:sz w:val="22"/>
        </w:rPr>
        <w:t>in</w:t>
      </w:r>
      <w:r>
        <w:rPr>
          <w:i/>
          <w:color w:val="5A5A5A"/>
          <w:spacing w:val="50"/>
          <w:sz w:val="22"/>
        </w:rPr>
        <w:t> </w:t>
      </w:r>
      <w:r>
        <w:rPr>
          <w:i/>
          <w:color w:val="5A5A5A"/>
          <w:spacing w:val="11"/>
          <w:sz w:val="22"/>
        </w:rPr>
        <w:t>South</w:t>
      </w:r>
      <w:r>
        <w:rPr>
          <w:i/>
          <w:color w:val="5A5A5A"/>
          <w:spacing w:val="40"/>
          <w:sz w:val="22"/>
        </w:rPr>
        <w:t> </w:t>
      </w:r>
      <w:r>
        <w:rPr>
          <w:i/>
          <w:color w:val="5A5A5A"/>
          <w:spacing w:val="12"/>
          <w:sz w:val="22"/>
        </w:rPr>
        <w:t>America.</w:t>
      </w:r>
      <w:r>
        <w:rPr>
          <w:i/>
          <w:color w:val="5A5A5A"/>
          <w:spacing w:val="40"/>
          <w:sz w:val="22"/>
        </w:rPr>
        <w:t> </w:t>
      </w:r>
      <w:r>
        <w:rPr>
          <w:i/>
          <w:color w:val="5A5A5A"/>
          <w:sz w:val="22"/>
        </w:rPr>
        <w:t>Map</w:t>
      </w:r>
      <w:r>
        <w:rPr>
          <w:i/>
          <w:color w:val="5A5A5A"/>
          <w:spacing w:val="40"/>
          <w:sz w:val="22"/>
        </w:rPr>
        <w:t> </w:t>
      </w:r>
      <w:r>
        <w:rPr>
          <w:i/>
          <w:color w:val="5A5A5A"/>
          <w:sz w:val="22"/>
        </w:rPr>
        <w:t>1</w:t>
      </w:r>
      <w:r>
        <w:rPr>
          <w:i/>
          <w:color w:val="5A5A5A"/>
          <w:spacing w:val="40"/>
          <w:sz w:val="22"/>
        </w:rPr>
        <w:t> </w:t>
      </w:r>
      <w:r>
        <w:rPr>
          <w:i/>
          <w:color w:val="5A5A5A"/>
          <w:spacing w:val="11"/>
          <w:sz w:val="22"/>
        </w:rPr>
        <w:t>shows</w:t>
      </w:r>
      <w:r>
        <w:rPr>
          <w:i/>
          <w:color w:val="5A5A5A"/>
          <w:spacing w:val="40"/>
          <w:sz w:val="22"/>
        </w:rPr>
        <w:t> </w:t>
      </w:r>
      <w:r>
        <w:rPr>
          <w:i/>
          <w:color w:val="5A5A5A"/>
          <w:spacing w:val="9"/>
          <w:sz w:val="22"/>
        </w:rPr>
        <w:t>the</w:t>
      </w:r>
      <w:r>
        <w:rPr>
          <w:i/>
          <w:color w:val="5A5A5A"/>
          <w:spacing w:val="40"/>
          <w:sz w:val="22"/>
        </w:rPr>
        <w:t> </w:t>
      </w:r>
      <w:r>
        <w:rPr>
          <w:i/>
          <w:color w:val="5A5A5A"/>
          <w:spacing w:val="12"/>
          <w:sz w:val="22"/>
        </w:rPr>
        <w:t>location</w:t>
      </w:r>
      <w:r>
        <w:rPr>
          <w:i/>
          <w:color w:val="5A5A5A"/>
          <w:spacing w:val="40"/>
          <w:sz w:val="22"/>
        </w:rPr>
        <w:t> </w:t>
      </w:r>
      <w:r>
        <w:rPr>
          <w:i/>
          <w:color w:val="5A5A5A"/>
          <w:sz w:val="22"/>
        </w:rPr>
        <w:t>of</w:t>
      </w:r>
      <w:r>
        <w:rPr>
          <w:i/>
          <w:color w:val="5A5A5A"/>
          <w:spacing w:val="40"/>
          <w:sz w:val="22"/>
        </w:rPr>
        <w:t> </w:t>
      </w:r>
      <w:r>
        <w:rPr>
          <w:i/>
          <w:color w:val="5A5A5A"/>
          <w:spacing w:val="9"/>
          <w:sz w:val="22"/>
        </w:rPr>
        <w:t>the</w:t>
      </w:r>
      <w:r>
        <w:rPr>
          <w:i/>
          <w:color w:val="5A5A5A"/>
          <w:spacing w:val="50"/>
          <w:sz w:val="22"/>
        </w:rPr>
        <w:t> </w:t>
      </w:r>
      <w:r>
        <w:rPr>
          <w:i/>
          <w:color w:val="5A5A5A"/>
          <w:spacing w:val="12"/>
          <w:sz w:val="22"/>
        </w:rPr>
        <w:t>study</w:t>
      </w:r>
      <w:r>
        <w:rPr>
          <w:i/>
          <w:color w:val="5A5A5A"/>
          <w:spacing w:val="40"/>
          <w:sz w:val="22"/>
        </w:rPr>
        <w:t> </w:t>
      </w:r>
      <w:r>
        <w:rPr>
          <w:i/>
          <w:color w:val="5A5A5A"/>
          <w:spacing w:val="10"/>
          <w:sz w:val="22"/>
        </w:rPr>
        <w:t>area</w:t>
      </w:r>
      <w:r>
        <w:rPr>
          <w:i/>
          <w:color w:val="5A5A5A"/>
          <w:spacing w:val="51"/>
          <w:sz w:val="22"/>
        </w:rPr>
        <w:t> </w:t>
      </w:r>
      <w:r>
        <w:rPr>
          <w:i/>
          <w:color w:val="5A5A5A"/>
          <w:sz w:val="22"/>
        </w:rPr>
        <w:t>in</w:t>
      </w:r>
      <w:r>
        <w:rPr>
          <w:i/>
          <w:color w:val="5A5A5A"/>
          <w:spacing w:val="40"/>
          <w:sz w:val="22"/>
        </w:rPr>
        <w:t> </w:t>
      </w:r>
      <w:r>
        <w:rPr>
          <w:i/>
          <w:color w:val="5A5A5A"/>
          <w:spacing w:val="12"/>
          <w:sz w:val="22"/>
        </w:rPr>
        <w:t>Ecuador.</w:t>
      </w:r>
      <w:r>
        <w:rPr>
          <w:i/>
          <w:color w:val="5A5A5A"/>
          <w:spacing w:val="40"/>
          <w:sz w:val="22"/>
        </w:rPr>
        <w:t> </w:t>
      </w:r>
      <w:r>
        <w:rPr>
          <w:i/>
          <w:color w:val="5A5A5A"/>
          <w:sz w:val="22"/>
        </w:rPr>
        <w:t>Map</w:t>
      </w:r>
      <w:r>
        <w:rPr>
          <w:i/>
          <w:color w:val="5A5A5A"/>
          <w:spacing w:val="40"/>
          <w:sz w:val="22"/>
        </w:rPr>
        <w:t> </w:t>
      </w:r>
      <w:r>
        <w:rPr>
          <w:i/>
          <w:color w:val="5A5A5A"/>
          <w:sz w:val="22"/>
        </w:rPr>
        <w:t>2</w:t>
      </w:r>
      <w:r>
        <w:rPr>
          <w:i/>
          <w:color w:val="5A5A5A"/>
          <w:spacing w:val="39"/>
          <w:sz w:val="22"/>
        </w:rPr>
        <w:t> </w:t>
      </w:r>
      <w:r>
        <w:rPr>
          <w:i/>
          <w:color w:val="5A5A5A"/>
          <w:sz w:val="22"/>
        </w:rPr>
        <w:t>is</w:t>
      </w:r>
      <w:r>
        <w:rPr>
          <w:i/>
          <w:color w:val="5A5A5A"/>
          <w:spacing w:val="40"/>
          <w:sz w:val="22"/>
        </w:rPr>
        <w:t> </w:t>
      </w:r>
      <w:r>
        <w:rPr>
          <w:i/>
          <w:color w:val="5A5A5A"/>
          <w:sz w:val="22"/>
        </w:rPr>
        <w:t>a</w:t>
      </w:r>
      <w:r>
        <w:rPr>
          <w:i/>
          <w:color w:val="5A5A5A"/>
          <w:spacing w:val="14"/>
          <w:sz w:val="22"/>
        </w:rPr>
        <w:t> cross-</w:t>
      </w:r>
      <w:r>
        <w:rPr>
          <w:i/>
          <w:color w:val="5A5A5A"/>
          <w:spacing w:val="12"/>
          <w:sz w:val="22"/>
        </w:rPr>
        <w:t>section</w:t>
      </w:r>
      <w:r>
        <w:rPr>
          <w:i/>
          <w:color w:val="5A5A5A"/>
          <w:spacing w:val="40"/>
          <w:sz w:val="22"/>
        </w:rPr>
        <w:t> </w:t>
      </w:r>
      <w:r>
        <w:rPr>
          <w:i/>
          <w:color w:val="5A5A5A"/>
          <w:sz w:val="22"/>
        </w:rPr>
        <w:t>of</w:t>
      </w:r>
      <w:r>
        <w:rPr>
          <w:i/>
          <w:color w:val="5A5A5A"/>
          <w:spacing w:val="40"/>
          <w:sz w:val="22"/>
        </w:rPr>
        <w:t> </w:t>
      </w:r>
      <w:r>
        <w:rPr>
          <w:i/>
          <w:color w:val="5A5A5A"/>
          <w:spacing w:val="9"/>
          <w:sz w:val="22"/>
        </w:rPr>
        <w:t>the</w:t>
      </w:r>
      <w:r>
        <w:rPr>
          <w:i/>
          <w:color w:val="5A5A5A"/>
          <w:spacing w:val="39"/>
          <w:sz w:val="22"/>
        </w:rPr>
        <w:t> </w:t>
      </w:r>
      <w:r>
        <w:rPr>
          <w:i/>
          <w:color w:val="5A5A5A"/>
          <w:spacing w:val="11"/>
          <w:sz w:val="22"/>
        </w:rPr>
        <w:t>Andean</w:t>
      </w:r>
      <w:r>
        <w:rPr>
          <w:i/>
          <w:color w:val="5A5A5A"/>
          <w:spacing w:val="12"/>
          <w:sz w:val="22"/>
        </w:rPr>
        <w:t> highlighting</w:t>
      </w:r>
      <w:r>
        <w:rPr>
          <w:i/>
          <w:color w:val="5A5A5A"/>
          <w:spacing w:val="40"/>
          <w:sz w:val="22"/>
        </w:rPr>
        <w:t> </w:t>
      </w:r>
      <w:r>
        <w:rPr>
          <w:i/>
          <w:color w:val="5A5A5A"/>
          <w:spacing w:val="9"/>
          <w:sz w:val="22"/>
        </w:rPr>
        <w:t>the</w:t>
      </w:r>
      <w:r>
        <w:rPr>
          <w:i/>
          <w:color w:val="5A5A5A"/>
          <w:spacing w:val="39"/>
          <w:sz w:val="22"/>
        </w:rPr>
        <w:t> </w:t>
      </w:r>
      <w:r>
        <w:rPr>
          <w:i/>
          <w:color w:val="5A5A5A"/>
          <w:spacing w:val="11"/>
          <w:sz w:val="22"/>
        </w:rPr>
        <w:t>Andean</w:t>
      </w:r>
      <w:r>
        <w:rPr>
          <w:i/>
          <w:color w:val="5A5A5A"/>
          <w:spacing w:val="12"/>
          <w:sz w:val="22"/>
        </w:rPr>
        <w:t> depression.</w:t>
      </w:r>
      <w:r>
        <w:rPr>
          <w:i/>
          <w:color w:val="5A5A5A"/>
          <w:spacing w:val="40"/>
          <w:sz w:val="22"/>
        </w:rPr>
        <w:t> </w:t>
      </w:r>
      <w:r>
        <w:rPr>
          <w:i/>
          <w:color w:val="5A5A5A"/>
          <w:sz w:val="22"/>
        </w:rPr>
        <w:t>Map</w:t>
      </w:r>
      <w:r>
        <w:rPr>
          <w:i/>
          <w:color w:val="5A5A5A"/>
          <w:spacing w:val="39"/>
          <w:sz w:val="22"/>
        </w:rPr>
        <w:t> </w:t>
      </w:r>
      <w:r>
        <w:rPr>
          <w:i/>
          <w:color w:val="5A5A5A"/>
          <w:sz w:val="22"/>
        </w:rPr>
        <w:t>3</w:t>
      </w:r>
      <w:r>
        <w:rPr>
          <w:i/>
          <w:color w:val="5A5A5A"/>
          <w:spacing w:val="12"/>
          <w:sz w:val="22"/>
        </w:rPr>
        <w:t> (modified)</w:t>
      </w:r>
      <w:r>
        <w:rPr>
          <w:i/>
          <w:color w:val="5A5A5A"/>
          <w:spacing w:val="40"/>
          <w:sz w:val="22"/>
        </w:rPr>
        <w:t> </w:t>
      </w:r>
      <w:r>
        <w:rPr>
          <w:i/>
          <w:color w:val="5A5A5A"/>
          <w:spacing w:val="11"/>
          <w:sz w:val="22"/>
        </w:rPr>
        <w:t>shows </w:t>
      </w:r>
      <w:r>
        <w:rPr>
          <w:i/>
          <w:color w:val="5A5A5A"/>
          <w:spacing w:val="9"/>
          <w:sz w:val="22"/>
        </w:rPr>
        <w:t>the</w:t>
      </w:r>
      <w:r>
        <w:rPr>
          <w:i/>
          <w:color w:val="5A5A5A"/>
          <w:spacing w:val="9"/>
          <w:sz w:val="22"/>
        </w:rPr>
        <w:t> </w:t>
      </w:r>
      <w:r>
        <w:rPr>
          <w:i/>
          <w:color w:val="5A5A5A"/>
          <w:spacing w:val="14"/>
          <w:sz w:val="22"/>
        </w:rPr>
        <w:t>small-</w:t>
      </w:r>
      <w:r>
        <w:rPr>
          <w:i/>
          <w:color w:val="5A5A5A"/>
          <w:spacing w:val="11"/>
          <w:sz w:val="22"/>
        </w:rPr>
        <w:t>scale</w:t>
      </w:r>
      <w:r>
        <w:rPr>
          <w:i/>
          <w:color w:val="5A5A5A"/>
          <w:spacing w:val="11"/>
          <w:sz w:val="22"/>
        </w:rPr>
        <w:t> </w:t>
      </w:r>
      <w:r>
        <w:rPr>
          <w:i/>
          <w:color w:val="5A5A5A"/>
          <w:spacing w:val="12"/>
          <w:sz w:val="22"/>
        </w:rPr>
        <w:t>topography</w:t>
      </w:r>
      <w:r>
        <w:rPr>
          <w:i/>
          <w:color w:val="5A5A5A"/>
          <w:spacing w:val="12"/>
          <w:sz w:val="22"/>
        </w:rPr>
        <w:t> </w:t>
      </w:r>
      <w:r>
        <w:rPr>
          <w:i/>
          <w:color w:val="5A5A5A"/>
          <w:sz w:val="22"/>
        </w:rPr>
        <w:t>of </w:t>
      </w:r>
      <w:r>
        <w:rPr>
          <w:i/>
          <w:color w:val="5A5A5A"/>
          <w:spacing w:val="9"/>
          <w:sz w:val="22"/>
        </w:rPr>
        <w:t>the</w:t>
      </w:r>
      <w:r>
        <w:rPr>
          <w:i/>
          <w:color w:val="5A5A5A"/>
          <w:spacing w:val="9"/>
          <w:sz w:val="22"/>
        </w:rPr>
        <w:t> </w:t>
      </w:r>
      <w:r>
        <w:rPr>
          <w:i/>
          <w:color w:val="5A5A5A"/>
          <w:spacing w:val="12"/>
          <w:sz w:val="22"/>
        </w:rPr>
        <w:t>experimental</w:t>
      </w:r>
      <w:r>
        <w:rPr>
          <w:i/>
          <w:color w:val="5A5A5A"/>
          <w:spacing w:val="12"/>
          <w:sz w:val="22"/>
        </w:rPr>
        <w:t> </w:t>
      </w:r>
      <w:r>
        <w:rPr>
          <w:i/>
          <w:color w:val="5A5A5A"/>
          <w:spacing w:val="10"/>
          <w:sz w:val="22"/>
        </w:rPr>
        <w:t>plots</w:t>
      </w:r>
      <w:r>
        <w:rPr>
          <w:i/>
          <w:color w:val="5A5A5A"/>
          <w:spacing w:val="10"/>
          <w:sz w:val="22"/>
        </w:rPr>
        <w:t> </w:t>
      </w:r>
      <w:r>
        <w:rPr>
          <w:i/>
          <w:color w:val="5A5A5A"/>
          <w:sz w:val="22"/>
        </w:rPr>
        <w:t>in and </w:t>
      </w:r>
      <w:r>
        <w:rPr>
          <w:i/>
          <w:color w:val="5A5A5A"/>
          <w:spacing w:val="11"/>
          <w:sz w:val="22"/>
        </w:rPr>
        <w:t>around</w:t>
      </w:r>
      <w:r>
        <w:rPr>
          <w:i/>
          <w:color w:val="5A5A5A"/>
          <w:spacing w:val="11"/>
          <w:sz w:val="22"/>
        </w:rPr>
        <w:t> </w:t>
      </w:r>
      <w:r>
        <w:rPr>
          <w:i/>
          <w:color w:val="5A5A5A"/>
          <w:spacing w:val="12"/>
          <w:sz w:val="22"/>
        </w:rPr>
        <w:t>Podocarpus</w:t>
      </w:r>
      <w:r>
        <w:rPr>
          <w:i/>
          <w:color w:val="5A5A5A"/>
          <w:spacing w:val="12"/>
          <w:sz w:val="22"/>
        </w:rPr>
        <w:t> </w:t>
      </w:r>
      <w:r>
        <w:rPr>
          <w:i/>
          <w:color w:val="5A5A5A"/>
          <w:spacing w:val="11"/>
          <w:sz w:val="22"/>
        </w:rPr>
        <w:t>National</w:t>
      </w:r>
      <w:r>
        <w:rPr>
          <w:i/>
          <w:color w:val="5A5A5A"/>
          <w:spacing w:val="11"/>
          <w:sz w:val="22"/>
        </w:rPr>
        <w:t> </w:t>
      </w:r>
      <w:r>
        <w:rPr>
          <w:i/>
          <w:color w:val="5A5A5A"/>
          <w:spacing w:val="10"/>
          <w:sz w:val="22"/>
        </w:rPr>
        <w:t>Park; </w:t>
      </w:r>
      <w:r>
        <w:rPr>
          <w:i/>
          <w:color w:val="5A5A5A"/>
          <w:spacing w:val="11"/>
          <w:sz w:val="22"/>
        </w:rPr>
        <w:t>blocks</w:t>
      </w:r>
      <w:r>
        <w:rPr>
          <w:i/>
          <w:color w:val="5A5A5A"/>
          <w:spacing w:val="40"/>
          <w:sz w:val="22"/>
        </w:rPr>
        <w:t> </w:t>
      </w:r>
      <w:r>
        <w:rPr>
          <w:i/>
          <w:color w:val="5A5A5A"/>
          <w:sz w:val="22"/>
        </w:rPr>
        <w:t>at</w:t>
      </w:r>
      <w:r>
        <w:rPr>
          <w:i/>
          <w:color w:val="5A5A5A"/>
          <w:spacing w:val="40"/>
          <w:sz w:val="22"/>
        </w:rPr>
        <w:t> </w:t>
      </w:r>
      <w:r>
        <w:rPr>
          <w:i/>
          <w:color w:val="5A5A5A"/>
          <w:spacing w:val="10"/>
          <w:sz w:val="22"/>
        </w:rPr>
        <w:t>each</w:t>
      </w:r>
      <w:r>
        <w:rPr>
          <w:i/>
          <w:color w:val="5A5A5A"/>
          <w:spacing w:val="40"/>
          <w:sz w:val="22"/>
        </w:rPr>
        <w:t> </w:t>
      </w:r>
      <w:r>
        <w:rPr>
          <w:i/>
          <w:color w:val="5A5A5A"/>
          <w:spacing w:val="12"/>
          <w:sz w:val="22"/>
        </w:rPr>
        <w:t>altitude</w:t>
      </w:r>
      <w:r>
        <w:rPr>
          <w:i/>
          <w:color w:val="5A5A5A"/>
          <w:spacing w:val="40"/>
          <w:sz w:val="22"/>
        </w:rPr>
        <w:t> </w:t>
      </w:r>
      <w:r>
        <w:rPr>
          <w:i/>
          <w:color w:val="5A5A5A"/>
          <w:spacing w:val="9"/>
          <w:sz w:val="22"/>
        </w:rPr>
        <w:t>are</w:t>
      </w:r>
      <w:r>
        <w:rPr>
          <w:i/>
          <w:color w:val="5A5A5A"/>
          <w:spacing w:val="40"/>
          <w:sz w:val="22"/>
        </w:rPr>
        <w:t> </w:t>
      </w:r>
      <w:r>
        <w:rPr>
          <w:i/>
          <w:color w:val="5A5A5A"/>
          <w:spacing w:val="11"/>
          <w:sz w:val="22"/>
        </w:rPr>
        <w:t>marked</w:t>
      </w:r>
      <w:r>
        <w:rPr>
          <w:i/>
          <w:color w:val="5A5A5A"/>
          <w:spacing w:val="40"/>
          <w:sz w:val="22"/>
        </w:rPr>
        <w:t> </w:t>
      </w:r>
      <w:r>
        <w:rPr>
          <w:i/>
          <w:color w:val="5A5A5A"/>
          <w:spacing w:val="10"/>
          <w:sz w:val="22"/>
        </w:rPr>
        <w:t>with</w:t>
      </w:r>
      <w:r>
        <w:rPr>
          <w:i/>
          <w:color w:val="5A5A5A"/>
          <w:spacing w:val="40"/>
          <w:sz w:val="22"/>
        </w:rPr>
        <w:t> </w:t>
      </w:r>
      <w:r>
        <w:rPr>
          <w:i/>
          <w:color w:val="5A5A5A"/>
          <w:sz w:val="22"/>
        </w:rPr>
        <w:t>a</w:t>
      </w:r>
      <w:r>
        <w:rPr>
          <w:i/>
          <w:color w:val="5A5A5A"/>
          <w:spacing w:val="40"/>
          <w:sz w:val="22"/>
        </w:rPr>
        <w:t> </w:t>
      </w:r>
      <w:r>
        <w:rPr>
          <w:i/>
          <w:color w:val="5A5A5A"/>
          <w:spacing w:val="10"/>
          <w:sz w:val="22"/>
        </w:rPr>
        <w:t>red</w:t>
      </w:r>
      <w:r>
        <w:rPr>
          <w:i/>
          <w:color w:val="5A5A5A"/>
          <w:spacing w:val="40"/>
          <w:sz w:val="22"/>
        </w:rPr>
        <w:t> </w:t>
      </w:r>
      <w:r>
        <w:rPr>
          <w:i/>
          <w:color w:val="5A5A5A"/>
          <w:spacing w:val="10"/>
          <w:sz w:val="22"/>
        </w:rPr>
        <w:t>dot.</w:t>
      </w:r>
      <w:r>
        <w:rPr>
          <w:i/>
          <w:color w:val="5A5A5A"/>
          <w:spacing w:val="40"/>
          <w:sz w:val="22"/>
        </w:rPr>
        <w:t> </w:t>
      </w:r>
      <w:r>
        <w:rPr>
          <w:i/>
          <w:color w:val="5A5A5A"/>
          <w:spacing w:val="9"/>
          <w:sz w:val="22"/>
        </w:rPr>
        <w:t>The</w:t>
      </w:r>
      <w:r>
        <w:rPr>
          <w:i/>
          <w:color w:val="5A5A5A"/>
          <w:spacing w:val="40"/>
          <w:sz w:val="22"/>
        </w:rPr>
        <w:t> </w:t>
      </w:r>
      <w:r>
        <w:rPr>
          <w:i/>
          <w:color w:val="5A5A5A"/>
          <w:spacing w:val="11"/>
          <w:sz w:val="22"/>
        </w:rPr>
        <w:t>digital</w:t>
      </w:r>
      <w:r>
        <w:rPr>
          <w:i/>
          <w:color w:val="5A5A5A"/>
          <w:spacing w:val="40"/>
          <w:sz w:val="22"/>
        </w:rPr>
        <w:t> </w:t>
      </w:r>
      <w:r>
        <w:rPr>
          <w:i/>
          <w:color w:val="5A5A5A"/>
          <w:spacing w:val="12"/>
          <w:sz w:val="22"/>
        </w:rPr>
        <w:t>elevation</w:t>
      </w:r>
      <w:r>
        <w:rPr>
          <w:i/>
          <w:color w:val="5A5A5A"/>
          <w:spacing w:val="40"/>
          <w:sz w:val="22"/>
        </w:rPr>
        <w:t> </w:t>
      </w:r>
      <w:r>
        <w:rPr>
          <w:i/>
          <w:color w:val="5A5A5A"/>
          <w:spacing w:val="10"/>
          <w:sz w:val="22"/>
        </w:rPr>
        <w:t>model</w:t>
      </w:r>
      <w:r>
        <w:rPr>
          <w:i/>
          <w:color w:val="5A5A5A"/>
          <w:spacing w:val="40"/>
          <w:sz w:val="22"/>
        </w:rPr>
        <w:t> </w:t>
      </w:r>
      <w:r>
        <w:rPr>
          <w:i/>
          <w:color w:val="5A5A5A"/>
          <w:spacing w:val="11"/>
          <w:sz w:val="22"/>
        </w:rPr>
        <w:t>(DEM)</w:t>
      </w:r>
      <w:r>
        <w:rPr>
          <w:i/>
          <w:color w:val="5A5A5A"/>
          <w:spacing w:val="40"/>
          <w:sz w:val="22"/>
        </w:rPr>
        <w:t> </w:t>
      </w:r>
      <w:r>
        <w:rPr>
          <w:i/>
          <w:color w:val="5A5A5A"/>
          <w:sz w:val="22"/>
        </w:rPr>
        <w:t>is</w:t>
      </w:r>
      <w:r>
        <w:rPr>
          <w:i/>
          <w:color w:val="5A5A5A"/>
          <w:spacing w:val="40"/>
          <w:sz w:val="22"/>
        </w:rPr>
        <w:t> </w:t>
      </w:r>
      <w:r>
        <w:rPr>
          <w:i/>
          <w:color w:val="5A5A5A"/>
          <w:spacing w:val="10"/>
          <w:sz w:val="22"/>
        </w:rPr>
        <w:t>based </w:t>
      </w:r>
      <w:r>
        <w:rPr>
          <w:i/>
          <w:color w:val="5A5A5A"/>
          <w:sz w:val="22"/>
        </w:rPr>
        <w:t>on</w:t>
      </w:r>
      <w:r>
        <w:rPr>
          <w:i/>
          <w:color w:val="5A5A5A"/>
          <w:spacing w:val="40"/>
          <w:sz w:val="22"/>
        </w:rPr>
        <w:t> </w:t>
      </w:r>
      <w:r>
        <w:rPr>
          <w:i/>
          <w:color w:val="5A5A5A"/>
          <w:spacing w:val="11"/>
          <w:sz w:val="22"/>
        </w:rPr>
        <w:t>Jarvis</w:t>
      </w:r>
      <w:r>
        <w:rPr>
          <w:i/>
          <w:color w:val="5A5A5A"/>
          <w:spacing w:val="40"/>
          <w:sz w:val="22"/>
        </w:rPr>
        <w:t> </w:t>
      </w:r>
      <w:r>
        <w:rPr>
          <w:i/>
          <w:color w:val="5A5A5A"/>
          <w:sz w:val="22"/>
        </w:rPr>
        <w:t>et</w:t>
      </w:r>
      <w:r>
        <w:rPr>
          <w:i/>
          <w:color w:val="5A5A5A"/>
          <w:spacing w:val="40"/>
          <w:sz w:val="22"/>
        </w:rPr>
        <w:t> </w:t>
      </w:r>
      <w:r>
        <w:rPr>
          <w:i/>
          <w:color w:val="5A5A5A"/>
          <w:sz w:val="22"/>
        </w:rPr>
        <w:t>al.</w:t>
      </w:r>
      <w:r>
        <w:rPr>
          <w:i/>
          <w:color w:val="5A5A5A"/>
          <w:spacing w:val="40"/>
          <w:sz w:val="22"/>
        </w:rPr>
        <w:t> </w:t>
      </w:r>
      <w:r>
        <w:rPr>
          <w:i/>
          <w:color w:val="5A5A5A"/>
          <w:spacing w:val="12"/>
          <w:sz w:val="22"/>
        </w:rPr>
        <w:t>(2008).</w:t>
      </w:r>
      <w:r>
        <w:rPr>
          <w:i/>
          <w:color w:val="5A5A5A"/>
          <w:spacing w:val="40"/>
          <w:sz w:val="22"/>
        </w:rPr>
        <w:t> </w:t>
      </w:r>
      <w:r>
        <w:rPr>
          <w:i/>
          <w:color w:val="5A5A5A"/>
          <w:spacing w:val="11"/>
          <w:sz w:val="22"/>
        </w:rPr>
        <w:t>Source:</w:t>
      </w:r>
      <w:r>
        <w:rPr>
          <w:i/>
          <w:color w:val="5A5A5A"/>
          <w:spacing w:val="40"/>
          <w:sz w:val="22"/>
        </w:rPr>
        <w:t> </w:t>
      </w:r>
      <w:r>
        <w:rPr>
          <w:i/>
          <w:color w:val="5A5A5A"/>
          <w:spacing w:val="10"/>
          <w:sz w:val="22"/>
        </w:rPr>
        <w:t>after</w:t>
      </w:r>
      <w:r>
        <w:rPr>
          <w:i/>
          <w:color w:val="5A5A5A"/>
          <w:spacing w:val="40"/>
          <w:sz w:val="22"/>
        </w:rPr>
        <w:t> </w:t>
      </w:r>
      <w:r>
        <w:rPr>
          <w:i/>
          <w:color w:val="5A5A5A"/>
          <w:spacing w:val="11"/>
          <w:sz w:val="22"/>
        </w:rPr>
        <w:t>Richter</w:t>
      </w:r>
      <w:r>
        <w:rPr>
          <w:i/>
          <w:color w:val="5A5A5A"/>
          <w:spacing w:val="40"/>
          <w:sz w:val="22"/>
        </w:rPr>
        <w:t> </w:t>
      </w:r>
      <w:r>
        <w:rPr>
          <w:i/>
          <w:color w:val="5A5A5A"/>
          <w:sz w:val="22"/>
        </w:rPr>
        <w:t>et</w:t>
      </w:r>
      <w:r>
        <w:rPr>
          <w:i/>
          <w:color w:val="5A5A5A"/>
          <w:spacing w:val="40"/>
          <w:sz w:val="22"/>
        </w:rPr>
        <w:t> </w:t>
      </w:r>
      <w:r>
        <w:rPr>
          <w:i/>
          <w:color w:val="5A5A5A"/>
          <w:sz w:val="22"/>
        </w:rPr>
        <w:t>al.</w:t>
      </w:r>
      <w:r>
        <w:rPr>
          <w:i/>
          <w:color w:val="5A5A5A"/>
          <w:spacing w:val="40"/>
          <w:sz w:val="22"/>
        </w:rPr>
        <w:t> </w:t>
      </w:r>
      <w:r>
        <w:rPr>
          <w:i/>
          <w:color w:val="5A5A5A"/>
          <w:spacing w:val="11"/>
          <w:sz w:val="22"/>
        </w:rPr>
        <w:t>(2013)</w:t>
      </w:r>
    </w:p>
    <w:p>
      <w:pPr>
        <w:spacing w:after="0" w:line="259" w:lineRule="auto"/>
        <w:jc w:val="both"/>
        <w:rPr>
          <w:i/>
          <w:sz w:val="22"/>
        </w:rPr>
        <w:sectPr>
          <w:pgSz w:w="12240" w:h="15840"/>
          <w:pgMar w:header="0" w:footer="1012" w:top="1260" w:bottom="1200" w:left="850" w:right="850"/>
        </w:sectPr>
      </w:pP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0"/>
        <w:gridCol w:w="2053"/>
        <w:gridCol w:w="2179"/>
        <w:gridCol w:w="2593"/>
      </w:tblGrid>
      <w:tr>
        <w:trPr>
          <w:trHeight w:val="677" w:hRule="atLeast"/>
        </w:trPr>
        <w:tc>
          <w:tcPr>
            <w:tcW w:w="9405" w:type="dxa"/>
            <w:gridSpan w:val="4"/>
            <w:tcBorders>
              <w:bottom w:val="single" w:sz="4" w:space="0" w:color="7E7E7E"/>
            </w:tcBorders>
          </w:tcPr>
          <w:p>
            <w:pPr>
              <w:pStyle w:val="TableParagraph"/>
              <w:spacing w:line="264" w:lineRule="exact" w:before="0"/>
              <w:ind w:left="107"/>
              <w:jc w:val="left"/>
              <w:rPr>
                <w:i/>
                <w:sz w:val="26"/>
              </w:rPr>
            </w:pPr>
            <w:r>
              <w:rPr>
                <w:sz w:val="26"/>
              </w:rPr>
              <w:t>Tab.</w:t>
            </w:r>
            <w:r>
              <w:rPr>
                <w:spacing w:val="-9"/>
                <w:sz w:val="26"/>
              </w:rPr>
              <w:t> </w:t>
            </w:r>
            <w:r>
              <w:rPr>
                <w:sz w:val="26"/>
              </w:rPr>
              <w:t>1:</w:t>
            </w:r>
            <w:r>
              <w:rPr>
                <w:spacing w:val="-9"/>
                <w:sz w:val="26"/>
              </w:rPr>
              <w:t> </w:t>
            </w:r>
            <w:r>
              <w:rPr>
                <w:i/>
                <w:sz w:val="26"/>
              </w:rPr>
              <w:t>Physiogeographic</w:t>
            </w:r>
            <w:r>
              <w:rPr>
                <w:i/>
                <w:spacing w:val="-8"/>
                <w:sz w:val="26"/>
              </w:rPr>
              <w:t> </w:t>
            </w:r>
            <w:r>
              <w:rPr>
                <w:i/>
                <w:sz w:val="26"/>
              </w:rPr>
              <w:t>and</w:t>
            </w:r>
            <w:r>
              <w:rPr>
                <w:i/>
                <w:spacing w:val="-9"/>
                <w:sz w:val="26"/>
              </w:rPr>
              <w:t> </w:t>
            </w:r>
            <w:r>
              <w:rPr>
                <w:i/>
                <w:sz w:val="26"/>
              </w:rPr>
              <w:t>stand</w:t>
            </w:r>
            <w:r>
              <w:rPr>
                <w:i/>
                <w:spacing w:val="-9"/>
                <w:sz w:val="26"/>
              </w:rPr>
              <w:t> </w:t>
            </w:r>
            <w:r>
              <w:rPr>
                <w:i/>
                <w:sz w:val="26"/>
              </w:rPr>
              <w:t>structural</w:t>
            </w:r>
            <w:r>
              <w:rPr>
                <w:i/>
                <w:spacing w:val="-8"/>
                <w:sz w:val="26"/>
              </w:rPr>
              <w:t> </w:t>
            </w:r>
            <w:r>
              <w:rPr>
                <w:i/>
                <w:sz w:val="26"/>
              </w:rPr>
              <w:t>characteristics</w:t>
            </w:r>
            <w:r>
              <w:rPr>
                <w:i/>
                <w:spacing w:val="-7"/>
                <w:sz w:val="26"/>
              </w:rPr>
              <w:t> </w:t>
            </w:r>
            <w:r>
              <w:rPr>
                <w:i/>
                <w:sz w:val="26"/>
              </w:rPr>
              <w:t>of</w:t>
            </w:r>
            <w:r>
              <w:rPr>
                <w:i/>
                <w:spacing w:val="-8"/>
                <w:sz w:val="26"/>
              </w:rPr>
              <w:t> </w:t>
            </w:r>
            <w:r>
              <w:rPr>
                <w:i/>
                <w:sz w:val="26"/>
              </w:rPr>
              <w:t>the</w:t>
            </w:r>
            <w:r>
              <w:rPr>
                <w:i/>
                <w:spacing w:val="-4"/>
                <w:sz w:val="26"/>
              </w:rPr>
              <w:t> </w:t>
            </w:r>
            <w:r>
              <w:rPr>
                <w:i/>
                <w:sz w:val="26"/>
              </w:rPr>
              <w:t>three</w:t>
            </w:r>
            <w:r>
              <w:rPr>
                <w:i/>
                <w:spacing w:val="-9"/>
                <w:sz w:val="26"/>
              </w:rPr>
              <w:t> </w:t>
            </w:r>
            <w:r>
              <w:rPr>
                <w:i/>
                <w:spacing w:val="-2"/>
                <w:sz w:val="26"/>
              </w:rPr>
              <w:t>study</w:t>
            </w:r>
          </w:p>
          <w:p>
            <w:pPr>
              <w:pStyle w:val="TableParagraph"/>
              <w:spacing w:before="48"/>
              <w:ind w:left="107"/>
              <w:jc w:val="left"/>
              <w:rPr>
                <w:i/>
                <w:sz w:val="26"/>
              </w:rPr>
            </w:pPr>
            <w:r>
              <w:rPr>
                <w:i/>
                <w:sz w:val="26"/>
              </w:rPr>
              <w:t>sites.</w:t>
            </w:r>
            <w:r>
              <w:rPr>
                <w:i/>
                <w:spacing w:val="-7"/>
                <w:sz w:val="26"/>
              </w:rPr>
              <w:t> </w:t>
            </w:r>
            <w:r>
              <w:rPr>
                <w:i/>
                <w:sz w:val="26"/>
              </w:rPr>
              <w:t>After</w:t>
            </w:r>
            <w:r>
              <w:rPr>
                <w:i/>
                <w:spacing w:val="-7"/>
                <w:sz w:val="26"/>
              </w:rPr>
              <w:t> </w:t>
            </w:r>
            <w:r>
              <w:rPr>
                <w:i/>
                <w:sz w:val="26"/>
              </w:rPr>
              <w:t>Cárate-Tandalla</w:t>
            </w:r>
            <w:r>
              <w:rPr>
                <w:i/>
                <w:spacing w:val="-6"/>
                <w:sz w:val="26"/>
              </w:rPr>
              <w:t> </w:t>
            </w:r>
            <w:r>
              <w:rPr>
                <w:i/>
                <w:sz w:val="26"/>
              </w:rPr>
              <w:t>et</w:t>
            </w:r>
            <w:r>
              <w:rPr>
                <w:i/>
                <w:spacing w:val="-7"/>
                <w:sz w:val="26"/>
              </w:rPr>
              <w:t> </w:t>
            </w:r>
            <w:r>
              <w:rPr>
                <w:i/>
                <w:sz w:val="26"/>
              </w:rPr>
              <w:t>al.,</w:t>
            </w:r>
            <w:r>
              <w:rPr>
                <w:i/>
                <w:spacing w:val="-6"/>
                <w:sz w:val="26"/>
              </w:rPr>
              <w:t> </w:t>
            </w:r>
            <w:r>
              <w:rPr>
                <w:i/>
                <w:spacing w:val="-4"/>
                <w:sz w:val="26"/>
              </w:rPr>
              <w:t>2018</w:t>
            </w:r>
          </w:p>
        </w:tc>
      </w:tr>
      <w:tr>
        <w:trPr>
          <w:trHeight w:val="616" w:hRule="atLeast"/>
        </w:trPr>
        <w:tc>
          <w:tcPr>
            <w:tcW w:w="2580" w:type="dxa"/>
            <w:tcBorders>
              <w:top w:val="single" w:sz="4" w:space="0" w:color="7E7E7E"/>
              <w:right w:val="single" w:sz="4" w:space="0" w:color="7E7E7E"/>
            </w:tcBorders>
          </w:tcPr>
          <w:p>
            <w:pPr>
              <w:pStyle w:val="TableParagraph"/>
              <w:spacing w:before="152"/>
              <w:ind w:left="107"/>
              <w:jc w:val="left"/>
              <w:rPr>
                <w:sz w:val="22"/>
              </w:rPr>
            </w:pPr>
            <w:r>
              <w:rPr>
                <w:sz w:val="22"/>
              </w:rPr>
              <w:t>Site</w:t>
            </w:r>
            <w:r>
              <w:rPr>
                <w:spacing w:val="1"/>
                <w:sz w:val="22"/>
              </w:rPr>
              <w:t> </w:t>
            </w:r>
            <w:r>
              <w:rPr>
                <w:spacing w:val="-2"/>
                <w:sz w:val="22"/>
              </w:rPr>
              <w:t>characteristics</w:t>
            </w:r>
          </w:p>
        </w:tc>
        <w:tc>
          <w:tcPr>
            <w:tcW w:w="2053" w:type="dxa"/>
            <w:tcBorders>
              <w:top w:val="single" w:sz="4" w:space="0" w:color="7E7E7E"/>
              <w:left w:val="single" w:sz="4" w:space="0" w:color="7E7E7E"/>
            </w:tcBorders>
          </w:tcPr>
          <w:p>
            <w:pPr>
              <w:pStyle w:val="TableParagraph"/>
              <w:spacing w:line="268" w:lineRule="exact" w:before="0"/>
              <w:ind w:left="103"/>
              <w:jc w:val="left"/>
              <w:rPr>
                <w:sz w:val="22"/>
              </w:rPr>
            </w:pPr>
            <w:r>
              <w:rPr>
                <w:spacing w:val="-2"/>
                <w:sz w:val="22"/>
              </w:rPr>
              <w:t>Bombuscaro</w:t>
            </w:r>
          </w:p>
          <w:p>
            <w:pPr>
              <w:pStyle w:val="TableParagraph"/>
              <w:spacing w:before="41"/>
              <w:ind w:left="103"/>
              <w:jc w:val="left"/>
              <w:rPr>
                <w:sz w:val="22"/>
              </w:rPr>
            </w:pPr>
            <w:r>
              <w:rPr>
                <w:sz w:val="22"/>
              </w:rPr>
              <w:t>1000m</w:t>
            </w:r>
            <w:r>
              <w:rPr>
                <w:spacing w:val="-3"/>
                <w:sz w:val="22"/>
              </w:rPr>
              <w:t> </w:t>
            </w:r>
            <w:r>
              <w:rPr>
                <w:spacing w:val="-5"/>
                <w:sz w:val="22"/>
              </w:rPr>
              <w:t>asl</w:t>
            </w:r>
          </w:p>
        </w:tc>
        <w:tc>
          <w:tcPr>
            <w:tcW w:w="2179" w:type="dxa"/>
            <w:tcBorders>
              <w:top w:val="single" w:sz="4" w:space="0" w:color="7E7E7E"/>
            </w:tcBorders>
          </w:tcPr>
          <w:p>
            <w:pPr>
              <w:pStyle w:val="TableParagraph"/>
              <w:spacing w:line="268" w:lineRule="exact" w:before="0"/>
              <w:ind w:left="177"/>
              <w:jc w:val="left"/>
              <w:rPr>
                <w:sz w:val="22"/>
              </w:rPr>
            </w:pPr>
            <w:r>
              <w:rPr>
                <w:sz w:val="22"/>
              </w:rPr>
              <w:t>San </w:t>
            </w:r>
            <w:r>
              <w:rPr>
                <w:spacing w:val="-2"/>
                <w:sz w:val="22"/>
              </w:rPr>
              <w:t>Francisco</w:t>
            </w:r>
          </w:p>
          <w:p>
            <w:pPr>
              <w:pStyle w:val="TableParagraph"/>
              <w:spacing w:before="41"/>
              <w:ind w:left="177"/>
              <w:jc w:val="left"/>
              <w:rPr>
                <w:sz w:val="22"/>
              </w:rPr>
            </w:pPr>
            <w:r>
              <w:rPr>
                <w:sz w:val="22"/>
              </w:rPr>
              <w:t>2000m</w:t>
            </w:r>
            <w:r>
              <w:rPr>
                <w:spacing w:val="-4"/>
                <w:sz w:val="22"/>
              </w:rPr>
              <w:t> </w:t>
            </w:r>
            <w:r>
              <w:rPr>
                <w:spacing w:val="-5"/>
                <w:sz w:val="22"/>
              </w:rPr>
              <w:t>asl</w:t>
            </w:r>
          </w:p>
        </w:tc>
        <w:tc>
          <w:tcPr>
            <w:tcW w:w="2593" w:type="dxa"/>
            <w:tcBorders>
              <w:top w:val="single" w:sz="4" w:space="0" w:color="7E7E7E"/>
            </w:tcBorders>
          </w:tcPr>
          <w:p>
            <w:pPr>
              <w:pStyle w:val="TableParagraph"/>
              <w:spacing w:line="268" w:lineRule="exact" w:before="0"/>
              <w:ind w:left="351"/>
              <w:jc w:val="left"/>
              <w:rPr>
                <w:sz w:val="22"/>
              </w:rPr>
            </w:pPr>
            <w:r>
              <w:rPr>
                <w:spacing w:val="-2"/>
                <w:sz w:val="22"/>
              </w:rPr>
              <w:t>Cajanuma</w:t>
            </w:r>
          </w:p>
          <w:p>
            <w:pPr>
              <w:pStyle w:val="TableParagraph"/>
              <w:spacing w:before="41"/>
              <w:ind w:left="351"/>
              <w:jc w:val="left"/>
              <w:rPr>
                <w:sz w:val="22"/>
              </w:rPr>
            </w:pPr>
            <w:r>
              <w:rPr>
                <w:sz w:val="22"/>
              </w:rPr>
              <w:t>3000m</w:t>
            </w:r>
            <w:r>
              <w:rPr>
                <w:spacing w:val="-4"/>
                <w:sz w:val="22"/>
              </w:rPr>
              <w:t> </w:t>
            </w:r>
            <w:r>
              <w:rPr>
                <w:spacing w:val="-5"/>
                <w:sz w:val="22"/>
              </w:rPr>
              <w:t>asl</w:t>
            </w:r>
          </w:p>
        </w:tc>
      </w:tr>
      <w:tr>
        <w:trPr>
          <w:trHeight w:val="299" w:hRule="atLeast"/>
        </w:trPr>
        <w:tc>
          <w:tcPr>
            <w:tcW w:w="2580" w:type="dxa"/>
            <w:tcBorders>
              <w:right w:val="single" w:sz="4" w:space="0" w:color="7E7E7E"/>
            </w:tcBorders>
          </w:tcPr>
          <w:p>
            <w:pPr>
              <w:pStyle w:val="TableParagraph"/>
              <w:spacing w:line="268" w:lineRule="exact" w:before="0"/>
              <w:ind w:left="107"/>
              <w:jc w:val="left"/>
              <w:rPr>
                <w:sz w:val="22"/>
              </w:rPr>
            </w:pPr>
            <w:r>
              <w:rPr>
                <w:spacing w:val="-2"/>
                <w:sz w:val="22"/>
              </w:rPr>
              <w:t>Location</w:t>
            </w:r>
          </w:p>
        </w:tc>
        <w:tc>
          <w:tcPr>
            <w:tcW w:w="2053" w:type="dxa"/>
            <w:tcBorders>
              <w:left w:val="single" w:sz="4" w:space="0" w:color="7E7E7E"/>
            </w:tcBorders>
          </w:tcPr>
          <w:p>
            <w:pPr>
              <w:pStyle w:val="TableParagraph"/>
              <w:spacing w:before="0"/>
              <w:ind w:left="0"/>
              <w:jc w:val="left"/>
              <w:rPr>
                <w:rFonts w:ascii="Times New Roman"/>
                <w:sz w:val="22"/>
              </w:rPr>
            </w:pPr>
          </w:p>
        </w:tc>
        <w:tc>
          <w:tcPr>
            <w:tcW w:w="2179" w:type="dxa"/>
          </w:tcPr>
          <w:p>
            <w:pPr>
              <w:pStyle w:val="TableParagraph"/>
              <w:spacing w:before="0"/>
              <w:ind w:left="0"/>
              <w:jc w:val="left"/>
              <w:rPr>
                <w:rFonts w:ascii="Times New Roman"/>
                <w:sz w:val="22"/>
              </w:rPr>
            </w:pPr>
          </w:p>
        </w:tc>
        <w:tc>
          <w:tcPr>
            <w:tcW w:w="2593" w:type="dxa"/>
          </w:tcPr>
          <w:p>
            <w:pPr>
              <w:pStyle w:val="TableParagraph"/>
              <w:spacing w:before="0"/>
              <w:ind w:left="0"/>
              <w:jc w:val="left"/>
              <w:rPr>
                <w:rFonts w:ascii="Times New Roman"/>
                <w:sz w:val="22"/>
              </w:rPr>
            </w:pPr>
          </w:p>
        </w:tc>
      </w:tr>
      <w:tr>
        <w:trPr>
          <w:trHeight w:val="309" w:hRule="atLeast"/>
        </w:trPr>
        <w:tc>
          <w:tcPr>
            <w:tcW w:w="2580" w:type="dxa"/>
            <w:tcBorders>
              <w:right w:val="single" w:sz="4" w:space="0" w:color="7E7E7E"/>
            </w:tcBorders>
          </w:tcPr>
          <w:p>
            <w:pPr>
              <w:pStyle w:val="TableParagraph"/>
              <w:spacing w:before="9"/>
              <w:ind w:left="391"/>
              <w:jc w:val="left"/>
              <w:rPr>
                <w:sz w:val="22"/>
              </w:rPr>
            </w:pPr>
            <w:r>
              <w:rPr>
                <w:sz w:val="22"/>
              </w:rPr>
              <w:t>Altitudinal</w:t>
            </w:r>
            <w:r>
              <w:rPr>
                <w:spacing w:val="-5"/>
                <w:sz w:val="22"/>
              </w:rPr>
              <w:t> </w:t>
            </w:r>
            <w:r>
              <w:rPr>
                <w:sz w:val="22"/>
              </w:rPr>
              <w:t>range</w:t>
            </w:r>
            <w:r>
              <w:rPr>
                <w:spacing w:val="-4"/>
                <w:sz w:val="22"/>
              </w:rPr>
              <w:t> </w:t>
            </w:r>
            <w:r>
              <w:rPr>
                <w:spacing w:val="-10"/>
                <w:sz w:val="22"/>
                <w:vertAlign w:val="superscript"/>
              </w:rPr>
              <w:t>a</w:t>
            </w:r>
          </w:p>
        </w:tc>
        <w:tc>
          <w:tcPr>
            <w:tcW w:w="2053" w:type="dxa"/>
            <w:tcBorders>
              <w:left w:val="single" w:sz="4" w:space="0" w:color="7E7E7E"/>
            </w:tcBorders>
          </w:tcPr>
          <w:p>
            <w:pPr>
              <w:pStyle w:val="TableParagraph"/>
              <w:spacing w:before="9"/>
              <w:ind w:left="103"/>
              <w:jc w:val="left"/>
              <w:rPr>
                <w:sz w:val="22"/>
              </w:rPr>
            </w:pPr>
            <w:r>
              <w:rPr>
                <w:sz w:val="22"/>
              </w:rPr>
              <w:t>990-1100m</w:t>
            </w:r>
            <w:r>
              <w:rPr>
                <w:spacing w:val="-7"/>
                <w:sz w:val="22"/>
              </w:rPr>
              <w:t> </w:t>
            </w:r>
            <w:r>
              <w:rPr>
                <w:spacing w:val="-5"/>
                <w:sz w:val="22"/>
              </w:rPr>
              <w:t>asl</w:t>
            </w:r>
          </w:p>
        </w:tc>
        <w:tc>
          <w:tcPr>
            <w:tcW w:w="2179" w:type="dxa"/>
          </w:tcPr>
          <w:p>
            <w:pPr>
              <w:pStyle w:val="TableParagraph"/>
              <w:spacing w:before="9"/>
              <w:ind w:left="177"/>
              <w:jc w:val="left"/>
              <w:rPr>
                <w:sz w:val="22"/>
              </w:rPr>
            </w:pPr>
            <w:r>
              <w:rPr>
                <w:sz w:val="22"/>
              </w:rPr>
              <w:t>2020-2100m</w:t>
            </w:r>
            <w:r>
              <w:rPr>
                <w:spacing w:val="-8"/>
                <w:sz w:val="22"/>
              </w:rPr>
              <w:t> </w:t>
            </w:r>
            <w:r>
              <w:rPr>
                <w:spacing w:val="-5"/>
                <w:sz w:val="22"/>
              </w:rPr>
              <w:t>asl</w:t>
            </w:r>
          </w:p>
        </w:tc>
        <w:tc>
          <w:tcPr>
            <w:tcW w:w="2593" w:type="dxa"/>
          </w:tcPr>
          <w:p>
            <w:pPr>
              <w:pStyle w:val="TableParagraph"/>
              <w:spacing w:before="9"/>
              <w:ind w:left="351"/>
              <w:jc w:val="left"/>
              <w:rPr>
                <w:sz w:val="22"/>
              </w:rPr>
            </w:pPr>
            <w:r>
              <w:rPr>
                <w:sz w:val="22"/>
              </w:rPr>
              <w:t>2900-3020m</w:t>
            </w:r>
            <w:r>
              <w:rPr>
                <w:spacing w:val="-7"/>
                <w:sz w:val="22"/>
              </w:rPr>
              <w:t> </w:t>
            </w:r>
            <w:r>
              <w:rPr>
                <w:spacing w:val="-5"/>
                <w:sz w:val="22"/>
              </w:rPr>
              <w:t>asl</w:t>
            </w:r>
          </w:p>
        </w:tc>
      </w:tr>
      <w:tr>
        <w:trPr>
          <w:trHeight w:val="309" w:hRule="atLeast"/>
        </w:trPr>
        <w:tc>
          <w:tcPr>
            <w:tcW w:w="2580" w:type="dxa"/>
            <w:tcBorders>
              <w:right w:val="single" w:sz="4" w:space="0" w:color="7E7E7E"/>
            </w:tcBorders>
          </w:tcPr>
          <w:p>
            <w:pPr>
              <w:pStyle w:val="TableParagraph"/>
              <w:spacing w:before="9"/>
              <w:ind w:left="391"/>
              <w:jc w:val="left"/>
              <w:rPr>
                <w:sz w:val="22"/>
              </w:rPr>
            </w:pPr>
            <w:r>
              <w:rPr>
                <w:sz w:val="22"/>
              </w:rPr>
              <w:t>Coordinates</w:t>
            </w:r>
            <w:r>
              <w:rPr>
                <w:spacing w:val="-7"/>
                <w:sz w:val="22"/>
              </w:rPr>
              <w:t> </w:t>
            </w:r>
            <w:r>
              <w:rPr>
                <w:spacing w:val="-10"/>
                <w:sz w:val="22"/>
                <w:vertAlign w:val="superscript"/>
              </w:rPr>
              <w:t>a</w:t>
            </w:r>
          </w:p>
        </w:tc>
        <w:tc>
          <w:tcPr>
            <w:tcW w:w="2053" w:type="dxa"/>
            <w:tcBorders>
              <w:left w:val="single" w:sz="4" w:space="0" w:color="7E7E7E"/>
            </w:tcBorders>
          </w:tcPr>
          <w:p>
            <w:pPr>
              <w:pStyle w:val="TableParagraph"/>
              <w:spacing w:before="9"/>
              <w:ind w:left="103"/>
              <w:jc w:val="left"/>
              <w:rPr>
                <w:sz w:val="22"/>
              </w:rPr>
            </w:pPr>
            <w:r>
              <w:rPr>
                <w:sz w:val="22"/>
              </w:rPr>
              <w:t>4°7’</w:t>
            </w:r>
            <w:r>
              <w:rPr>
                <w:spacing w:val="-1"/>
                <w:sz w:val="22"/>
              </w:rPr>
              <w:t> </w:t>
            </w:r>
            <w:r>
              <w:rPr>
                <w:sz w:val="22"/>
              </w:rPr>
              <w:t>S,</w:t>
            </w:r>
            <w:r>
              <w:rPr>
                <w:spacing w:val="-3"/>
                <w:sz w:val="22"/>
              </w:rPr>
              <w:t> </w:t>
            </w:r>
            <w:r>
              <w:rPr>
                <w:sz w:val="22"/>
              </w:rPr>
              <w:t>78°58’</w:t>
            </w:r>
            <w:r>
              <w:rPr>
                <w:spacing w:val="-1"/>
                <w:sz w:val="22"/>
              </w:rPr>
              <w:t> </w:t>
            </w:r>
            <w:r>
              <w:rPr>
                <w:spacing w:val="-10"/>
                <w:sz w:val="22"/>
              </w:rPr>
              <w:t>W</w:t>
            </w:r>
          </w:p>
        </w:tc>
        <w:tc>
          <w:tcPr>
            <w:tcW w:w="2179" w:type="dxa"/>
          </w:tcPr>
          <w:p>
            <w:pPr>
              <w:pStyle w:val="TableParagraph"/>
              <w:spacing w:before="9"/>
              <w:ind w:left="177"/>
              <w:jc w:val="left"/>
              <w:rPr>
                <w:sz w:val="22"/>
              </w:rPr>
            </w:pPr>
            <w:r>
              <w:rPr>
                <w:sz w:val="22"/>
              </w:rPr>
              <w:t>3°58’</w:t>
            </w:r>
            <w:r>
              <w:rPr>
                <w:spacing w:val="-4"/>
                <w:sz w:val="22"/>
              </w:rPr>
              <w:t> </w:t>
            </w:r>
            <w:r>
              <w:rPr>
                <w:sz w:val="22"/>
              </w:rPr>
              <w:t>S,</w:t>
            </w:r>
            <w:r>
              <w:rPr>
                <w:spacing w:val="-2"/>
                <w:sz w:val="22"/>
              </w:rPr>
              <w:t> </w:t>
            </w:r>
            <w:r>
              <w:rPr>
                <w:sz w:val="22"/>
              </w:rPr>
              <w:t>79°11’</w:t>
            </w:r>
            <w:r>
              <w:rPr>
                <w:spacing w:val="-2"/>
                <w:sz w:val="22"/>
              </w:rPr>
              <w:t> </w:t>
            </w:r>
            <w:r>
              <w:rPr>
                <w:spacing w:val="-10"/>
                <w:sz w:val="22"/>
              </w:rPr>
              <w:t>W</w:t>
            </w:r>
          </w:p>
        </w:tc>
        <w:tc>
          <w:tcPr>
            <w:tcW w:w="2593" w:type="dxa"/>
          </w:tcPr>
          <w:p>
            <w:pPr>
              <w:pStyle w:val="TableParagraph"/>
              <w:spacing w:before="9"/>
              <w:ind w:left="351"/>
              <w:jc w:val="left"/>
              <w:rPr>
                <w:sz w:val="22"/>
              </w:rPr>
            </w:pPr>
            <w:r>
              <w:rPr>
                <w:sz w:val="22"/>
              </w:rPr>
              <w:t>4°7’</w:t>
            </w:r>
            <w:r>
              <w:rPr>
                <w:spacing w:val="-1"/>
                <w:sz w:val="22"/>
              </w:rPr>
              <w:t> </w:t>
            </w:r>
            <w:r>
              <w:rPr>
                <w:sz w:val="22"/>
              </w:rPr>
              <w:t>S,</w:t>
            </w:r>
            <w:r>
              <w:rPr>
                <w:spacing w:val="-3"/>
                <w:sz w:val="22"/>
              </w:rPr>
              <w:t> </w:t>
            </w:r>
            <w:r>
              <w:rPr>
                <w:sz w:val="22"/>
              </w:rPr>
              <w:t>79°11’</w:t>
            </w:r>
            <w:r>
              <w:rPr>
                <w:spacing w:val="-3"/>
                <w:sz w:val="22"/>
              </w:rPr>
              <w:t> </w:t>
            </w:r>
            <w:r>
              <w:rPr>
                <w:spacing w:val="-10"/>
                <w:sz w:val="22"/>
              </w:rPr>
              <w:t>W</w:t>
            </w:r>
          </w:p>
        </w:tc>
      </w:tr>
      <w:tr>
        <w:trPr>
          <w:trHeight w:val="317" w:hRule="atLeast"/>
        </w:trPr>
        <w:tc>
          <w:tcPr>
            <w:tcW w:w="2580" w:type="dxa"/>
            <w:tcBorders>
              <w:right w:val="single" w:sz="4" w:space="0" w:color="7E7E7E"/>
            </w:tcBorders>
          </w:tcPr>
          <w:p>
            <w:pPr>
              <w:pStyle w:val="TableParagraph"/>
              <w:spacing w:before="9"/>
              <w:ind w:left="391"/>
              <w:jc w:val="left"/>
              <w:rPr>
                <w:sz w:val="22"/>
              </w:rPr>
            </w:pPr>
            <w:r>
              <w:rPr>
                <w:sz w:val="22"/>
              </w:rPr>
              <w:t>Temperature</w:t>
            </w:r>
            <w:r>
              <w:rPr>
                <w:spacing w:val="-6"/>
                <w:sz w:val="22"/>
              </w:rPr>
              <w:t> </w:t>
            </w:r>
            <w:r>
              <w:rPr>
                <w:spacing w:val="-10"/>
                <w:sz w:val="22"/>
                <w:vertAlign w:val="superscript"/>
              </w:rPr>
              <w:t>b</w:t>
            </w:r>
          </w:p>
        </w:tc>
        <w:tc>
          <w:tcPr>
            <w:tcW w:w="2053" w:type="dxa"/>
            <w:tcBorders>
              <w:left w:val="single" w:sz="4" w:space="0" w:color="7E7E7E"/>
            </w:tcBorders>
          </w:tcPr>
          <w:p>
            <w:pPr>
              <w:pStyle w:val="TableParagraph"/>
              <w:spacing w:before="9"/>
              <w:ind w:left="103"/>
              <w:jc w:val="left"/>
              <w:rPr>
                <w:sz w:val="22"/>
              </w:rPr>
            </w:pPr>
            <w:r>
              <w:rPr>
                <w:spacing w:val="-2"/>
                <w:sz w:val="22"/>
              </w:rPr>
              <w:t>19.4°C</w:t>
            </w:r>
          </w:p>
        </w:tc>
        <w:tc>
          <w:tcPr>
            <w:tcW w:w="2179" w:type="dxa"/>
          </w:tcPr>
          <w:p>
            <w:pPr>
              <w:pStyle w:val="TableParagraph"/>
              <w:spacing w:before="9"/>
              <w:ind w:left="177"/>
              <w:jc w:val="left"/>
              <w:rPr>
                <w:sz w:val="22"/>
              </w:rPr>
            </w:pPr>
            <w:r>
              <w:rPr>
                <w:spacing w:val="-2"/>
                <w:sz w:val="22"/>
              </w:rPr>
              <w:t>15.7°C</w:t>
            </w:r>
          </w:p>
        </w:tc>
        <w:tc>
          <w:tcPr>
            <w:tcW w:w="2593" w:type="dxa"/>
          </w:tcPr>
          <w:p>
            <w:pPr>
              <w:pStyle w:val="TableParagraph"/>
              <w:spacing w:before="9"/>
              <w:ind w:left="351"/>
              <w:jc w:val="left"/>
              <w:rPr>
                <w:sz w:val="22"/>
              </w:rPr>
            </w:pPr>
            <w:r>
              <w:rPr>
                <w:spacing w:val="-2"/>
                <w:sz w:val="22"/>
              </w:rPr>
              <w:t>9.4°C</w:t>
            </w:r>
          </w:p>
        </w:tc>
      </w:tr>
      <w:tr>
        <w:trPr>
          <w:trHeight w:val="617" w:hRule="atLeast"/>
        </w:trPr>
        <w:tc>
          <w:tcPr>
            <w:tcW w:w="2580" w:type="dxa"/>
            <w:tcBorders>
              <w:right w:val="single" w:sz="4" w:space="0" w:color="7E7E7E"/>
            </w:tcBorders>
          </w:tcPr>
          <w:p>
            <w:pPr>
              <w:pStyle w:val="TableParagraph"/>
              <w:spacing w:line="268" w:lineRule="exact" w:before="0"/>
              <w:ind w:left="391"/>
              <w:jc w:val="left"/>
              <w:rPr>
                <w:sz w:val="22"/>
              </w:rPr>
            </w:pPr>
            <w:r>
              <w:rPr>
                <w:spacing w:val="-4"/>
                <w:sz w:val="22"/>
              </w:rPr>
              <w:t>Mean</w:t>
            </w:r>
          </w:p>
          <w:p>
            <w:pPr>
              <w:pStyle w:val="TableParagraph"/>
              <w:spacing w:before="41"/>
              <w:ind w:left="391"/>
              <w:jc w:val="left"/>
              <w:rPr>
                <w:sz w:val="22"/>
              </w:rPr>
            </w:pPr>
            <w:r>
              <w:rPr>
                <w:sz w:val="22"/>
              </w:rPr>
              <w:t>precipitation</w:t>
            </w:r>
            <w:r>
              <w:rPr>
                <w:spacing w:val="-8"/>
                <w:sz w:val="22"/>
              </w:rPr>
              <w:t> </w:t>
            </w:r>
            <w:r>
              <w:rPr>
                <w:spacing w:val="-10"/>
                <w:sz w:val="22"/>
                <w:vertAlign w:val="superscript"/>
              </w:rPr>
              <w:t>b</w:t>
            </w:r>
          </w:p>
        </w:tc>
        <w:tc>
          <w:tcPr>
            <w:tcW w:w="2053" w:type="dxa"/>
            <w:tcBorders>
              <w:left w:val="single" w:sz="4" w:space="0" w:color="7E7E7E"/>
            </w:tcBorders>
          </w:tcPr>
          <w:p>
            <w:pPr>
              <w:pStyle w:val="TableParagraph"/>
              <w:spacing w:before="155"/>
              <w:ind w:left="103"/>
              <w:jc w:val="left"/>
              <w:rPr>
                <w:sz w:val="22"/>
              </w:rPr>
            </w:pPr>
            <w:r>
              <w:rPr>
                <w:spacing w:val="-2"/>
                <w:sz w:val="22"/>
              </w:rPr>
              <w:t>2230mm</w:t>
            </w:r>
          </w:p>
        </w:tc>
        <w:tc>
          <w:tcPr>
            <w:tcW w:w="2179" w:type="dxa"/>
          </w:tcPr>
          <w:p>
            <w:pPr>
              <w:pStyle w:val="TableParagraph"/>
              <w:spacing w:before="155"/>
              <w:ind w:left="177"/>
              <w:jc w:val="left"/>
              <w:rPr>
                <w:sz w:val="22"/>
              </w:rPr>
            </w:pPr>
            <w:r>
              <w:rPr>
                <w:spacing w:val="-2"/>
                <w:sz w:val="22"/>
              </w:rPr>
              <w:t>1950mm</w:t>
            </w:r>
          </w:p>
        </w:tc>
        <w:tc>
          <w:tcPr>
            <w:tcW w:w="2593" w:type="dxa"/>
          </w:tcPr>
          <w:p>
            <w:pPr>
              <w:pStyle w:val="TableParagraph"/>
              <w:spacing w:before="155"/>
              <w:ind w:left="351"/>
              <w:jc w:val="left"/>
              <w:rPr>
                <w:sz w:val="22"/>
              </w:rPr>
            </w:pPr>
            <w:r>
              <w:rPr>
                <w:spacing w:val="-2"/>
                <w:sz w:val="22"/>
              </w:rPr>
              <w:t>4500mm</w:t>
            </w:r>
          </w:p>
        </w:tc>
      </w:tr>
      <w:tr>
        <w:trPr>
          <w:trHeight w:val="299" w:hRule="atLeast"/>
        </w:trPr>
        <w:tc>
          <w:tcPr>
            <w:tcW w:w="2580" w:type="dxa"/>
            <w:tcBorders>
              <w:right w:val="single" w:sz="4" w:space="0" w:color="7E7E7E"/>
            </w:tcBorders>
          </w:tcPr>
          <w:p>
            <w:pPr>
              <w:pStyle w:val="TableParagraph"/>
              <w:spacing w:before="0"/>
              <w:ind w:left="107"/>
              <w:jc w:val="left"/>
              <w:rPr>
                <w:sz w:val="22"/>
              </w:rPr>
            </w:pPr>
            <w:r>
              <w:rPr>
                <w:sz w:val="22"/>
              </w:rPr>
              <w:t>Forest</w:t>
            </w:r>
            <w:r>
              <w:rPr>
                <w:spacing w:val="-3"/>
                <w:sz w:val="22"/>
              </w:rPr>
              <w:t> </w:t>
            </w:r>
            <w:r>
              <w:rPr>
                <w:spacing w:val="-2"/>
                <w:sz w:val="22"/>
              </w:rPr>
              <w:t>structure</w:t>
            </w:r>
          </w:p>
        </w:tc>
        <w:tc>
          <w:tcPr>
            <w:tcW w:w="2053" w:type="dxa"/>
            <w:tcBorders>
              <w:left w:val="single" w:sz="4" w:space="0" w:color="7E7E7E"/>
            </w:tcBorders>
          </w:tcPr>
          <w:p>
            <w:pPr>
              <w:pStyle w:val="TableParagraph"/>
              <w:spacing w:before="0"/>
              <w:ind w:left="0"/>
              <w:jc w:val="left"/>
              <w:rPr>
                <w:rFonts w:ascii="Times New Roman"/>
                <w:sz w:val="22"/>
              </w:rPr>
            </w:pPr>
          </w:p>
        </w:tc>
        <w:tc>
          <w:tcPr>
            <w:tcW w:w="2179" w:type="dxa"/>
          </w:tcPr>
          <w:p>
            <w:pPr>
              <w:pStyle w:val="TableParagraph"/>
              <w:spacing w:before="0"/>
              <w:ind w:left="0"/>
              <w:jc w:val="left"/>
              <w:rPr>
                <w:rFonts w:ascii="Times New Roman"/>
                <w:sz w:val="22"/>
              </w:rPr>
            </w:pPr>
          </w:p>
        </w:tc>
        <w:tc>
          <w:tcPr>
            <w:tcW w:w="2593" w:type="dxa"/>
          </w:tcPr>
          <w:p>
            <w:pPr>
              <w:pStyle w:val="TableParagraph"/>
              <w:spacing w:before="0"/>
              <w:ind w:left="0"/>
              <w:jc w:val="left"/>
              <w:rPr>
                <w:rFonts w:ascii="Times New Roman"/>
                <w:sz w:val="22"/>
              </w:rPr>
            </w:pPr>
          </w:p>
        </w:tc>
      </w:tr>
      <w:tr>
        <w:trPr>
          <w:trHeight w:val="308" w:hRule="atLeast"/>
        </w:trPr>
        <w:tc>
          <w:tcPr>
            <w:tcW w:w="2580" w:type="dxa"/>
            <w:tcBorders>
              <w:right w:val="single" w:sz="4" w:space="0" w:color="7E7E7E"/>
            </w:tcBorders>
          </w:tcPr>
          <w:p>
            <w:pPr>
              <w:pStyle w:val="TableParagraph"/>
              <w:spacing w:before="8"/>
              <w:ind w:left="391"/>
              <w:jc w:val="left"/>
              <w:rPr>
                <w:sz w:val="22"/>
              </w:rPr>
            </w:pPr>
            <w:r>
              <w:rPr>
                <w:sz w:val="22"/>
              </w:rPr>
              <w:t>Canopy</w:t>
            </w:r>
            <w:r>
              <w:rPr>
                <w:spacing w:val="-4"/>
                <w:sz w:val="22"/>
              </w:rPr>
              <w:t> </w:t>
            </w:r>
            <w:r>
              <w:rPr>
                <w:sz w:val="22"/>
              </w:rPr>
              <w:t>height</w:t>
            </w:r>
            <w:r>
              <w:rPr>
                <w:spacing w:val="-2"/>
                <w:sz w:val="22"/>
              </w:rPr>
              <w:t> </w:t>
            </w:r>
            <w:r>
              <w:rPr>
                <w:spacing w:val="-10"/>
                <w:sz w:val="22"/>
                <w:vertAlign w:val="superscript"/>
              </w:rPr>
              <w:t>a</w:t>
            </w:r>
          </w:p>
        </w:tc>
        <w:tc>
          <w:tcPr>
            <w:tcW w:w="2053" w:type="dxa"/>
            <w:tcBorders>
              <w:left w:val="single" w:sz="4" w:space="0" w:color="7E7E7E"/>
            </w:tcBorders>
          </w:tcPr>
          <w:p>
            <w:pPr>
              <w:pStyle w:val="TableParagraph"/>
              <w:spacing w:before="8"/>
              <w:ind w:left="103"/>
              <w:jc w:val="left"/>
              <w:rPr>
                <w:sz w:val="22"/>
              </w:rPr>
            </w:pPr>
            <w:r>
              <w:rPr>
                <w:spacing w:val="-2"/>
                <w:sz w:val="22"/>
              </w:rPr>
              <w:t>20-</w:t>
            </w:r>
            <w:r>
              <w:rPr>
                <w:spacing w:val="-5"/>
                <w:sz w:val="22"/>
              </w:rPr>
              <w:t>25m</w:t>
            </w:r>
          </w:p>
        </w:tc>
        <w:tc>
          <w:tcPr>
            <w:tcW w:w="2179" w:type="dxa"/>
          </w:tcPr>
          <w:p>
            <w:pPr>
              <w:pStyle w:val="TableParagraph"/>
              <w:spacing w:before="8"/>
              <w:ind w:left="177"/>
              <w:jc w:val="left"/>
              <w:rPr>
                <w:sz w:val="22"/>
              </w:rPr>
            </w:pPr>
            <w:r>
              <w:rPr>
                <w:sz w:val="22"/>
              </w:rPr>
              <w:t>10-</w:t>
            </w:r>
            <w:r>
              <w:rPr>
                <w:spacing w:val="-5"/>
                <w:sz w:val="22"/>
              </w:rPr>
              <w:t>14m</w:t>
            </w:r>
          </w:p>
        </w:tc>
        <w:tc>
          <w:tcPr>
            <w:tcW w:w="2593" w:type="dxa"/>
          </w:tcPr>
          <w:p>
            <w:pPr>
              <w:pStyle w:val="TableParagraph"/>
              <w:spacing w:before="8"/>
              <w:ind w:left="351"/>
              <w:jc w:val="left"/>
              <w:rPr>
                <w:sz w:val="22"/>
              </w:rPr>
            </w:pPr>
            <w:r>
              <w:rPr>
                <w:sz w:val="22"/>
              </w:rPr>
              <w:t>6-</w:t>
            </w:r>
            <w:r>
              <w:rPr>
                <w:spacing w:val="-5"/>
                <w:sz w:val="22"/>
              </w:rPr>
              <w:t>8m</w:t>
            </w:r>
          </w:p>
        </w:tc>
      </w:tr>
      <w:tr>
        <w:trPr>
          <w:trHeight w:val="309" w:hRule="atLeast"/>
        </w:trPr>
        <w:tc>
          <w:tcPr>
            <w:tcW w:w="2580" w:type="dxa"/>
            <w:tcBorders>
              <w:right w:val="single" w:sz="4" w:space="0" w:color="7E7E7E"/>
            </w:tcBorders>
          </w:tcPr>
          <w:p>
            <w:pPr>
              <w:pStyle w:val="TableParagraph"/>
              <w:spacing w:before="10"/>
              <w:ind w:left="391"/>
              <w:jc w:val="left"/>
              <w:rPr>
                <w:sz w:val="22"/>
              </w:rPr>
            </w:pPr>
            <w:r>
              <w:rPr>
                <w:sz w:val="22"/>
              </w:rPr>
              <w:t>Tree</w:t>
            </w:r>
            <w:r>
              <w:rPr>
                <w:spacing w:val="-3"/>
                <w:sz w:val="22"/>
              </w:rPr>
              <w:t> </w:t>
            </w:r>
            <w:r>
              <w:rPr>
                <w:sz w:val="22"/>
              </w:rPr>
              <w:t>density</w:t>
            </w:r>
            <w:r>
              <w:rPr>
                <w:spacing w:val="-2"/>
                <w:sz w:val="22"/>
              </w:rPr>
              <w:t> </w:t>
            </w:r>
            <w:r>
              <w:rPr>
                <w:spacing w:val="-10"/>
                <w:sz w:val="22"/>
                <w:vertAlign w:val="superscript"/>
              </w:rPr>
              <w:t>a</w:t>
            </w:r>
          </w:p>
        </w:tc>
        <w:tc>
          <w:tcPr>
            <w:tcW w:w="2053" w:type="dxa"/>
            <w:tcBorders>
              <w:left w:val="single" w:sz="4" w:space="0" w:color="7E7E7E"/>
            </w:tcBorders>
          </w:tcPr>
          <w:p>
            <w:pPr>
              <w:pStyle w:val="TableParagraph"/>
              <w:spacing w:before="10"/>
              <w:ind w:left="103"/>
              <w:jc w:val="left"/>
              <w:rPr>
                <w:sz w:val="22"/>
              </w:rPr>
            </w:pPr>
            <w:r>
              <w:rPr>
                <w:sz w:val="22"/>
              </w:rPr>
              <w:t>748</w:t>
            </w:r>
            <w:r>
              <w:rPr>
                <w:spacing w:val="-2"/>
                <w:sz w:val="22"/>
              </w:rPr>
              <w:t> trees/ha</w:t>
            </w:r>
          </w:p>
        </w:tc>
        <w:tc>
          <w:tcPr>
            <w:tcW w:w="2179" w:type="dxa"/>
          </w:tcPr>
          <w:p>
            <w:pPr>
              <w:pStyle w:val="TableParagraph"/>
              <w:spacing w:before="10"/>
              <w:ind w:left="177"/>
              <w:jc w:val="left"/>
              <w:rPr>
                <w:sz w:val="22"/>
              </w:rPr>
            </w:pPr>
            <w:r>
              <w:rPr>
                <w:sz w:val="22"/>
              </w:rPr>
              <w:t>1143</w:t>
            </w:r>
            <w:r>
              <w:rPr>
                <w:spacing w:val="-5"/>
                <w:sz w:val="22"/>
              </w:rPr>
              <w:t> </w:t>
            </w:r>
            <w:r>
              <w:rPr>
                <w:spacing w:val="-2"/>
                <w:sz w:val="22"/>
              </w:rPr>
              <w:t>trees/ha</w:t>
            </w:r>
          </w:p>
        </w:tc>
        <w:tc>
          <w:tcPr>
            <w:tcW w:w="2593" w:type="dxa"/>
          </w:tcPr>
          <w:p>
            <w:pPr>
              <w:pStyle w:val="TableParagraph"/>
              <w:spacing w:before="10"/>
              <w:ind w:left="351"/>
              <w:jc w:val="left"/>
              <w:rPr>
                <w:sz w:val="22"/>
              </w:rPr>
            </w:pPr>
            <w:r>
              <w:rPr>
                <w:sz w:val="22"/>
              </w:rPr>
              <w:t>1305</w:t>
            </w:r>
            <w:r>
              <w:rPr>
                <w:spacing w:val="-1"/>
                <w:sz w:val="22"/>
              </w:rPr>
              <w:t> </w:t>
            </w:r>
            <w:r>
              <w:rPr>
                <w:spacing w:val="-2"/>
                <w:sz w:val="22"/>
              </w:rPr>
              <w:t>trees/ha</w:t>
            </w:r>
          </w:p>
        </w:tc>
      </w:tr>
      <w:tr>
        <w:trPr>
          <w:trHeight w:val="317" w:hRule="atLeast"/>
        </w:trPr>
        <w:tc>
          <w:tcPr>
            <w:tcW w:w="2580" w:type="dxa"/>
            <w:tcBorders>
              <w:right w:val="single" w:sz="4" w:space="0" w:color="7E7E7E"/>
            </w:tcBorders>
          </w:tcPr>
          <w:p>
            <w:pPr>
              <w:pStyle w:val="TableParagraph"/>
              <w:spacing w:before="9"/>
              <w:ind w:left="391"/>
              <w:jc w:val="left"/>
              <w:rPr>
                <w:sz w:val="22"/>
              </w:rPr>
            </w:pPr>
            <w:r>
              <w:rPr>
                <w:sz w:val="22"/>
              </w:rPr>
              <w:t>Basal</w:t>
            </w:r>
            <w:r>
              <w:rPr>
                <w:spacing w:val="-2"/>
                <w:sz w:val="22"/>
              </w:rPr>
              <w:t> </w:t>
            </w:r>
            <w:r>
              <w:rPr>
                <w:sz w:val="22"/>
              </w:rPr>
              <w:t>area</w:t>
            </w:r>
            <w:r>
              <w:rPr>
                <w:spacing w:val="-2"/>
                <w:sz w:val="22"/>
              </w:rPr>
              <w:t> </w:t>
            </w:r>
            <w:r>
              <w:rPr>
                <w:sz w:val="22"/>
              </w:rPr>
              <w:t>(BA)</w:t>
            </w:r>
            <w:r>
              <w:rPr>
                <w:spacing w:val="-2"/>
                <w:sz w:val="22"/>
              </w:rPr>
              <w:t> </w:t>
            </w:r>
            <w:r>
              <w:rPr>
                <w:spacing w:val="-10"/>
                <w:sz w:val="22"/>
                <w:vertAlign w:val="superscript"/>
              </w:rPr>
              <w:t>a</w:t>
            </w:r>
          </w:p>
        </w:tc>
        <w:tc>
          <w:tcPr>
            <w:tcW w:w="2053" w:type="dxa"/>
            <w:tcBorders>
              <w:left w:val="single" w:sz="4" w:space="0" w:color="7E7E7E"/>
            </w:tcBorders>
          </w:tcPr>
          <w:p>
            <w:pPr>
              <w:pStyle w:val="TableParagraph"/>
              <w:spacing w:before="9"/>
              <w:ind w:left="103"/>
              <w:jc w:val="left"/>
              <w:rPr>
                <w:sz w:val="22"/>
              </w:rPr>
            </w:pPr>
            <w:r>
              <w:rPr>
                <w:sz w:val="22"/>
              </w:rPr>
              <w:t>33.4</w:t>
            </w:r>
            <w:r>
              <w:rPr>
                <w:spacing w:val="-4"/>
                <w:sz w:val="22"/>
              </w:rPr>
              <w:t> m²/ha</w:t>
            </w:r>
          </w:p>
        </w:tc>
        <w:tc>
          <w:tcPr>
            <w:tcW w:w="2179" w:type="dxa"/>
          </w:tcPr>
          <w:p>
            <w:pPr>
              <w:pStyle w:val="TableParagraph"/>
              <w:spacing w:before="9"/>
              <w:ind w:left="177"/>
              <w:jc w:val="left"/>
              <w:rPr>
                <w:sz w:val="22"/>
              </w:rPr>
            </w:pPr>
            <w:r>
              <w:rPr>
                <w:sz w:val="22"/>
              </w:rPr>
              <w:t>22.8</w:t>
            </w:r>
            <w:r>
              <w:rPr>
                <w:spacing w:val="-5"/>
                <w:sz w:val="22"/>
              </w:rPr>
              <w:t> </w:t>
            </w:r>
            <w:r>
              <w:rPr>
                <w:spacing w:val="-2"/>
                <w:sz w:val="22"/>
              </w:rPr>
              <w:t>m²/ha</w:t>
            </w:r>
          </w:p>
        </w:tc>
        <w:tc>
          <w:tcPr>
            <w:tcW w:w="2593" w:type="dxa"/>
          </w:tcPr>
          <w:p>
            <w:pPr>
              <w:pStyle w:val="TableParagraph"/>
              <w:spacing w:before="9"/>
              <w:ind w:left="351"/>
              <w:jc w:val="left"/>
              <w:rPr>
                <w:sz w:val="22"/>
              </w:rPr>
            </w:pPr>
            <w:r>
              <w:rPr>
                <w:sz w:val="22"/>
              </w:rPr>
              <w:t>25.5</w:t>
            </w:r>
            <w:r>
              <w:rPr>
                <w:spacing w:val="-4"/>
                <w:sz w:val="22"/>
              </w:rPr>
              <w:t> </w:t>
            </w:r>
            <w:r>
              <w:rPr>
                <w:spacing w:val="-2"/>
                <w:sz w:val="22"/>
              </w:rPr>
              <w:t>m²/ha</w:t>
            </w:r>
          </w:p>
        </w:tc>
      </w:tr>
      <w:tr>
        <w:trPr>
          <w:trHeight w:val="609" w:hRule="atLeast"/>
        </w:trPr>
        <w:tc>
          <w:tcPr>
            <w:tcW w:w="2580" w:type="dxa"/>
            <w:tcBorders>
              <w:right w:val="single" w:sz="4" w:space="0" w:color="7E7E7E"/>
            </w:tcBorders>
          </w:tcPr>
          <w:p>
            <w:pPr>
              <w:pStyle w:val="TableParagraph"/>
              <w:spacing w:before="155"/>
              <w:ind w:left="391"/>
              <w:jc w:val="left"/>
              <w:rPr>
                <w:sz w:val="22"/>
              </w:rPr>
            </w:pPr>
            <w:r>
              <w:rPr>
                <w:sz w:val="22"/>
              </w:rPr>
              <w:t>Vegetation</w:t>
            </w:r>
            <w:r>
              <w:rPr>
                <w:spacing w:val="-5"/>
                <w:sz w:val="22"/>
              </w:rPr>
              <w:t> </w:t>
            </w:r>
            <w:r>
              <w:rPr>
                <w:sz w:val="22"/>
              </w:rPr>
              <w:t>type</w:t>
            </w:r>
            <w:r>
              <w:rPr>
                <w:spacing w:val="-5"/>
                <w:sz w:val="22"/>
              </w:rPr>
              <w:t> </w:t>
            </w:r>
            <w:r>
              <w:rPr>
                <w:spacing w:val="-10"/>
                <w:sz w:val="22"/>
                <w:vertAlign w:val="superscript"/>
              </w:rPr>
              <w:t>a</w:t>
            </w:r>
          </w:p>
        </w:tc>
        <w:tc>
          <w:tcPr>
            <w:tcW w:w="2053" w:type="dxa"/>
            <w:tcBorders>
              <w:left w:val="single" w:sz="4" w:space="0" w:color="7E7E7E"/>
            </w:tcBorders>
          </w:tcPr>
          <w:p>
            <w:pPr>
              <w:pStyle w:val="TableParagraph"/>
              <w:spacing w:line="268" w:lineRule="exact" w:before="0"/>
              <w:ind w:left="103"/>
              <w:jc w:val="left"/>
              <w:rPr>
                <w:sz w:val="22"/>
              </w:rPr>
            </w:pPr>
            <w:r>
              <w:rPr>
                <w:spacing w:val="-2"/>
                <w:sz w:val="22"/>
              </w:rPr>
              <w:t>Evergreen</w:t>
            </w:r>
          </w:p>
          <w:p>
            <w:pPr>
              <w:pStyle w:val="TableParagraph"/>
              <w:spacing w:before="41"/>
              <w:ind w:left="103"/>
              <w:jc w:val="left"/>
              <w:rPr>
                <w:sz w:val="22"/>
              </w:rPr>
            </w:pPr>
            <w:r>
              <w:rPr>
                <w:sz w:val="22"/>
              </w:rPr>
              <w:t>premontane</w:t>
            </w:r>
            <w:r>
              <w:rPr>
                <w:spacing w:val="-6"/>
                <w:sz w:val="22"/>
              </w:rPr>
              <w:t> </w:t>
            </w:r>
            <w:r>
              <w:rPr>
                <w:spacing w:val="-2"/>
                <w:sz w:val="22"/>
              </w:rPr>
              <w:t>forest</w:t>
            </w:r>
          </w:p>
        </w:tc>
        <w:tc>
          <w:tcPr>
            <w:tcW w:w="2179" w:type="dxa"/>
          </w:tcPr>
          <w:p>
            <w:pPr>
              <w:pStyle w:val="TableParagraph"/>
              <w:spacing w:line="268" w:lineRule="exact" w:before="0"/>
              <w:ind w:left="177"/>
              <w:jc w:val="left"/>
              <w:rPr>
                <w:sz w:val="22"/>
              </w:rPr>
            </w:pPr>
            <w:r>
              <w:rPr>
                <w:sz w:val="22"/>
              </w:rPr>
              <w:t>Evergreen</w:t>
            </w:r>
            <w:r>
              <w:rPr>
                <w:spacing w:val="-5"/>
                <w:sz w:val="22"/>
              </w:rPr>
              <w:t> </w:t>
            </w:r>
            <w:r>
              <w:rPr>
                <w:spacing w:val="-2"/>
                <w:sz w:val="22"/>
              </w:rPr>
              <w:t>lower</w:t>
            </w:r>
          </w:p>
          <w:p>
            <w:pPr>
              <w:pStyle w:val="TableParagraph"/>
              <w:spacing w:before="41"/>
              <w:ind w:left="177"/>
              <w:jc w:val="left"/>
              <w:rPr>
                <w:sz w:val="22"/>
              </w:rPr>
            </w:pPr>
            <w:r>
              <w:rPr>
                <w:sz w:val="22"/>
              </w:rPr>
              <w:t>montane</w:t>
            </w:r>
            <w:r>
              <w:rPr>
                <w:spacing w:val="-7"/>
                <w:sz w:val="22"/>
              </w:rPr>
              <w:t> </w:t>
            </w:r>
            <w:r>
              <w:rPr>
                <w:spacing w:val="-2"/>
                <w:sz w:val="22"/>
              </w:rPr>
              <w:t>forest</w:t>
            </w:r>
          </w:p>
        </w:tc>
        <w:tc>
          <w:tcPr>
            <w:tcW w:w="2593" w:type="dxa"/>
          </w:tcPr>
          <w:p>
            <w:pPr>
              <w:pStyle w:val="TableParagraph"/>
              <w:spacing w:line="268" w:lineRule="exact" w:before="0"/>
              <w:ind w:left="351"/>
              <w:jc w:val="left"/>
              <w:rPr>
                <w:sz w:val="22"/>
              </w:rPr>
            </w:pPr>
            <w:r>
              <w:rPr>
                <w:sz w:val="22"/>
              </w:rPr>
              <w:t>Evergreen</w:t>
            </w:r>
            <w:r>
              <w:rPr>
                <w:spacing w:val="-5"/>
                <w:sz w:val="22"/>
              </w:rPr>
              <w:t> </w:t>
            </w:r>
            <w:r>
              <w:rPr>
                <w:spacing w:val="-2"/>
                <w:sz w:val="22"/>
              </w:rPr>
              <w:t>upper</w:t>
            </w:r>
          </w:p>
          <w:p>
            <w:pPr>
              <w:pStyle w:val="TableParagraph"/>
              <w:spacing w:before="41"/>
              <w:ind w:left="351"/>
              <w:jc w:val="left"/>
              <w:rPr>
                <w:sz w:val="22"/>
              </w:rPr>
            </w:pPr>
            <w:r>
              <w:rPr>
                <w:sz w:val="22"/>
              </w:rPr>
              <w:t>montane</w:t>
            </w:r>
            <w:r>
              <w:rPr>
                <w:spacing w:val="-7"/>
                <w:sz w:val="22"/>
              </w:rPr>
              <w:t> </w:t>
            </w:r>
            <w:r>
              <w:rPr>
                <w:spacing w:val="-2"/>
                <w:sz w:val="22"/>
              </w:rPr>
              <w:t>forest</w:t>
            </w:r>
          </w:p>
        </w:tc>
      </w:tr>
      <w:tr>
        <w:trPr>
          <w:trHeight w:val="308" w:hRule="atLeast"/>
        </w:trPr>
        <w:tc>
          <w:tcPr>
            <w:tcW w:w="2580" w:type="dxa"/>
            <w:tcBorders>
              <w:right w:val="single" w:sz="4" w:space="0" w:color="7E7E7E"/>
            </w:tcBorders>
          </w:tcPr>
          <w:p>
            <w:pPr>
              <w:pStyle w:val="TableParagraph"/>
              <w:spacing w:before="9"/>
              <w:ind w:left="391"/>
              <w:jc w:val="left"/>
              <w:rPr>
                <w:sz w:val="22"/>
              </w:rPr>
            </w:pPr>
            <w:r>
              <w:rPr>
                <w:sz w:val="22"/>
              </w:rPr>
              <w:t>Soil</w:t>
            </w:r>
            <w:r>
              <w:rPr>
                <w:spacing w:val="-3"/>
                <w:sz w:val="22"/>
              </w:rPr>
              <w:t> </w:t>
            </w:r>
            <w:r>
              <w:rPr>
                <w:sz w:val="22"/>
              </w:rPr>
              <w:t>type</w:t>
            </w:r>
            <w:r>
              <w:rPr>
                <w:spacing w:val="1"/>
                <w:sz w:val="22"/>
              </w:rPr>
              <w:t> </w:t>
            </w:r>
            <w:r>
              <w:rPr>
                <w:spacing w:val="-10"/>
                <w:sz w:val="22"/>
                <w:vertAlign w:val="superscript"/>
              </w:rPr>
              <w:t>a</w:t>
            </w:r>
          </w:p>
        </w:tc>
        <w:tc>
          <w:tcPr>
            <w:tcW w:w="2053" w:type="dxa"/>
            <w:tcBorders>
              <w:left w:val="single" w:sz="4" w:space="0" w:color="7E7E7E"/>
            </w:tcBorders>
          </w:tcPr>
          <w:p>
            <w:pPr>
              <w:pStyle w:val="TableParagraph"/>
              <w:spacing w:before="9"/>
              <w:ind w:left="103"/>
              <w:jc w:val="left"/>
              <w:rPr>
                <w:sz w:val="22"/>
              </w:rPr>
            </w:pPr>
            <w:r>
              <w:rPr>
                <w:sz w:val="22"/>
              </w:rPr>
              <w:t>Dystric</w:t>
            </w:r>
            <w:r>
              <w:rPr>
                <w:spacing w:val="-7"/>
                <w:sz w:val="22"/>
              </w:rPr>
              <w:t> </w:t>
            </w:r>
            <w:r>
              <w:rPr>
                <w:spacing w:val="-2"/>
                <w:sz w:val="22"/>
              </w:rPr>
              <w:t>Cambisol</w:t>
            </w:r>
          </w:p>
        </w:tc>
        <w:tc>
          <w:tcPr>
            <w:tcW w:w="2179" w:type="dxa"/>
          </w:tcPr>
          <w:p>
            <w:pPr>
              <w:pStyle w:val="TableParagraph"/>
              <w:spacing w:before="9"/>
              <w:ind w:left="177"/>
              <w:jc w:val="left"/>
              <w:rPr>
                <w:sz w:val="22"/>
              </w:rPr>
            </w:pPr>
            <w:r>
              <w:rPr>
                <w:sz w:val="22"/>
              </w:rPr>
              <w:t>Stagnic</w:t>
            </w:r>
            <w:r>
              <w:rPr>
                <w:spacing w:val="-4"/>
                <w:sz w:val="22"/>
              </w:rPr>
              <w:t> </w:t>
            </w:r>
            <w:r>
              <w:rPr>
                <w:spacing w:val="-2"/>
                <w:sz w:val="22"/>
              </w:rPr>
              <w:t>Cambisol</w:t>
            </w:r>
          </w:p>
        </w:tc>
        <w:tc>
          <w:tcPr>
            <w:tcW w:w="2593" w:type="dxa"/>
          </w:tcPr>
          <w:p>
            <w:pPr>
              <w:pStyle w:val="TableParagraph"/>
              <w:spacing w:before="9"/>
              <w:ind w:left="351"/>
              <w:jc w:val="left"/>
              <w:rPr>
                <w:sz w:val="22"/>
              </w:rPr>
            </w:pPr>
            <w:r>
              <w:rPr>
                <w:sz w:val="22"/>
              </w:rPr>
              <w:t>Stagnic</w:t>
            </w:r>
            <w:r>
              <w:rPr>
                <w:spacing w:val="-6"/>
                <w:sz w:val="22"/>
              </w:rPr>
              <w:t> </w:t>
            </w:r>
            <w:r>
              <w:rPr>
                <w:spacing w:val="-2"/>
                <w:sz w:val="22"/>
              </w:rPr>
              <w:t>Histosol</w:t>
            </w:r>
          </w:p>
        </w:tc>
      </w:tr>
      <w:tr>
        <w:trPr>
          <w:trHeight w:val="317" w:hRule="atLeast"/>
        </w:trPr>
        <w:tc>
          <w:tcPr>
            <w:tcW w:w="2580" w:type="dxa"/>
            <w:tcBorders>
              <w:right w:val="single" w:sz="4" w:space="0" w:color="7E7E7E"/>
            </w:tcBorders>
          </w:tcPr>
          <w:p>
            <w:pPr>
              <w:pStyle w:val="TableParagraph"/>
              <w:spacing w:before="8"/>
              <w:ind w:left="391"/>
              <w:jc w:val="left"/>
              <w:rPr>
                <w:sz w:val="22"/>
              </w:rPr>
            </w:pPr>
            <w:r>
              <w:rPr>
                <w:sz w:val="22"/>
              </w:rPr>
              <w:t>Organic</w:t>
            </w:r>
            <w:r>
              <w:rPr>
                <w:spacing w:val="-4"/>
                <w:sz w:val="22"/>
              </w:rPr>
              <w:t> </w:t>
            </w:r>
            <w:r>
              <w:rPr>
                <w:sz w:val="22"/>
              </w:rPr>
              <w:t>layer</w:t>
            </w:r>
            <w:r>
              <w:rPr>
                <w:spacing w:val="-4"/>
                <w:sz w:val="22"/>
              </w:rPr>
              <w:t> </w:t>
            </w:r>
            <w:r>
              <w:rPr>
                <w:sz w:val="22"/>
              </w:rPr>
              <w:t>depth</w:t>
            </w:r>
            <w:r>
              <w:rPr>
                <w:spacing w:val="-3"/>
                <w:sz w:val="22"/>
              </w:rPr>
              <w:t> </w:t>
            </w:r>
            <w:r>
              <w:rPr>
                <w:spacing w:val="-10"/>
                <w:sz w:val="22"/>
                <w:vertAlign w:val="superscript"/>
              </w:rPr>
              <w:t>a</w:t>
            </w:r>
          </w:p>
        </w:tc>
        <w:tc>
          <w:tcPr>
            <w:tcW w:w="2053" w:type="dxa"/>
            <w:tcBorders>
              <w:left w:val="single" w:sz="4" w:space="0" w:color="7E7E7E"/>
            </w:tcBorders>
          </w:tcPr>
          <w:p>
            <w:pPr>
              <w:pStyle w:val="TableParagraph"/>
              <w:spacing w:before="8"/>
              <w:ind w:left="103"/>
              <w:jc w:val="left"/>
              <w:rPr>
                <w:sz w:val="22"/>
              </w:rPr>
            </w:pPr>
            <w:r>
              <w:rPr>
                <w:sz w:val="22"/>
              </w:rPr>
              <w:t>&lt;1</w:t>
            </w:r>
            <w:r>
              <w:rPr>
                <w:spacing w:val="1"/>
                <w:sz w:val="22"/>
              </w:rPr>
              <w:t> </w:t>
            </w:r>
            <w:r>
              <w:rPr>
                <w:spacing w:val="-5"/>
                <w:sz w:val="22"/>
              </w:rPr>
              <w:t>cm</w:t>
            </w:r>
          </w:p>
        </w:tc>
        <w:tc>
          <w:tcPr>
            <w:tcW w:w="2179" w:type="dxa"/>
          </w:tcPr>
          <w:p>
            <w:pPr>
              <w:pStyle w:val="TableParagraph"/>
              <w:spacing w:before="8"/>
              <w:ind w:left="177"/>
              <w:jc w:val="left"/>
              <w:rPr>
                <w:sz w:val="22"/>
              </w:rPr>
            </w:pPr>
            <w:r>
              <w:rPr>
                <w:sz w:val="22"/>
              </w:rPr>
              <w:t>10-30</w:t>
            </w:r>
            <w:r>
              <w:rPr>
                <w:spacing w:val="-3"/>
                <w:sz w:val="22"/>
              </w:rPr>
              <w:t> </w:t>
            </w:r>
            <w:r>
              <w:rPr>
                <w:spacing w:val="-5"/>
                <w:sz w:val="22"/>
              </w:rPr>
              <w:t>cm</w:t>
            </w:r>
          </w:p>
        </w:tc>
        <w:tc>
          <w:tcPr>
            <w:tcW w:w="2593" w:type="dxa"/>
          </w:tcPr>
          <w:p>
            <w:pPr>
              <w:pStyle w:val="TableParagraph"/>
              <w:spacing w:before="8"/>
              <w:ind w:left="351"/>
              <w:jc w:val="left"/>
              <w:rPr>
                <w:sz w:val="22"/>
              </w:rPr>
            </w:pPr>
            <w:r>
              <w:rPr>
                <w:sz w:val="22"/>
              </w:rPr>
              <w:t>10-40</w:t>
            </w:r>
            <w:r>
              <w:rPr>
                <w:spacing w:val="-1"/>
                <w:sz w:val="22"/>
              </w:rPr>
              <w:t> </w:t>
            </w:r>
            <w:r>
              <w:rPr>
                <w:spacing w:val="-5"/>
                <w:sz w:val="22"/>
              </w:rPr>
              <w:t>cm</w:t>
            </w:r>
          </w:p>
        </w:tc>
      </w:tr>
      <w:tr>
        <w:trPr>
          <w:trHeight w:val="917" w:hRule="atLeast"/>
        </w:trPr>
        <w:tc>
          <w:tcPr>
            <w:tcW w:w="2580" w:type="dxa"/>
            <w:tcBorders>
              <w:right w:val="single" w:sz="4" w:space="0" w:color="7E7E7E"/>
            </w:tcBorders>
          </w:tcPr>
          <w:p>
            <w:pPr>
              <w:pStyle w:val="TableParagraph"/>
              <w:spacing w:line="276" w:lineRule="auto" w:before="0"/>
              <w:ind w:left="595" w:right="588"/>
              <w:rPr>
                <w:sz w:val="22"/>
              </w:rPr>
            </w:pPr>
            <w:r>
              <w:rPr>
                <w:sz w:val="22"/>
              </w:rPr>
              <w:t>Total N organic</w:t>
            </w:r>
            <w:r>
              <w:rPr>
                <w:spacing w:val="-3"/>
                <w:sz w:val="22"/>
              </w:rPr>
              <w:t> </w:t>
            </w:r>
            <w:r>
              <w:rPr>
                <w:sz w:val="22"/>
              </w:rPr>
              <w:t>soil</w:t>
            </w:r>
            <w:r>
              <w:rPr>
                <w:spacing w:val="-1"/>
                <w:sz w:val="22"/>
              </w:rPr>
              <w:t> </w:t>
            </w:r>
            <w:r>
              <w:rPr>
                <w:spacing w:val="-10"/>
                <w:sz w:val="22"/>
                <w:vertAlign w:val="superscript"/>
              </w:rPr>
              <w:t>c</w:t>
            </w:r>
          </w:p>
          <w:p>
            <w:pPr>
              <w:pStyle w:val="TableParagraph"/>
              <w:spacing w:line="268" w:lineRule="exact" w:before="0"/>
              <w:ind w:left="595" w:right="590"/>
              <w:rPr>
                <w:sz w:val="22"/>
              </w:rPr>
            </w:pPr>
            <w:r>
              <w:rPr>
                <w:sz w:val="22"/>
              </w:rPr>
              <w:t>mineral</w:t>
            </w:r>
            <w:r>
              <w:rPr>
                <w:spacing w:val="-5"/>
                <w:sz w:val="22"/>
              </w:rPr>
              <w:t> </w:t>
            </w:r>
            <w:r>
              <w:rPr>
                <w:sz w:val="22"/>
              </w:rPr>
              <w:t>soil</w:t>
            </w:r>
            <w:r>
              <w:rPr>
                <w:spacing w:val="-3"/>
                <w:sz w:val="22"/>
              </w:rPr>
              <w:t> </w:t>
            </w:r>
            <w:r>
              <w:rPr>
                <w:spacing w:val="-10"/>
                <w:sz w:val="22"/>
                <w:vertAlign w:val="superscript"/>
              </w:rPr>
              <w:t>a</w:t>
            </w:r>
          </w:p>
        </w:tc>
        <w:tc>
          <w:tcPr>
            <w:tcW w:w="2053" w:type="dxa"/>
            <w:tcBorders>
              <w:left w:val="single" w:sz="4" w:space="0" w:color="7E7E7E"/>
            </w:tcBorders>
          </w:tcPr>
          <w:p>
            <w:pPr>
              <w:pStyle w:val="TableParagraph"/>
              <w:spacing w:before="41"/>
              <w:ind w:left="0"/>
              <w:jc w:val="left"/>
              <w:rPr>
                <w:i/>
                <w:sz w:val="22"/>
              </w:rPr>
            </w:pPr>
          </w:p>
          <w:p>
            <w:pPr>
              <w:pStyle w:val="TableParagraph"/>
              <w:spacing w:before="0"/>
              <w:ind w:left="103"/>
              <w:jc w:val="left"/>
              <w:rPr>
                <w:sz w:val="22"/>
              </w:rPr>
            </w:pPr>
            <w:r>
              <w:rPr>
                <w:sz w:val="22"/>
              </w:rPr>
              <w:t>22</w:t>
            </w:r>
            <w:r>
              <w:rPr>
                <w:spacing w:val="-2"/>
                <w:sz w:val="22"/>
              </w:rPr>
              <w:t> </w:t>
            </w:r>
            <w:r>
              <w:rPr>
                <w:spacing w:val="-4"/>
                <w:sz w:val="22"/>
              </w:rPr>
              <w:t>g/kg</w:t>
            </w:r>
          </w:p>
          <w:p>
            <w:pPr>
              <w:pStyle w:val="TableParagraph"/>
              <w:spacing w:before="39"/>
              <w:ind w:left="103"/>
              <w:jc w:val="left"/>
              <w:rPr>
                <w:sz w:val="22"/>
              </w:rPr>
            </w:pPr>
            <w:r>
              <w:rPr>
                <w:sz w:val="22"/>
              </w:rPr>
              <w:t>6.0</w:t>
            </w:r>
            <w:r>
              <w:rPr>
                <w:spacing w:val="-3"/>
                <w:sz w:val="22"/>
              </w:rPr>
              <w:t> </w:t>
            </w:r>
            <w:r>
              <w:rPr>
                <w:spacing w:val="-4"/>
                <w:sz w:val="22"/>
              </w:rPr>
              <w:t>g/kg</w:t>
            </w:r>
          </w:p>
        </w:tc>
        <w:tc>
          <w:tcPr>
            <w:tcW w:w="2179" w:type="dxa"/>
          </w:tcPr>
          <w:p>
            <w:pPr>
              <w:pStyle w:val="TableParagraph"/>
              <w:spacing w:before="41"/>
              <w:ind w:left="0"/>
              <w:jc w:val="left"/>
              <w:rPr>
                <w:i/>
                <w:sz w:val="22"/>
              </w:rPr>
            </w:pPr>
          </w:p>
          <w:p>
            <w:pPr>
              <w:pStyle w:val="TableParagraph"/>
              <w:spacing w:before="0"/>
              <w:ind w:left="177"/>
              <w:jc w:val="left"/>
              <w:rPr>
                <w:sz w:val="22"/>
              </w:rPr>
            </w:pPr>
            <w:r>
              <w:rPr>
                <w:sz w:val="22"/>
              </w:rPr>
              <w:t>19</w:t>
            </w:r>
            <w:r>
              <w:rPr>
                <w:spacing w:val="-1"/>
                <w:sz w:val="22"/>
              </w:rPr>
              <w:t> </w:t>
            </w:r>
            <w:r>
              <w:rPr>
                <w:spacing w:val="-4"/>
                <w:sz w:val="22"/>
              </w:rPr>
              <w:t>g/kg</w:t>
            </w:r>
          </w:p>
          <w:p>
            <w:pPr>
              <w:pStyle w:val="TableParagraph"/>
              <w:spacing w:before="39"/>
              <w:ind w:left="177"/>
              <w:jc w:val="left"/>
              <w:rPr>
                <w:sz w:val="22"/>
              </w:rPr>
            </w:pPr>
            <w:r>
              <w:rPr>
                <w:sz w:val="22"/>
              </w:rPr>
              <w:t>0.7</w:t>
            </w:r>
            <w:r>
              <w:rPr>
                <w:spacing w:val="-1"/>
                <w:sz w:val="22"/>
              </w:rPr>
              <w:t> </w:t>
            </w:r>
            <w:r>
              <w:rPr>
                <w:spacing w:val="-4"/>
                <w:sz w:val="22"/>
              </w:rPr>
              <w:t>g/kg</w:t>
            </w:r>
          </w:p>
        </w:tc>
        <w:tc>
          <w:tcPr>
            <w:tcW w:w="2593" w:type="dxa"/>
          </w:tcPr>
          <w:p>
            <w:pPr>
              <w:pStyle w:val="TableParagraph"/>
              <w:spacing w:before="41"/>
              <w:ind w:left="0"/>
              <w:jc w:val="left"/>
              <w:rPr>
                <w:i/>
                <w:sz w:val="22"/>
              </w:rPr>
            </w:pPr>
          </w:p>
          <w:p>
            <w:pPr>
              <w:pStyle w:val="TableParagraph"/>
              <w:spacing w:before="0"/>
              <w:ind w:left="351"/>
              <w:jc w:val="left"/>
              <w:rPr>
                <w:sz w:val="22"/>
              </w:rPr>
            </w:pPr>
            <w:r>
              <w:rPr>
                <w:sz w:val="22"/>
              </w:rPr>
              <w:t>15 </w:t>
            </w:r>
            <w:r>
              <w:rPr>
                <w:spacing w:val="-4"/>
                <w:sz w:val="22"/>
              </w:rPr>
              <w:t>g/kg</w:t>
            </w:r>
          </w:p>
          <w:p>
            <w:pPr>
              <w:pStyle w:val="TableParagraph"/>
              <w:spacing w:before="39"/>
              <w:ind w:left="351"/>
              <w:jc w:val="left"/>
              <w:rPr>
                <w:sz w:val="22"/>
              </w:rPr>
            </w:pPr>
            <w:r>
              <w:rPr>
                <w:sz w:val="22"/>
              </w:rPr>
              <w:t>0.7</w:t>
            </w:r>
            <w:r>
              <w:rPr>
                <w:spacing w:val="-1"/>
                <w:sz w:val="22"/>
              </w:rPr>
              <w:t> </w:t>
            </w:r>
            <w:r>
              <w:rPr>
                <w:spacing w:val="-4"/>
                <w:sz w:val="22"/>
              </w:rPr>
              <w:t>g/kg</w:t>
            </w:r>
          </w:p>
        </w:tc>
      </w:tr>
      <w:tr>
        <w:trPr>
          <w:trHeight w:val="936" w:hRule="atLeast"/>
        </w:trPr>
        <w:tc>
          <w:tcPr>
            <w:tcW w:w="2580" w:type="dxa"/>
            <w:tcBorders>
              <w:bottom w:val="single" w:sz="4" w:space="0" w:color="7E7E7E"/>
              <w:right w:val="single" w:sz="4" w:space="0" w:color="7E7E7E"/>
            </w:tcBorders>
          </w:tcPr>
          <w:p>
            <w:pPr>
              <w:pStyle w:val="TableParagraph"/>
              <w:spacing w:before="9"/>
              <w:ind w:left="739" w:firstLine="151"/>
              <w:jc w:val="left"/>
              <w:rPr>
                <w:sz w:val="22"/>
              </w:rPr>
            </w:pPr>
            <w:r>
              <w:rPr>
                <w:sz w:val="22"/>
              </w:rPr>
              <w:t>Total</w:t>
            </w:r>
            <w:r>
              <w:rPr>
                <w:spacing w:val="-3"/>
                <w:sz w:val="22"/>
              </w:rPr>
              <w:t> </w:t>
            </w:r>
            <w:r>
              <w:rPr>
                <w:sz w:val="22"/>
              </w:rPr>
              <w:t>P</w:t>
            </w:r>
            <w:r>
              <w:rPr>
                <w:spacing w:val="-19"/>
                <w:sz w:val="22"/>
              </w:rPr>
              <w:t> </w:t>
            </w:r>
            <w:r>
              <w:rPr>
                <w:spacing w:val="-10"/>
                <w:sz w:val="22"/>
                <w:vertAlign w:val="superscript"/>
              </w:rPr>
              <w:t>d</w:t>
            </w:r>
          </w:p>
          <w:p>
            <w:pPr>
              <w:pStyle w:val="TableParagraph"/>
              <w:spacing w:line="300" w:lineRule="atLeast" w:before="10"/>
              <w:ind w:left="754" w:right="18" w:hanging="15"/>
              <w:jc w:val="left"/>
              <w:rPr>
                <w:sz w:val="22"/>
              </w:rPr>
            </w:pPr>
            <w:r>
              <w:rPr>
                <w:sz w:val="22"/>
              </w:rPr>
              <w:t>organic soil mineral</w:t>
            </w:r>
            <w:r>
              <w:rPr>
                <w:spacing w:val="-2"/>
                <w:sz w:val="22"/>
              </w:rPr>
              <w:t> </w:t>
            </w:r>
            <w:r>
              <w:rPr>
                <w:spacing w:val="-4"/>
                <w:sz w:val="22"/>
              </w:rPr>
              <w:t>soil</w:t>
            </w:r>
          </w:p>
        </w:tc>
        <w:tc>
          <w:tcPr>
            <w:tcW w:w="2053" w:type="dxa"/>
            <w:tcBorders>
              <w:left w:val="single" w:sz="4" w:space="0" w:color="7E7E7E"/>
              <w:bottom w:val="single" w:sz="4" w:space="0" w:color="7E7E7E"/>
            </w:tcBorders>
          </w:tcPr>
          <w:p>
            <w:pPr>
              <w:pStyle w:val="TableParagraph"/>
              <w:spacing w:before="50"/>
              <w:ind w:left="0"/>
              <w:jc w:val="left"/>
              <w:rPr>
                <w:i/>
                <w:sz w:val="22"/>
              </w:rPr>
            </w:pPr>
          </w:p>
          <w:p>
            <w:pPr>
              <w:pStyle w:val="TableParagraph"/>
              <w:spacing w:before="0"/>
              <w:ind w:left="103"/>
              <w:jc w:val="left"/>
              <w:rPr>
                <w:sz w:val="22"/>
              </w:rPr>
            </w:pPr>
            <w:r>
              <w:rPr>
                <w:sz w:val="22"/>
              </w:rPr>
              <w:t>450</w:t>
            </w:r>
            <w:r>
              <w:rPr>
                <w:spacing w:val="-2"/>
                <w:sz w:val="22"/>
              </w:rPr>
              <w:t> </w:t>
            </w:r>
            <w:r>
              <w:rPr>
                <w:sz w:val="22"/>
              </w:rPr>
              <w:t>+/-</w:t>
            </w:r>
            <w:r>
              <w:rPr>
                <w:spacing w:val="-1"/>
                <w:sz w:val="22"/>
              </w:rPr>
              <w:t> </w:t>
            </w:r>
            <w:r>
              <w:rPr>
                <w:sz w:val="22"/>
              </w:rPr>
              <w:t>28</w:t>
            </w:r>
            <w:r>
              <w:rPr>
                <w:spacing w:val="-3"/>
                <w:sz w:val="22"/>
              </w:rPr>
              <w:t> </w:t>
            </w:r>
            <w:r>
              <w:rPr>
                <w:spacing w:val="-4"/>
                <w:sz w:val="22"/>
              </w:rPr>
              <w:t>g/kg</w:t>
            </w:r>
          </w:p>
          <w:p>
            <w:pPr>
              <w:pStyle w:val="TableParagraph"/>
              <w:spacing w:before="39"/>
              <w:ind w:left="103"/>
              <w:jc w:val="left"/>
              <w:rPr>
                <w:sz w:val="22"/>
              </w:rPr>
            </w:pPr>
            <w:r>
              <w:rPr>
                <w:sz w:val="22"/>
              </w:rPr>
              <w:t>220</w:t>
            </w:r>
            <w:r>
              <w:rPr>
                <w:spacing w:val="-2"/>
                <w:sz w:val="22"/>
              </w:rPr>
              <w:t> </w:t>
            </w:r>
            <w:r>
              <w:rPr>
                <w:sz w:val="22"/>
              </w:rPr>
              <w:t>+/-</w:t>
            </w:r>
            <w:r>
              <w:rPr>
                <w:spacing w:val="-3"/>
                <w:sz w:val="22"/>
              </w:rPr>
              <w:t> </w:t>
            </w:r>
            <w:r>
              <w:rPr>
                <w:sz w:val="22"/>
              </w:rPr>
              <w:t>36</w:t>
            </w:r>
            <w:r>
              <w:rPr>
                <w:spacing w:val="-1"/>
                <w:sz w:val="22"/>
              </w:rPr>
              <w:t> </w:t>
            </w:r>
            <w:r>
              <w:rPr>
                <w:spacing w:val="-4"/>
                <w:sz w:val="22"/>
              </w:rPr>
              <w:t>g/kg</w:t>
            </w:r>
          </w:p>
        </w:tc>
        <w:tc>
          <w:tcPr>
            <w:tcW w:w="2179" w:type="dxa"/>
            <w:tcBorders>
              <w:bottom w:val="single" w:sz="4" w:space="0" w:color="7E7E7E"/>
            </w:tcBorders>
          </w:tcPr>
          <w:p>
            <w:pPr>
              <w:pStyle w:val="TableParagraph"/>
              <w:spacing w:before="50"/>
              <w:ind w:left="0"/>
              <w:jc w:val="left"/>
              <w:rPr>
                <w:i/>
                <w:sz w:val="22"/>
              </w:rPr>
            </w:pPr>
          </w:p>
          <w:p>
            <w:pPr>
              <w:pStyle w:val="TableParagraph"/>
              <w:spacing w:before="0"/>
              <w:ind w:left="177"/>
              <w:jc w:val="left"/>
              <w:rPr>
                <w:sz w:val="22"/>
              </w:rPr>
            </w:pPr>
            <w:r>
              <w:rPr>
                <w:sz w:val="22"/>
              </w:rPr>
              <w:t>527 +/-</w:t>
            </w:r>
            <w:r>
              <w:rPr>
                <w:spacing w:val="-3"/>
                <w:sz w:val="22"/>
              </w:rPr>
              <w:t> </w:t>
            </w:r>
            <w:r>
              <w:rPr>
                <w:sz w:val="22"/>
              </w:rPr>
              <w:t>22</w:t>
            </w:r>
            <w:r>
              <w:rPr>
                <w:spacing w:val="-2"/>
                <w:sz w:val="22"/>
              </w:rPr>
              <w:t> </w:t>
            </w:r>
            <w:r>
              <w:rPr>
                <w:spacing w:val="-4"/>
                <w:sz w:val="22"/>
              </w:rPr>
              <w:t>g/kg</w:t>
            </w:r>
          </w:p>
          <w:p>
            <w:pPr>
              <w:pStyle w:val="TableParagraph"/>
              <w:spacing w:before="39"/>
              <w:ind w:left="177"/>
              <w:jc w:val="left"/>
              <w:rPr>
                <w:sz w:val="22"/>
              </w:rPr>
            </w:pPr>
            <w:r>
              <w:rPr>
                <w:sz w:val="22"/>
              </w:rPr>
              <w:t>53 +/-</w:t>
            </w:r>
            <w:r>
              <w:rPr>
                <w:spacing w:val="-1"/>
                <w:sz w:val="22"/>
              </w:rPr>
              <w:t> </w:t>
            </w:r>
            <w:r>
              <w:rPr>
                <w:sz w:val="22"/>
              </w:rPr>
              <w:t>5</w:t>
            </w:r>
            <w:r>
              <w:rPr>
                <w:spacing w:val="-2"/>
                <w:sz w:val="22"/>
              </w:rPr>
              <w:t> </w:t>
            </w:r>
            <w:r>
              <w:rPr>
                <w:spacing w:val="-4"/>
                <w:sz w:val="22"/>
              </w:rPr>
              <w:t>g/kg</w:t>
            </w:r>
          </w:p>
        </w:tc>
        <w:tc>
          <w:tcPr>
            <w:tcW w:w="2593" w:type="dxa"/>
            <w:tcBorders>
              <w:bottom w:val="single" w:sz="4" w:space="0" w:color="7E7E7E"/>
            </w:tcBorders>
          </w:tcPr>
          <w:p>
            <w:pPr>
              <w:pStyle w:val="TableParagraph"/>
              <w:spacing w:before="50"/>
              <w:ind w:left="0"/>
              <w:jc w:val="left"/>
              <w:rPr>
                <w:i/>
                <w:sz w:val="22"/>
              </w:rPr>
            </w:pPr>
          </w:p>
          <w:p>
            <w:pPr>
              <w:pStyle w:val="TableParagraph"/>
              <w:spacing w:before="0"/>
              <w:ind w:left="351"/>
              <w:jc w:val="left"/>
              <w:rPr>
                <w:sz w:val="22"/>
              </w:rPr>
            </w:pPr>
            <w:r>
              <w:rPr>
                <w:sz w:val="22"/>
              </w:rPr>
              <w:t>525+/-</w:t>
            </w:r>
            <w:r>
              <w:rPr>
                <w:spacing w:val="-3"/>
                <w:sz w:val="22"/>
              </w:rPr>
              <w:t> </w:t>
            </w:r>
            <w:r>
              <w:rPr>
                <w:sz w:val="22"/>
              </w:rPr>
              <w:t>47</w:t>
            </w:r>
            <w:r>
              <w:rPr>
                <w:spacing w:val="-1"/>
                <w:sz w:val="22"/>
              </w:rPr>
              <w:t> </w:t>
            </w:r>
            <w:r>
              <w:rPr>
                <w:spacing w:val="-4"/>
                <w:sz w:val="22"/>
              </w:rPr>
              <w:t>g/kg</w:t>
            </w:r>
          </w:p>
          <w:p>
            <w:pPr>
              <w:pStyle w:val="TableParagraph"/>
              <w:spacing w:before="39"/>
              <w:ind w:left="351"/>
              <w:jc w:val="left"/>
              <w:rPr>
                <w:sz w:val="22"/>
              </w:rPr>
            </w:pPr>
            <w:r>
              <w:rPr>
                <w:sz w:val="22"/>
              </w:rPr>
              <w:t>175</w:t>
            </w:r>
            <w:r>
              <w:rPr>
                <w:spacing w:val="-2"/>
                <w:sz w:val="22"/>
              </w:rPr>
              <w:t> </w:t>
            </w:r>
            <w:r>
              <w:rPr>
                <w:sz w:val="22"/>
              </w:rPr>
              <w:t>+/-</w:t>
            </w:r>
            <w:r>
              <w:rPr>
                <w:spacing w:val="-1"/>
                <w:sz w:val="22"/>
              </w:rPr>
              <w:t> </w:t>
            </w:r>
            <w:r>
              <w:rPr>
                <w:sz w:val="22"/>
              </w:rPr>
              <w:t>68</w:t>
            </w:r>
            <w:r>
              <w:rPr>
                <w:spacing w:val="-2"/>
                <w:sz w:val="22"/>
              </w:rPr>
              <w:t> </w:t>
            </w:r>
            <w:r>
              <w:rPr>
                <w:spacing w:val="-4"/>
                <w:sz w:val="22"/>
              </w:rPr>
              <w:t>g/kg</w:t>
            </w:r>
          </w:p>
        </w:tc>
      </w:tr>
      <w:tr>
        <w:trPr>
          <w:trHeight w:val="1499" w:hRule="atLeast"/>
        </w:trPr>
        <w:tc>
          <w:tcPr>
            <w:tcW w:w="2580" w:type="dxa"/>
            <w:tcBorders>
              <w:top w:val="single" w:sz="4" w:space="0" w:color="7E7E7E"/>
            </w:tcBorders>
          </w:tcPr>
          <w:p>
            <w:pPr>
              <w:pStyle w:val="TableParagraph"/>
              <w:spacing w:line="276" w:lineRule="auto" w:before="0"/>
              <w:ind w:left="107"/>
              <w:jc w:val="left"/>
              <w:rPr>
                <w:i/>
                <w:sz w:val="22"/>
              </w:rPr>
            </w:pPr>
            <w:r>
              <w:rPr>
                <w:i/>
                <w:sz w:val="22"/>
                <w:vertAlign w:val="superscript"/>
              </w:rPr>
              <w:t>a</w:t>
            </w:r>
            <w:r>
              <w:rPr>
                <w:i/>
                <w:spacing w:val="-18"/>
                <w:sz w:val="22"/>
                <w:vertAlign w:val="baseline"/>
              </w:rPr>
              <w:t> </w:t>
            </w:r>
            <w:r>
              <w:rPr>
                <w:i/>
                <w:sz w:val="22"/>
                <w:vertAlign w:val="baseline"/>
              </w:rPr>
              <w:t>Homeier,</w:t>
            </w:r>
            <w:r>
              <w:rPr>
                <w:i/>
                <w:spacing w:val="-13"/>
                <w:sz w:val="22"/>
                <w:vertAlign w:val="baseline"/>
              </w:rPr>
              <w:t> </w:t>
            </w:r>
            <w:r>
              <w:rPr>
                <w:i/>
                <w:sz w:val="22"/>
                <w:vertAlign w:val="baseline"/>
              </w:rPr>
              <w:t>Leuschner,</w:t>
            </w:r>
            <w:r>
              <w:rPr>
                <w:i/>
                <w:spacing w:val="-13"/>
                <w:sz w:val="22"/>
                <w:vertAlign w:val="baseline"/>
              </w:rPr>
              <w:t> </w:t>
            </w:r>
            <w:r>
              <w:rPr>
                <w:i/>
                <w:sz w:val="22"/>
                <w:vertAlign w:val="baseline"/>
              </w:rPr>
              <w:t>et al., 2013</w:t>
            </w:r>
          </w:p>
          <w:p>
            <w:pPr>
              <w:pStyle w:val="TableParagraph"/>
              <w:spacing w:before="0"/>
              <w:ind w:left="107"/>
              <w:jc w:val="left"/>
              <w:rPr>
                <w:i/>
                <w:sz w:val="22"/>
              </w:rPr>
            </w:pPr>
            <w:r>
              <w:rPr>
                <w:i/>
                <w:sz w:val="22"/>
                <w:vertAlign w:val="superscript"/>
              </w:rPr>
              <w:t>b</w:t>
            </w:r>
            <w:r>
              <w:rPr>
                <w:i/>
                <w:spacing w:val="-18"/>
                <w:sz w:val="22"/>
                <w:vertAlign w:val="baseline"/>
              </w:rPr>
              <w:t> </w:t>
            </w:r>
            <w:r>
              <w:rPr>
                <w:i/>
                <w:sz w:val="22"/>
                <w:vertAlign w:val="baseline"/>
              </w:rPr>
              <w:t>Wittich</w:t>
            </w:r>
            <w:r>
              <w:rPr>
                <w:i/>
                <w:spacing w:val="-3"/>
                <w:sz w:val="22"/>
                <w:vertAlign w:val="baseline"/>
              </w:rPr>
              <w:t> </w:t>
            </w:r>
            <w:r>
              <w:rPr>
                <w:i/>
                <w:sz w:val="22"/>
                <w:vertAlign w:val="baseline"/>
              </w:rPr>
              <w:t>et</w:t>
            </w:r>
            <w:r>
              <w:rPr>
                <w:i/>
                <w:spacing w:val="-5"/>
                <w:sz w:val="22"/>
                <w:vertAlign w:val="baseline"/>
              </w:rPr>
              <w:t> </w:t>
            </w:r>
            <w:r>
              <w:rPr>
                <w:i/>
                <w:sz w:val="22"/>
                <w:vertAlign w:val="baseline"/>
              </w:rPr>
              <w:t>al.,</w:t>
            </w:r>
            <w:r>
              <w:rPr>
                <w:i/>
                <w:spacing w:val="-1"/>
                <w:sz w:val="22"/>
                <w:vertAlign w:val="baseline"/>
              </w:rPr>
              <w:t> </w:t>
            </w:r>
            <w:r>
              <w:rPr>
                <w:i/>
                <w:spacing w:val="-4"/>
                <w:sz w:val="22"/>
                <w:vertAlign w:val="baseline"/>
              </w:rPr>
              <w:t>2015</w:t>
            </w:r>
          </w:p>
          <w:p>
            <w:pPr>
              <w:pStyle w:val="TableParagraph"/>
              <w:spacing w:before="39"/>
              <w:ind w:left="107"/>
              <w:jc w:val="left"/>
              <w:rPr>
                <w:i/>
                <w:sz w:val="22"/>
              </w:rPr>
            </w:pPr>
            <w:r>
              <w:rPr>
                <w:i/>
                <w:sz w:val="22"/>
                <w:vertAlign w:val="superscript"/>
              </w:rPr>
              <w:t>c</w:t>
            </w:r>
            <w:r>
              <w:rPr>
                <w:i/>
                <w:spacing w:val="-18"/>
                <w:sz w:val="22"/>
                <w:vertAlign w:val="baseline"/>
              </w:rPr>
              <w:t> </w:t>
            </w:r>
            <w:r>
              <w:rPr>
                <w:i/>
                <w:sz w:val="22"/>
                <w:vertAlign w:val="baseline"/>
              </w:rPr>
              <w:t>Iost,</w:t>
            </w:r>
            <w:r>
              <w:rPr>
                <w:i/>
                <w:spacing w:val="-6"/>
                <w:sz w:val="22"/>
                <w:vertAlign w:val="baseline"/>
              </w:rPr>
              <w:t> </w:t>
            </w:r>
            <w:r>
              <w:rPr>
                <w:i/>
                <w:sz w:val="22"/>
                <w:vertAlign w:val="baseline"/>
              </w:rPr>
              <w:t>S.</w:t>
            </w:r>
            <w:r>
              <w:rPr>
                <w:i/>
                <w:spacing w:val="-1"/>
                <w:sz w:val="22"/>
                <w:vertAlign w:val="baseline"/>
              </w:rPr>
              <w:t> </w:t>
            </w:r>
            <w:r>
              <w:rPr>
                <w:i/>
                <w:sz w:val="22"/>
                <w:vertAlign w:val="baseline"/>
              </w:rPr>
              <w:t>et</w:t>
            </w:r>
            <w:r>
              <w:rPr>
                <w:i/>
                <w:spacing w:val="-3"/>
                <w:sz w:val="22"/>
                <w:vertAlign w:val="baseline"/>
              </w:rPr>
              <w:t> </w:t>
            </w:r>
            <w:r>
              <w:rPr>
                <w:i/>
                <w:sz w:val="22"/>
                <w:vertAlign w:val="baseline"/>
              </w:rPr>
              <w:t>al.,</w:t>
            </w:r>
            <w:r>
              <w:rPr>
                <w:i/>
                <w:spacing w:val="-1"/>
                <w:sz w:val="22"/>
                <w:vertAlign w:val="baseline"/>
              </w:rPr>
              <w:t> </w:t>
            </w:r>
            <w:r>
              <w:rPr>
                <w:i/>
                <w:spacing w:val="-4"/>
                <w:sz w:val="22"/>
                <w:vertAlign w:val="baseline"/>
              </w:rPr>
              <w:t>2008</w:t>
            </w:r>
          </w:p>
          <w:p>
            <w:pPr>
              <w:pStyle w:val="TableParagraph"/>
              <w:spacing w:line="244" w:lineRule="exact" w:before="41"/>
              <w:ind w:left="107"/>
              <w:jc w:val="left"/>
              <w:rPr>
                <w:i/>
                <w:sz w:val="22"/>
              </w:rPr>
            </w:pPr>
            <w:r>
              <w:rPr>
                <w:i/>
                <w:sz w:val="22"/>
                <w:vertAlign w:val="superscript"/>
              </w:rPr>
              <w:t>d</w:t>
            </w:r>
            <w:r>
              <w:rPr>
                <w:i/>
                <w:spacing w:val="-19"/>
                <w:sz w:val="22"/>
                <w:vertAlign w:val="baseline"/>
              </w:rPr>
              <w:t> </w:t>
            </w:r>
            <w:r>
              <w:rPr>
                <w:i/>
                <w:sz w:val="22"/>
                <w:vertAlign w:val="baseline"/>
              </w:rPr>
              <w:t>Dietrich</w:t>
            </w:r>
            <w:r>
              <w:rPr>
                <w:i/>
                <w:spacing w:val="-8"/>
                <w:sz w:val="22"/>
                <w:vertAlign w:val="baseline"/>
              </w:rPr>
              <w:t> </w:t>
            </w:r>
            <w:r>
              <w:rPr>
                <w:i/>
                <w:sz w:val="22"/>
                <w:vertAlign w:val="baseline"/>
              </w:rPr>
              <w:t>et</w:t>
            </w:r>
            <w:r>
              <w:rPr>
                <w:i/>
                <w:spacing w:val="-4"/>
                <w:sz w:val="22"/>
                <w:vertAlign w:val="baseline"/>
              </w:rPr>
              <w:t> </w:t>
            </w:r>
            <w:r>
              <w:rPr>
                <w:i/>
                <w:sz w:val="22"/>
                <w:vertAlign w:val="baseline"/>
              </w:rPr>
              <w:t>al.,</w:t>
            </w:r>
            <w:r>
              <w:rPr>
                <w:i/>
                <w:spacing w:val="-3"/>
                <w:sz w:val="22"/>
                <w:vertAlign w:val="baseline"/>
              </w:rPr>
              <w:t> </w:t>
            </w:r>
            <w:r>
              <w:rPr>
                <w:i/>
                <w:spacing w:val="-4"/>
                <w:sz w:val="22"/>
                <w:vertAlign w:val="baseline"/>
              </w:rPr>
              <w:t>2016</w:t>
            </w:r>
          </w:p>
        </w:tc>
        <w:tc>
          <w:tcPr>
            <w:tcW w:w="2053" w:type="dxa"/>
            <w:tcBorders>
              <w:top w:val="single" w:sz="4" w:space="0" w:color="7E7E7E"/>
            </w:tcBorders>
          </w:tcPr>
          <w:p>
            <w:pPr>
              <w:pStyle w:val="TableParagraph"/>
              <w:spacing w:before="0"/>
              <w:ind w:left="0"/>
              <w:jc w:val="left"/>
              <w:rPr>
                <w:rFonts w:ascii="Times New Roman"/>
                <w:sz w:val="22"/>
              </w:rPr>
            </w:pPr>
          </w:p>
        </w:tc>
        <w:tc>
          <w:tcPr>
            <w:tcW w:w="2179" w:type="dxa"/>
            <w:tcBorders>
              <w:top w:val="single" w:sz="4" w:space="0" w:color="7E7E7E"/>
            </w:tcBorders>
          </w:tcPr>
          <w:p>
            <w:pPr>
              <w:pStyle w:val="TableParagraph"/>
              <w:spacing w:before="0"/>
              <w:ind w:left="0"/>
              <w:jc w:val="left"/>
              <w:rPr>
                <w:rFonts w:ascii="Times New Roman"/>
                <w:sz w:val="22"/>
              </w:rPr>
            </w:pPr>
          </w:p>
        </w:tc>
        <w:tc>
          <w:tcPr>
            <w:tcW w:w="2593" w:type="dxa"/>
            <w:tcBorders>
              <w:top w:val="single" w:sz="4" w:space="0" w:color="7E7E7E"/>
            </w:tcBorders>
          </w:tcPr>
          <w:p>
            <w:pPr>
              <w:pStyle w:val="TableParagraph"/>
              <w:spacing w:before="0"/>
              <w:ind w:left="0"/>
              <w:jc w:val="left"/>
              <w:rPr>
                <w:rFonts w:ascii="Times New Roman"/>
                <w:sz w:val="22"/>
              </w:rPr>
            </w:pPr>
          </w:p>
        </w:tc>
      </w:tr>
    </w:tbl>
    <w:p>
      <w:pPr>
        <w:pStyle w:val="BodyText"/>
        <w:spacing w:before="176"/>
        <w:ind w:left="0"/>
        <w:jc w:val="left"/>
        <w:rPr>
          <w:i/>
        </w:rPr>
      </w:pPr>
    </w:p>
    <w:p>
      <w:pPr>
        <w:pStyle w:val="BodyText"/>
        <w:spacing w:before="1"/>
        <w:jc w:val="left"/>
        <w:rPr>
          <w:rFonts w:ascii="Calibri Light"/>
        </w:rPr>
      </w:pPr>
      <w:bookmarkStart w:name="_bookmark7" w:id="8"/>
      <w:bookmarkEnd w:id="8"/>
      <w:r>
        <w:rPr/>
      </w:r>
      <w:r>
        <w:rPr>
          <w:rFonts w:ascii="Calibri Light"/>
          <w:color w:val="1F3762"/>
        </w:rPr>
        <w:t>Bombuscaro,</w:t>
      </w:r>
      <w:r>
        <w:rPr>
          <w:rFonts w:ascii="Calibri Light"/>
          <w:color w:val="1F3762"/>
          <w:spacing w:val="-3"/>
        </w:rPr>
        <w:t> </w:t>
      </w:r>
      <w:r>
        <w:rPr>
          <w:rFonts w:ascii="Calibri Light"/>
          <w:color w:val="1F3762"/>
        </w:rPr>
        <w:t>1000m</w:t>
      </w:r>
      <w:r>
        <w:rPr>
          <w:rFonts w:ascii="Calibri Light"/>
          <w:color w:val="1F3762"/>
          <w:spacing w:val="-2"/>
        </w:rPr>
        <w:t> </w:t>
      </w:r>
      <w:r>
        <w:rPr>
          <w:rFonts w:ascii="Calibri Light"/>
          <w:color w:val="1F3762"/>
        </w:rPr>
        <w:t>asl</w:t>
      </w:r>
      <w:r>
        <w:rPr>
          <w:rFonts w:ascii="Calibri Light"/>
          <w:color w:val="1F3762"/>
          <w:spacing w:val="-2"/>
        </w:rPr>
        <w:t> </w:t>
      </w:r>
      <w:r>
        <w:rPr>
          <w:rFonts w:ascii="Calibri Light"/>
          <w:color w:val="1F3762"/>
          <w:spacing w:val="-4"/>
        </w:rPr>
        <w:t>site</w:t>
      </w:r>
    </w:p>
    <w:p>
      <w:pPr>
        <w:pStyle w:val="BodyText"/>
        <w:spacing w:line="360" w:lineRule="auto" w:before="43"/>
        <w:ind w:right="150" w:firstLine="566"/>
      </w:pPr>
      <w:r>
        <w:rPr/>
        <w:t>Mean temperature at the 1000m asl site is highest with 19.4 </w:t>
      </w:r>
      <w:r>
        <w:rPr>
          <w:vertAlign w:val="superscript"/>
        </w:rPr>
        <w:t>o</w:t>
      </w:r>
      <w:r>
        <w:rPr>
          <w:vertAlign w:val="baseline"/>
        </w:rPr>
        <w:t>C while precipitation is only 2000 mm, being the lowest compared to the other sites (Cárate-Tandalla et al., 2018). The soil is dystric cambisols formed by deeply weathered granodioritic rock of the Jurassic Zamora granitoid formation (Wolf et al., 2011) covered only with a thin organic layer (Oi) (Homeier, Leuschner, et al., 2013). The vegetation growing between 800-1300 m asl can be characterised as evergreen premontane rain forest with trees growing to a maximum of 40m. (Homeier et al., 2008). Many tree species at this elevation are from the families Fabaceae, Melastomataceae, Moraceae, Myristicaceae, Rubiaceae, and Sapotaceae (Homeier, Leuschner, et al., 2013)</w:t>
      </w:r>
    </w:p>
    <w:p>
      <w:pPr>
        <w:pStyle w:val="BodyText"/>
        <w:spacing w:after="0" w:line="360" w:lineRule="auto"/>
        <w:sectPr>
          <w:pgSz w:w="12240" w:h="15840"/>
          <w:pgMar w:header="0" w:footer="1012" w:top="1300" w:bottom="1200" w:left="850" w:right="850"/>
        </w:sectPr>
      </w:pPr>
    </w:p>
    <w:p>
      <w:pPr>
        <w:pStyle w:val="BodyText"/>
        <w:spacing w:before="37"/>
        <w:jc w:val="left"/>
        <w:rPr>
          <w:rFonts w:ascii="Calibri Light"/>
        </w:rPr>
      </w:pPr>
      <w:bookmarkStart w:name="_bookmark8" w:id="9"/>
      <w:bookmarkEnd w:id="9"/>
      <w:r>
        <w:rPr/>
      </w:r>
      <w:r>
        <w:rPr>
          <w:rFonts w:ascii="Calibri Light"/>
          <w:color w:val="1F3762"/>
        </w:rPr>
        <w:t>San</w:t>
      </w:r>
      <w:r>
        <w:rPr>
          <w:rFonts w:ascii="Calibri Light"/>
          <w:color w:val="1F3762"/>
          <w:spacing w:val="-3"/>
        </w:rPr>
        <w:t> </w:t>
      </w:r>
      <w:r>
        <w:rPr>
          <w:rFonts w:ascii="Calibri Light"/>
          <w:color w:val="1F3762"/>
        </w:rPr>
        <w:t>Francisco,</w:t>
      </w:r>
      <w:r>
        <w:rPr>
          <w:rFonts w:ascii="Calibri Light"/>
          <w:color w:val="1F3762"/>
          <w:spacing w:val="-2"/>
        </w:rPr>
        <w:t> </w:t>
      </w:r>
      <w:r>
        <w:rPr>
          <w:rFonts w:ascii="Calibri Light"/>
          <w:color w:val="1F3762"/>
        </w:rPr>
        <w:t>2000m asl</w:t>
      </w:r>
      <w:r>
        <w:rPr>
          <w:rFonts w:ascii="Calibri Light"/>
          <w:color w:val="1F3762"/>
          <w:spacing w:val="-2"/>
        </w:rPr>
        <w:t> </w:t>
      </w:r>
      <w:r>
        <w:rPr>
          <w:rFonts w:ascii="Calibri Light"/>
          <w:color w:val="1F3762"/>
          <w:spacing w:val="-4"/>
        </w:rPr>
        <w:t>site</w:t>
      </w:r>
    </w:p>
    <w:p>
      <w:pPr>
        <w:pStyle w:val="BodyText"/>
        <w:spacing w:line="360" w:lineRule="auto" w:before="43"/>
        <w:ind w:right="148" w:firstLine="566"/>
      </w:pPr>
      <w:r>
        <w:rPr/>
        <w:t>Mean temperature follows the trend outlined above and lies at 15.7</w:t>
      </w:r>
      <w:r>
        <w:rPr>
          <w:vertAlign w:val="superscript"/>
        </w:rPr>
        <w:t>o</w:t>
      </w:r>
      <w:r>
        <w:rPr>
          <w:vertAlign w:val="baseline"/>
        </w:rPr>
        <w:t>C. Precipitation at this location shows a trend-expectation, being lower than expected, with 1950mm mean rainfall (Wittich et al., 2015). The soil consists of stagnic cambisols covered by a thick organic layer of up to 30cm (Oi + Oe + Oa) (Homeier, Leuschner, et al., 2013). Its vegetation range between 1300-2100m asl can be characterised as evergreen lower montane forest with trees growing to a maximum of 30m (Homeier et al., 2008). Euphorbiaceae, Lauraceae, Melastomatacea and Rubiaceae are the characterizing tree families at this elevation (Homeier, Leuschner, et al., 2013).</w:t>
      </w:r>
    </w:p>
    <w:p>
      <w:pPr>
        <w:pStyle w:val="BodyText"/>
        <w:spacing w:before="162"/>
        <w:jc w:val="left"/>
        <w:rPr>
          <w:rFonts w:ascii="Calibri Light"/>
        </w:rPr>
      </w:pPr>
      <w:bookmarkStart w:name="_bookmark9" w:id="10"/>
      <w:bookmarkEnd w:id="10"/>
      <w:r>
        <w:rPr/>
      </w:r>
      <w:r>
        <w:rPr>
          <w:rFonts w:ascii="Calibri Light"/>
          <w:color w:val="1F3762"/>
        </w:rPr>
        <w:t>Cajanuma, 3000m</w:t>
      </w:r>
      <w:r>
        <w:rPr>
          <w:rFonts w:ascii="Calibri Light"/>
          <w:color w:val="1F3762"/>
          <w:spacing w:val="-3"/>
        </w:rPr>
        <w:t> </w:t>
      </w:r>
      <w:r>
        <w:rPr>
          <w:rFonts w:ascii="Calibri Light"/>
          <w:color w:val="1F3762"/>
        </w:rPr>
        <w:t>asl</w:t>
      </w:r>
      <w:r>
        <w:rPr>
          <w:rFonts w:ascii="Calibri Light"/>
          <w:color w:val="1F3762"/>
          <w:spacing w:val="-1"/>
        </w:rPr>
        <w:t> </w:t>
      </w:r>
      <w:r>
        <w:rPr>
          <w:rFonts w:ascii="Calibri Light"/>
          <w:color w:val="1F3762"/>
          <w:spacing w:val="-4"/>
        </w:rPr>
        <w:t>site</w:t>
      </w:r>
    </w:p>
    <w:p>
      <w:pPr>
        <w:pStyle w:val="BodyText"/>
        <w:spacing w:line="360" w:lineRule="auto" w:before="43"/>
        <w:ind w:right="152" w:firstLine="566"/>
      </w:pPr>
      <w:r>
        <w:rPr/>
        <w:t>Temperature is lowest with 9.4 </w:t>
      </w:r>
      <w:r>
        <w:rPr>
          <w:vertAlign w:val="superscript"/>
        </w:rPr>
        <w:t>o</w:t>
      </w:r>
      <w:r>
        <w:rPr>
          <w:vertAlign w:val="baseline"/>
        </w:rPr>
        <w:t>C whereas precipitation is highest with 4500mm at the 3000m asl site (Wittich et al., 2015). The mineral soil at this elevation consists of stagnic histosols which is covered by a up to 40cm thick organic layer (Oi + Oe + Oa) (Homeier, Leuschner, et al., 2013). From here on up to the timberline (3100 m asl) the vegetation is characterised by Homeier, Leuschner, et al. (2013b) as upper montane forest reaching up to the timberline with overall canopy height being 6-8m and rarely higher than 8-10m. The most tree prominent families are Aquifoliceae, Clusiaceae, Cunoniaceae, Lauraceae, and Melastomataceae.</w:t>
      </w:r>
    </w:p>
    <w:p>
      <w:pPr>
        <w:pStyle w:val="BodyText"/>
        <w:spacing w:after="0" w:line="360" w:lineRule="auto"/>
        <w:sectPr>
          <w:pgSz w:w="12240" w:h="15840"/>
          <w:pgMar w:header="0" w:footer="1012" w:top="1220" w:bottom="1200" w:left="850" w:right="850"/>
        </w:sectPr>
      </w:pPr>
    </w:p>
    <w:p>
      <w:pPr>
        <w:spacing w:line="240" w:lineRule="auto"/>
        <w:ind w:left="2037" w:right="0" w:firstLine="0"/>
        <w:rPr>
          <w:sz w:val="20"/>
        </w:rPr>
      </w:pPr>
      <w:r>
        <w:rPr>
          <w:sz w:val="20"/>
        </w:rPr>
        <w:drawing>
          <wp:inline distT="0" distB="0" distL="0" distR="0">
            <wp:extent cx="4124754" cy="459190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124754" cy="4591907"/>
                    </a:xfrm>
                    <a:prstGeom prst="rect">
                      <a:avLst/>
                    </a:prstGeom>
                  </pic:spPr>
                </pic:pic>
              </a:graphicData>
            </a:graphic>
          </wp:inline>
        </w:drawing>
      </w:r>
      <w:r>
        <w:rPr>
          <w:sz w:val="20"/>
        </w:rPr>
      </w:r>
    </w:p>
    <w:p>
      <w:pPr>
        <w:spacing w:line="259" w:lineRule="auto" w:before="259"/>
        <w:ind w:left="157" w:right="166" w:firstLine="0"/>
        <w:jc w:val="both"/>
        <w:rPr>
          <w:i/>
          <w:sz w:val="22"/>
        </w:rPr>
      </w:pPr>
      <w:r>
        <w:rPr>
          <w:color w:val="5A5A5A"/>
          <w:spacing w:val="10"/>
          <w:sz w:val="22"/>
        </w:rPr>
        <w:t>Fig.</w:t>
      </w:r>
      <w:r>
        <w:rPr>
          <w:color w:val="5A5A5A"/>
          <w:spacing w:val="10"/>
          <w:sz w:val="22"/>
        </w:rPr>
        <w:t> </w:t>
      </w:r>
      <w:r>
        <w:rPr>
          <w:color w:val="5A5A5A"/>
          <w:sz w:val="22"/>
        </w:rPr>
        <w:t>2: </w:t>
      </w:r>
      <w:r>
        <w:rPr>
          <w:i/>
          <w:color w:val="5A5A5A"/>
          <w:spacing w:val="12"/>
          <w:sz w:val="22"/>
        </w:rPr>
        <w:t>Pictures</w:t>
      </w:r>
      <w:r>
        <w:rPr>
          <w:i/>
          <w:color w:val="5A5A5A"/>
          <w:spacing w:val="12"/>
          <w:sz w:val="22"/>
        </w:rPr>
        <w:t> </w:t>
      </w:r>
      <w:r>
        <w:rPr>
          <w:i/>
          <w:color w:val="5A5A5A"/>
          <w:sz w:val="22"/>
        </w:rPr>
        <w:t>of </w:t>
      </w:r>
      <w:r>
        <w:rPr>
          <w:i/>
          <w:color w:val="5A5A5A"/>
          <w:spacing w:val="11"/>
          <w:sz w:val="22"/>
        </w:rPr>
        <w:t>example</w:t>
      </w:r>
      <w:r>
        <w:rPr>
          <w:i/>
          <w:color w:val="5A5A5A"/>
          <w:spacing w:val="11"/>
          <w:sz w:val="22"/>
        </w:rPr>
        <w:t> </w:t>
      </w:r>
      <w:r>
        <w:rPr>
          <w:i/>
          <w:color w:val="5A5A5A"/>
          <w:spacing w:val="12"/>
          <w:sz w:val="22"/>
        </w:rPr>
        <w:t>vegetation</w:t>
      </w:r>
      <w:r>
        <w:rPr>
          <w:i/>
          <w:color w:val="5A5A5A"/>
          <w:spacing w:val="12"/>
          <w:sz w:val="22"/>
        </w:rPr>
        <w:t> </w:t>
      </w:r>
      <w:r>
        <w:rPr>
          <w:i/>
          <w:color w:val="5A5A5A"/>
          <w:spacing w:val="9"/>
          <w:sz w:val="22"/>
        </w:rPr>
        <w:t>and</w:t>
      </w:r>
      <w:r>
        <w:rPr>
          <w:i/>
          <w:color w:val="5A5A5A"/>
          <w:spacing w:val="9"/>
          <w:sz w:val="22"/>
        </w:rPr>
        <w:t> </w:t>
      </w:r>
      <w:r>
        <w:rPr>
          <w:i/>
          <w:color w:val="5A5A5A"/>
          <w:spacing w:val="12"/>
          <w:sz w:val="22"/>
        </w:rPr>
        <w:t>composition</w:t>
      </w:r>
      <w:r>
        <w:rPr>
          <w:i/>
          <w:color w:val="5A5A5A"/>
          <w:spacing w:val="12"/>
          <w:sz w:val="22"/>
        </w:rPr>
        <w:t> </w:t>
      </w:r>
      <w:r>
        <w:rPr>
          <w:i/>
          <w:color w:val="5A5A5A"/>
          <w:sz w:val="22"/>
        </w:rPr>
        <w:t>at </w:t>
      </w:r>
      <w:r>
        <w:rPr>
          <w:i/>
          <w:color w:val="5A5A5A"/>
          <w:spacing w:val="9"/>
          <w:sz w:val="22"/>
        </w:rPr>
        <w:t>the</w:t>
      </w:r>
      <w:r>
        <w:rPr>
          <w:i/>
          <w:color w:val="5A5A5A"/>
          <w:spacing w:val="9"/>
          <w:sz w:val="22"/>
        </w:rPr>
        <w:t> </w:t>
      </w:r>
      <w:r>
        <w:rPr>
          <w:i/>
          <w:color w:val="5A5A5A"/>
          <w:spacing w:val="12"/>
          <w:sz w:val="22"/>
        </w:rPr>
        <w:t>different</w:t>
      </w:r>
      <w:r>
        <w:rPr>
          <w:i/>
          <w:color w:val="5A5A5A"/>
          <w:spacing w:val="12"/>
          <w:sz w:val="22"/>
        </w:rPr>
        <w:t> altitudes.</w:t>
      </w:r>
      <w:r>
        <w:rPr>
          <w:i/>
          <w:color w:val="5A5A5A"/>
          <w:spacing w:val="12"/>
          <w:sz w:val="22"/>
        </w:rPr>
        <w:t> </w:t>
      </w:r>
      <w:r>
        <w:rPr>
          <w:i/>
          <w:color w:val="5A5A5A"/>
          <w:spacing w:val="10"/>
          <w:sz w:val="22"/>
        </w:rPr>
        <w:t>From</w:t>
      </w:r>
      <w:r>
        <w:rPr>
          <w:i/>
          <w:color w:val="5A5A5A"/>
          <w:spacing w:val="10"/>
          <w:sz w:val="22"/>
        </w:rPr>
        <w:t> </w:t>
      </w:r>
      <w:r>
        <w:rPr>
          <w:i/>
          <w:color w:val="5A5A5A"/>
          <w:sz w:val="22"/>
        </w:rPr>
        <w:t>top to </w:t>
      </w:r>
      <w:r>
        <w:rPr>
          <w:i/>
          <w:color w:val="5A5A5A"/>
          <w:spacing w:val="11"/>
          <w:sz w:val="22"/>
        </w:rPr>
        <w:t>bottom:</w:t>
      </w:r>
      <w:r>
        <w:rPr>
          <w:i/>
          <w:color w:val="5A5A5A"/>
          <w:spacing w:val="11"/>
          <w:sz w:val="22"/>
        </w:rPr>
        <w:t> </w:t>
      </w:r>
      <w:r>
        <w:rPr>
          <w:b/>
          <w:i/>
          <w:color w:val="5A5A5A"/>
          <w:spacing w:val="12"/>
          <w:sz w:val="22"/>
        </w:rPr>
        <w:t>Cajanuma</w:t>
      </w:r>
      <w:r>
        <w:rPr>
          <w:i/>
          <w:color w:val="5A5A5A"/>
          <w:spacing w:val="12"/>
          <w:sz w:val="22"/>
        </w:rPr>
        <w:t>,</w:t>
      </w:r>
      <w:r>
        <w:rPr>
          <w:i/>
          <w:color w:val="5A5A5A"/>
          <w:spacing w:val="12"/>
          <w:sz w:val="22"/>
        </w:rPr>
        <w:t> Podocarpus</w:t>
      </w:r>
      <w:r>
        <w:rPr>
          <w:i/>
          <w:color w:val="5A5A5A"/>
          <w:spacing w:val="12"/>
          <w:sz w:val="22"/>
        </w:rPr>
        <w:t> </w:t>
      </w:r>
      <w:r>
        <w:rPr>
          <w:i/>
          <w:color w:val="5A5A5A"/>
          <w:sz w:val="22"/>
        </w:rPr>
        <w:t>NP </w:t>
      </w:r>
      <w:r>
        <w:rPr>
          <w:i/>
          <w:color w:val="5A5A5A"/>
          <w:spacing w:val="10"/>
          <w:sz w:val="22"/>
        </w:rPr>
        <w:t>with</w:t>
      </w:r>
      <w:r>
        <w:rPr>
          <w:i/>
          <w:color w:val="5A5A5A"/>
          <w:spacing w:val="10"/>
          <w:sz w:val="22"/>
        </w:rPr>
        <w:t> </w:t>
      </w:r>
      <w:r>
        <w:rPr>
          <w:i/>
          <w:color w:val="5A5A5A"/>
          <w:spacing w:val="11"/>
          <w:sz w:val="22"/>
        </w:rPr>
        <w:t>canopy</w:t>
      </w:r>
      <w:r>
        <w:rPr>
          <w:i/>
          <w:color w:val="5A5A5A"/>
          <w:spacing w:val="11"/>
          <w:sz w:val="22"/>
        </w:rPr>
        <w:t> </w:t>
      </w:r>
      <w:r>
        <w:rPr>
          <w:i/>
          <w:color w:val="5A5A5A"/>
          <w:spacing w:val="10"/>
          <w:sz w:val="22"/>
        </w:rPr>
        <w:t>cover</w:t>
      </w:r>
      <w:r>
        <w:rPr>
          <w:i/>
          <w:color w:val="5A5A5A"/>
          <w:spacing w:val="10"/>
          <w:sz w:val="22"/>
        </w:rPr>
        <w:t> </w:t>
      </w:r>
      <w:r>
        <w:rPr>
          <w:i/>
          <w:color w:val="5A5A5A"/>
          <w:spacing w:val="12"/>
          <w:sz w:val="22"/>
        </w:rPr>
        <w:t>reaching</w:t>
      </w:r>
      <w:r>
        <w:rPr>
          <w:i/>
          <w:color w:val="5A5A5A"/>
          <w:spacing w:val="12"/>
          <w:sz w:val="22"/>
        </w:rPr>
        <w:t> </w:t>
      </w:r>
      <w:r>
        <w:rPr>
          <w:i/>
          <w:color w:val="5A5A5A"/>
          <w:spacing w:val="10"/>
          <w:sz w:val="22"/>
        </w:rPr>
        <w:t>8m,</w:t>
      </w:r>
      <w:r>
        <w:rPr>
          <w:i/>
          <w:color w:val="5A5A5A"/>
          <w:spacing w:val="10"/>
          <w:sz w:val="22"/>
        </w:rPr>
        <w:t> </w:t>
      </w:r>
      <w:r>
        <w:rPr>
          <w:i/>
          <w:color w:val="5A5A5A"/>
          <w:spacing w:val="11"/>
          <w:sz w:val="22"/>
        </w:rPr>
        <w:t>highest</w:t>
      </w:r>
      <w:r>
        <w:rPr>
          <w:i/>
          <w:color w:val="5A5A5A"/>
          <w:spacing w:val="11"/>
          <w:sz w:val="22"/>
        </w:rPr>
        <w:t> </w:t>
      </w:r>
      <w:r>
        <w:rPr>
          <w:i/>
          <w:color w:val="5A5A5A"/>
          <w:spacing w:val="10"/>
          <w:sz w:val="22"/>
        </w:rPr>
        <w:t>tree</w:t>
      </w:r>
      <w:r>
        <w:rPr>
          <w:i/>
          <w:color w:val="5A5A5A"/>
          <w:spacing w:val="10"/>
          <w:sz w:val="22"/>
        </w:rPr>
        <w:t> </w:t>
      </w:r>
      <w:r>
        <w:rPr>
          <w:i/>
          <w:color w:val="5A5A5A"/>
          <w:spacing w:val="11"/>
          <w:sz w:val="22"/>
        </w:rPr>
        <w:t>density</w:t>
      </w:r>
      <w:r>
        <w:rPr>
          <w:i/>
          <w:color w:val="5A5A5A"/>
          <w:spacing w:val="11"/>
          <w:sz w:val="22"/>
        </w:rPr>
        <w:t> </w:t>
      </w:r>
      <w:r>
        <w:rPr>
          <w:i/>
          <w:color w:val="5A5A5A"/>
          <w:sz w:val="22"/>
        </w:rPr>
        <w:t>and </w:t>
      </w:r>
      <w:r>
        <w:rPr>
          <w:i/>
          <w:color w:val="5A5A5A"/>
          <w:spacing w:val="11"/>
          <w:sz w:val="22"/>
        </w:rPr>
        <w:t>medium</w:t>
      </w:r>
      <w:r>
        <w:rPr>
          <w:i/>
          <w:color w:val="5A5A5A"/>
          <w:spacing w:val="11"/>
          <w:sz w:val="22"/>
        </w:rPr>
        <w:t> </w:t>
      </w:r>
      <w:r>
        <w:rPr>
          <w:i/>
          <w:color w:val="5A5A5A"/>
          <w:spacing w:val="10"/>
          <w:sz w:val="22"/>
        </w:rPr>
        <w:t>basal</w:t>
      </w:r>
      <w:r>
        <w:rPr>
          <w:i/>
          <w:color w:val="5A5A5A"/>
          <w:spacing w:val="10"/>
          <w:sz w:val="22"/>
        </w:rPr>
        <w:t> area</w:t>
      </w:r>
      <w:r>
        <w:rPr>
          <w:i/>
          <w:color w:val="5A5A5A"/>
          <w:spacing w:val="10"/>
          <w:sz w:val="22"/>
        </w:rPr>
        <w:t> </w:t>
      </w:r>
      <w:r>
        <w:rPr>
          <w:i/>
          <w:color w:val="5A5A5A"/>
          <w:spacing w:val="12"/>
          <w:sz w:val="22"/>
        </w:rPr>
        <w:t>(3000m</w:t>
      </w:r>
      <w:r>
        <w:rPr>
          <w:i/>
          <w:color w:val="5A5A5A"/>
          <w:spacing w:val="12"/>
          <w:sz w:val="22"/>
        </w:rPr>
        <w:t> </w:t>
      </w:r>
      <w:r>
        <w:rPr>
          <w:i/>
          <w:color w:val="5A5A5A"/>
          <w:sz w:val="22"/>
        </w:rPr>
        <w:t>asl </w:t>
      </w:r>
      <w:r>
        <w:rPr>
          <w:i/>
          <w:color w:val="5A5A5A"/>
          <w:spacing w:val="11"/>
          <w:sz w:val="22"/>
        </w:rPr>
        <w:t>site);</w:t>
      </w:r>
      <w:r>
        <w:rPr>
          <w:i/>
          <w:color w:val="5A5A5A"/>
          <w:spacing w:val="11"/>
          <w:sz w:val="22"/>
        </w:rPr>
        <w:t> </w:t>
      </w:r>
      <w:r>
        <w:rPr>
          <w:b/>
          <w:i/>
          <w:color w:val="5A5A5A"/>
          <w:sz w:val="22"/>
        </w:rPr>
        <w:t>San </w:t>
      </w:r>
      <w:r>
        <w:rPr>
          <w:b/>
          <w:i/>
          <w:color w:val="5A5A5A"/>
          <w:spacing w:val="13"/>
          <w:sz w:val="22"/>
        </w:rPr>
        <w:t>Francisco</w:t>
      </w:r>
      <w:r>
        <w:rPr>
          <w:i/>
          <w:color w:val="5A5A5A"/>
          <w:spacing w:val="13"/>
          <w:sz w:val="22"/>
        </w:rPr>
        <w:t>,</w:t>
      </w:r>
      <w:r>
        <w:rPr>
          <w:i/>
          <w:color w:val="5A5A5A"/>
          <w:spacing w:val="13"/>
          <w:sz w:val="22"/>
        </w:rPr>
        <w:t> </w:t>
      </w:r>
      <w:r>
        <w:rPr>
          <w:i/>
          <w:color w:val="5A5A5A"/>
          <w:spacing w:val="11"/>
          <w:sz w:val="22"/>
        </w:rPr>
        <w:t>RSBF,</w:t>
      </w:r>
      <w:r>
        <w:rPr>
          <w:i/>
          <w:color w:val="5A5A5A"/>
          <w:spacing w:val="11"/>
          <w:sz w:val="22"/>
        </w:rPr>
        <w:t> </w:t>
      </w:r>
      <w:r>
        <w:rPr>
          <w:i/>
          <w:color w:val="5A5A5A"/>
          <w:spacing w:val="10"/>
          <w:sz w:val="22"/>
        </w:rPr>
        <w:t>with</w:t>
      </w:r>
      <w:r>
        <w:rPr>
          <w:i/>
          <w:color w:val="5A5A5A"/>
          <w:spacing w:val="10"/>
          <w:sz w:val="22"/>
        </w:rPr>
        <w:t> </w:t>
      </w:r>
      <w:r>
        <w:rPr>
          <w:i/>
          <w:color w:val="5A5A5A"/>
          <w:spacing w:val="11"/>
          <w:sz w:val="22"/>
        </w:rPr>
        <w:t>canopy cover</w:t>
      </w:r>
      <w:r>
        <w:rPr>
          <w:i/>
          <w:color w:val="5A5A5A"/>
          <w:spacing w:val="11"/>
          <w:sz w:val="22"/>
        </w:rPr>
        <w:t> </w:t>
      </w:r>
      <w:r>
        <w:rPr>
          <w:i/>
          <w:color w:val="5A5A5A"/>
          <w:spacing w:val="12"/>
          <w:sz w:val="22"/>
        </w:rPr>
        <w:t>reaching</w:t>
      </w:r>
      <w:r>
        <w:rPr>
          <w:i/>
          <w:color w:val="5A5A5A"/>
          <w:spacing w:val="12"/>
          <w:sz w:val="22"/>
        </w:rPr>
        <w:t> </w:t>
      </w:r>
      <w:r>
        <w:rPr>
          <w:i/>
          <w:color w:val="5A5A5A"/>
          <w:spacing w:val="10"/>
          <w:sz w:val="22"/>
        </w:rPr>
        <w:t>14m, </w:t>
      </w:r>
      <w:r>
        <w:rPr>
          <w:i/>
          <w:color w:val="5A5A5A"/>
          <w:spacing w:val="11"/>
          <w:sz w:val="22"/>
        </w:rPr>
        <w:t>medium</w:t>
      </w:r>
      <w:r>
        <w:rPr>
          <w:i/>
          <w:color w:val="5A5A5A"/>
          <w:spacing w:val="11"/>
          <w:sz w:val="22"/>
        </w:rPr>
        <w:t> </w:t>
      </w:r>
      <w:r>
        <w:rPr>
          <w:i/>
          <w:color w:val="5A5A5A"/>
          <w:spacing w:val="10"/>
          <w:sz w:val="22"/>
        </w:rPr>
        <w:t>tree</w:t>
      </w:r>
      <w:r>
        <w:rPr>
          <w:i/>
          <w:color w:val="5A5A5A"/>
          <w:spacing w:val="10"/>
          <w:sz w:val="22"/>
        </w:rPr>
        <w:t> </w:t>
      </w:r>
      <w:r>
        <w:rPr>
          <w:i/>
          <w:color w:val="5A5A5A"/>
          <w:spacing w:val="11"/>
          <w:sz w:val="22"/>
        </w:rPr>
        <w:t>density</w:t>
      </w:r>
      <w:r>
        <w:rPr>
          <w:i/>
          <w:color w:val="5A5A5A"/>
          <w:spacing w:val="11"/>
          <w:sz w:val="22"/>
        </w:rPr>
        <w:t> </w:t>
      </w:r>
      <w:r>
        <w:rPr>
          <w:i/>
          <w:color w:val="5A5A5A"/>
          <w:spacing w:val="9"/>
          <w:sz w:val="22"/>
        </w:rPr>
        <w:t>but</w:t>
      </w:r>
      <w:r>
        <w:rPr>
          <w:i/>
          <w:color w:val="5A5A5A"/>
          <w:spacing w:val="9"/>
          <w:sz w:val="22"/>
        </w:rPr>
        <w:t> </w:t>
      </w:r>
      <w:r>
        <w:rPr>
          <w:i/>
          <w:color w:val="5A5A5A"/>
          <w:spacing w:val="11"/>
          <w:sz w:val="22"/>
        </w:rPr>
        <w:t>lowest</w:t>
      </w:r>
      <w:r>
        <w:rPr>
          <w:i/>
          <w:color w:val="5A5A5A"/>
          <w:spacing w:val="11"/>
          <w:sz w:val="22"/>
        </w:rPr>
        <w:t> basal</w:t>
      </w:r>
      <w:r>
        <w:rPr>
          <w:i/>
          <w:color w:val="5A5A5A"/>
          <w:spacing w:val="11"/>
          <w:sz w:val="22"/>
        </w:rPr>
        <w:t> area</w:t>
      </w:r>
      <w:r>
        <w:rPr>
          <w:i/>
          <w:color w:val="5A5A5A"/>
          <w:spacing w:val="11"/>
          <w:sz w:val="22"/>
        </w:rPr>
        <w:t> </w:t>
      </w:r>
      <w:r>
        <w:rPr>
          <w:i/>
          <w:color w:val="5A5A5A"/>
          <w:spacing w:val="12"/>
          <w:sz w:val="22"/>
        </w:rPr>
        <w:t>(3000m</w:t>
      </w:r>
      <w:r>
        <w:rPr>
          <w:i/>
          <w:color w:val="5A5A5A"/>
          <w:spacing w:val="12"/>
          <w:sz w:val="22"/>
        </w:rPr>
        <w:t> </w:t>
      </w:r>
      <w:r>
        <w:rPr>
          <w:i/>
          <w:color w:val="5A5A5A"/>
          <w:sz w:val="22"/>
        </w:rPr>
        <w:t>asl </w:t>
      </w:r>
      <w:r>
        <w:rPr>
          <w:i/>
          <w:color w:val="5A5A5A"/>
          <w:spacing w:val="10"/>
          <w:sz w:val="22"/>
        </w:rPr>
        <w:t>site)</w:t>
      </w:r>
      <w:r>
        <w:rPr>
          <w:i/>
          <w:color w:val="5A5A5A"/>
          <w:spacing w:val="10"/>
          <w:sz w:val="22"/>
        </w:rPr>
        <w:t> </w:t>
      </w:r>
      <w:r>
        <w:rPr>
          <w:b/>
          <w:i/>
          <w:color w:val="5A5A5A"/>
          <w:spacing w:val="12"/>
          <w:sz w:val="22"/>
        </w:rPr>
        <w:t>Bombuscaro</w:t>
      </w:r>
      <w:r>
        <w:rPr>
          <w:i/>
          <w:color w:val="5A5A5A"/>
          <w:spacing w:val="12"/>
          <w:sz w:val="22"/>
        </w:rPr>
        <w:t>,</w:t>
      </w:r>
      <w:r>
        <w:rPr>
          <w:i/>
          <w:color w:val="5A5A5A"/>
          <w:spacing w:val="12"/>
          <w:sz w:val="22"/>
        </w:rPr>
        <w:t> Podocarpus</w:t>
      </w:r>
      <w:r>
        <w:rPr>
          <w:i/>
          <w:color w:val="5A5A5A"/>
          <w:spacing w:val="12"/>
          <w:sz w:val="22"/>
        </w:rPr>
        <w:t> </w:t>
      </w:r>
      <w:r>
        <w:rPr>
          <w:i/>
          <w:color w:val="5A5A5A"/>
          <w:sz w:val="22"/>
        </w:rPr>
        <w:t>NP </w:t>
      </w:r>
      <w:r>
        <w:rPr>
          <w:i/>
          <w:color w:val="5A5A5A"/>
          <w:spacing w:val="10"/>
          <w:sz w:val="22"/>
        </w:rPr>
        <w:t>with </w:t>
      </w:r>
      <w:r>
        <w:rPr>
          <w:i/>
          <w:color w:val="5A5A5A"/>
          <w:spacing w:val="11"/>
          <w:sz w:val="22"/>
        </w:rPr>
        <w:t>canopy</w:t>
      </w:r>
      <w:r>
        <w:rPr>
          <w:i/>
          <w:color w:val="5A5A5A"/>
          <w:spacing w:val="11"/>
          <w:sz w:val="22"/>
        </w:rPr>
        <w:t> </w:t>
      </w:r>
      <w:r>
        <w:rPr>
          <w:i/>
          <w:color w:val="5A5A5A"/>
          <w:spacing w:val="10"/>
          <w:sz w:val="22"/>
        </w:rPr>
        <w:t>cover</w:t>
      </w:r>
      <w:r>
        <w:rPr>
          <w:i/>
          <w:color w:val="5A5A5A"/>
          <w:spacing w:val="10"/>
          <w:sz w:val="22"/>
        </w:rPr>
        <w:t> </w:t>
      </w:r>
      <w:r>
        <w:rPr>
          <w:i/>
          <w:color w:val="5A5A5A"/>
          <w:spacing w:val="12"/>
          <w:sz w:val="22"/>
        </w:rPr>
        <w:t>reaching</w:t>
      </w:r>
      <w:r>
        <w:rPr>
          <w:i/>
          <w:color w:val="5A5A5A"/>
          <w:spacing w:val="12"/>
          <w:sz w:val="22"/>
        </w:rPr>
        <w:t> </w:t>
      </w:r>
      <w:r>
        <w:rPr>
          <w:i/>
          <w:color w:val="5A5A5A"/>
          <w:spacing w:val="10"/>
          <w:sz w:val="22"/>
        </w:rPr>
        <w:t>25m,</w:t>
      </w:r>
      <w:r>
        <w:rPr>
          <w:i/>
          <w:color w:val="5A5A5A"/>
          <w:spacing w:val="10"/>
          <w:sz w:val="22"/>
        </w:rPr>
        <w:t> </w:t>
      </w:r>
      <w:r>
        <w:rPr>
          <w:i/>
          <w:color w:val="5A5A5A"/>
          <w:spacing w:val="11"/>
          <w:sz w:val="22"/>
        </w:rPr>
        <w:t>lowest</w:t>
      </w:r>
      <w:r>
        <w:rPr>
          <w:i/>
          <w:color w:val="5A5A5A"/>
          <w:spacing w:val="11"/>
          <w:sz w:val="22"/>
        </w:rPr>
        <w:t> </w:t>
      </w:r>
      <w:r>
        <w:rPr>
          <w:i/>
          <w:color w:val="5A5A5A"/>
          <w:spacing w:val="10"/>
          <w:sz w:val="22"/>
        </w:rPr>
        <w:t>tree</w:t>
      </w:r>
      <w:r>
        <w:rPr>
          <w:i/>
          <w:color w:val="5A5A5A"/>
          <w:spacing w:val="10"/>
          <w:sz w:val="22"/>
        </w:rPr>
        <w:t> </w:t>
      </w:r>
      <w:r>
        <w:rPr>
          <w:i/>
          <w:color w:val="5A5A5A"/>
          <w:spacing w:val="11"/>
          <w:sz w:val="22"/>
        </w:rPr>
        <w:t>density</w:t>
      </w:r>
      <w:r>
        <w:rPr>
          <w:i/>
          <w:color w:val="5A5A5A"/>
          <w:spacing w:val="11"/>
          <w:sz w:val="22"/>
        </w:rPr>
        <w:t> </w:t>
      </w:r>
      <w:r>
        <w:rPr>
          <w:i/>
          <w:color w:val="5A5A5A"/>
          <w:sz w:val="22"/>
        </w:rPr>
        <w:t>but </w:t>
      </w:r>
      <w:r>
        <w:rPr>
          <w:i/>
          <w:color w:val="5A5A5A"/>
          <w:spacing w:val="12"/>
          <w:sz w:val="22"/>
        </w:rPr>
        <w:t>highest</w:t>
      </w:r>
      <w:r>
        <w:rPr>
          <w:i/>
          <w:color w:val="5A5A5A"/>
          <w:spacing w:val="12"/>
          <w:sz w:val="22"/>
        </w:rPr>
        <w:t> </w:t>
      </w:r>
      <w:r>
        <w:rPr>
          <w:i/>
          <w:color w:val="5A5A5A"/>
          <w:spacing w:val="10"/>
          <w:sz w:val="22"/>
        </w:rPr>
        <w:t>basal</w:t>
      </w:r>
      <w:r>
        <w:rPr>
          <w:i/>
          <w:color w:val="5A5A5A"/>
          <w:spacing w:val="10"/>
          <w:sz w:val="22"/>
        </w:rPr>
        <w:t> area</w:t>
      </w:r>
      <w:r>
        <w:rPr>
          <w:i/>
          <w:color w:val="5A5A5A"/>
          <w:spacing w:val="10"/>
          <w:sz w:val="22"/>
        </w:rPr>
        <w:t> </w:t>
      </w:r>
      <w:r>
        <w:rPr>
          <w:i/>
          <w:color w:val="5A5A5A"/>
          <w:spacing w:val="12"/>
          <w:sz w:val="22"/>
        </w:rPr>
        <w:t>(1000m</w:t>
      </w:r>
      <w:r>
        <w:rPr>
          <w:i/>
          <w:color w:val="5A5A5A"/>
          <w:spacing w:val="12"/>
          <w:sz w:val="22"/>
        </w:rPr>
        <w:t> </w:t>
      </w:r>
      <w:r>
        <w:rPr>
          <w:i/>
          <w:color w:val="5A5A5A"/>
          <w:sz w:val="22"/>
        </w:rPr>
        <w:t>asl </w:t>
      </w:r>
      <w:r>
        <w:rPr>
          <w:i/>
          <w:color w:val="5A5A5A"/>
          <w:spacing w:val="11"/>
          <w:sz w:val="22"/>
        </w:rPr>
        <w:t>site);</w:t>
      </w:r>
      <w:r>
        <w:rPr>
          <w:i/>
          <w:color w:val="5A5A5A"/>
          <w:spacing w:val="11"/>
          <w:sz w:val="22"/>
        </w:rPr>
        <w:t> </w:t>
      </w:r>
      <w:r>
        <w:rPr>
          <w:i/>
          <w:color w:val="5A5A5A"/>
          <w:spacing w:val="12"/>
          <w:sz w:val="22"/>
        </w:rPr>
        <w:t>Source: </w:t>
      </w:r>
      <w:r>
        <w:rPr>
          <w:i/>
          <w:color w:val="5A5A5A"/>
          <w:spacing w:val="11"/>
          <w:sz w:val="22"/>
        </w:rPr>
        <w:t>Jürgen</w:t>
      </w:r>
      <w:r>
        <w:rPr>
          <w:i/>
          <w:color w:val="5A5A5A"/>
          <w:spacing w:val="11"/>
          <w:sz w:val="22"/>
        </w:rPr>
        <w:t> Homeier</w:t>
      </w:r>
    </w:p>
    <w:p>
      <w:pPr>
        <w:pStyle w:val="Heading2"/>
        <w:spacing w:before="161"/>
        <w:jc w:val="both"/>
      </w:pPr>
      <w:bookmarkStart w:name="_bookmark10" w:id="11"/>
      <w:bookmarkEnd w:id="11"/>
      <w:r>
        <w:rPr/>
      </w:r>
      <w:r>
        <w:rPr>
          <w:color w:val="2E5395"/>
        </w:rPr>
        <w:t>Nutrient</w:t>
      </w:r>
      <w:r>
        <w:rPr>
          <w:color w:val="2E5395"/>
          <w:spacing w:val="-8"/>
        </w:rPr>
        <w:t> </w:t>
      </w:r>
      <w:r>
        <w:rPr>
          <w:color w:val="2E5395"/>
        </w:rPr>
        <w:t>Addition</w:t>
      </w:r>
      <w:r>
        <w:rPr>
          <w:color w:val="2E5395"/>
          <w:spacing w:val="-8"/>
        </w:rPr>
        <w:t> </w:t>
      </w:r>
      <w:r>
        <w:rPr>
          <w:color w:val="2E5395"/>
        </w:rPr>
        <w:t>Experiment</w:t>
      </w:r>
      <w:r>
        <w:rPr>
          <w:color w:val="2E5395"/>
          <w:spacing w:val="-8"/>
        </w:rPr>
        <w:t> </w:t>
      </w:r>
      <w:r>
        <w:rPr>
          <w:color w:val="2E5395"/>
        </w:rPr>
        <w:t>and</w:t>
      </w:r>
      <w:r>
        <w:rPr>
          <w:color w:val="2E5395"/>
          <w:spacing w:val="-6"/>
        </w:rPr>
        <w:t> </w:t>
      </w:r>
      <w:r>
        <w:rPr>
          <w:color w:val="2E5395"/>
        </w:rPr>
        <w:t>Plot</w:t>
      </w:r>
      <w:r>
        <w:rPr>
          <w:color w:val="2E5395"/>
          <w:spacing w:val="-7"/>
        </w:rPr>
        <w:t> </w:t>
      </w:r>
      <w:r>
        <w:rPr>
          <w:color w:val="2E5395"/>
          <w:spacing w:val="-2"/>
        </w:rPr>
        <w:t>Setup</w:t>
      </w:r>
    </w:p>
    <w:p>
      <w:pPr>
        <w:pStyle w:val="BodyText"/>
        <w:spacing w:line="360" w:lineRule="auto" w:before="47"/>
        <w:ind w:right="153" w:firstLine="566"/>
      </w:pPr>
      <w:r>
        <w:rPr/>
        <w:t>The experiment was set up as follows at each altitude (Fig. 3): “The full-factorial experiment was set in a stratified random design that includes four blocks and 16 plots of 400m</w:t>
      </w:r>
      <w:r>
        <w:rPr>
          <w:vertAlign w:val="superscript"/>
        </w:rPr>
        <w:t>2</w:t>
      </w:r>
      <w:r>
        <w:rPr>
          <w:vertAlign w:val="baseline"/>
        </w:rPr>
        <w:t> (20 x 20 m), with a minimum distance of 10m between plots. Thus, each block has four plots randomly assigned to a treatment: N, P, N + P, and control. N and P were added to the experimental plots at a moderate annual rate of 50 kg N/ha as urea, and 10 kg P/ha as monosodium phosphate. Both nutrients were distributed in solid form by hand, homogeneously within the plot area, twice a</w:t>
      </w:r>
      <w:r>
        <w:rPr>
          <w:spacing w:val="40"/>
          <w:vertAlign w:val="baseline"/>
        </w:rPr>
        <w:t> </w:t>
      </w:r>
      <w:r>
        <w:rPr>
          <w:vertAlign w:val="baseline"/>
        </w:rPr>
        <w:t>year “ (Báez &amp; Homeier, 2018). At all sites measurements were first taken in February 2008.</w:t>
      </w:r>
    </w:p>
    <w:p>
      <w:pPr>
        <w:pStyle w:val="BodyText"/>
        <w:spacing w:after="0" w:line="360" w:lineRule="auto"/>
        <w:sectPr>
          <w:pgSz w:w="12240" w:h="15840"/>
          <w:pgMar w:header="0" w:footer="1012" w:top="1260" w:bottom="1200" w:left="850" w:right="850"/>
        </w:sectPr>
      </w:pPr>
    </w:p>
    <w:p>
      <w:pPr>
        <w:spacing w:line="240" w:lineRule="auto"/>
        <w:ind w:left="2151" w:right="0" w:firstLine="0"/>
        <w:rPr>
          <w:sz w:val="20"/>
        </w:rPr>
      </w:pPr>
      <w:r>
        <w:rPr>
          <w:sz w:val="20"/>
        </w:rPr>
        <w:drawing>
          <wp:inline distT="0" distB="0" distL="0" distR="0">
            <wp:extent cx="4081322" cy="364845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081322" cy="3648455"/>
                    </a:xfrm>
                    <a:prstGeom prst="rect">
                      <a:avLst/>
                    </a:prstGeom>
                  </pic:spPr>
                </pic:pic>
              </a:graphicData>
            </a:graphic>
          </wp:inline>
        </w:drawing>
      </w:r>
      <w:r>
        <w:rPr>
          <w:sz w:val="20"/>
        </w:rPr>
      </w:r>
    </w:p>
    <w:p>
      <w:pPr>
        <w:spacing w:line="276" w:lineRule="auto" w:before="220"/>
        <w:ind w:left="157" w:right="157" w:firstLine="0"/>
        <w:jc w:val="both"/>
        <w:rPr>
          <w:sz w:val="22"/>
        </w:rPr>
      </w:pPr>
      <w:r>
        <w:rPr>
          <w:i/>
          <w:color w:val="404040"/>
          <w:sz w:val="22"/>
        </w:rPr>
        <w:t>Fig. 3: Map of the plot setup at 2000m asl site. Dotted lines within plots represent transects and continuous lines between the plots represent the access roads. Source: </w:t>
      </w:r>
      <w:r>
        <w:rPr>
          <w:color w:val="404040"/>
          <w:sz w:val="22"/>
        </w:rPr>
        <w:t>Wullaert et al. (2010)</w:t>
      </w:r>
    </w:p>
    <w:p>
      <w:pPr>
        <w:pStyle w:val="BodyText"/>
        <w:spacing w:line="360" w:lineRule="auto" w:before="161"/>
        <w:ind w:right="152" w:firstLine="566"/>
      </w:pPr>
      <w:r>
        <w:rPr/>
        <w:t>The tree community and starting conditions of the NuMEx plots highly differed among elevations: Plots at 1000m asl included 82 species with a mean tree diameter of 20.80; plots at 2000m asl included 45 species with a mean tree diameter of 14.; and plots at 3000m asl included</w:t>
      </w:r>
      <w:r>
        <w:rPr>
          <w:spacing w:val="40"/>
        </w:rPr>
        <w:t> </w:t>
      </w:r>
      <w:r>
        <w:rPr/>
        <w:t>68 species with a mean tree diameter of 14.87 cm all at the start of the study period.</w:t>
      </w:r>
    </w:p>
    <w:p>
      <w:pPr>
        <w:pStyle w:val="BodyText"/>
        <w:spacing w:line="360" w:lineRule="auto"/>
        <w:ind w:right="152" w:firstLine="566"/>
      </w:pPr>
      <w:r>
        <w:rPr/>
        <w:t>To</w:t>
      </w:r>
      <w:r>
        <w:rPr>
          <w:spacing w:val="-1"/>
        </w:rPr>
        <w:t> </w:t>
      </w:r>
      <w:r>
        <w:rPr/>
        <w:t>accurately</w:t>
      </w:r>
      <w:r>
        <w:rPr>
          <w:spacing w:val="-1"/>
        </w:rPr>
        <w:t> </w:t>
      </w:r>
      <w:r>
        <w:rPr/>
        <w:t>measure diameter</w:t>
      </w:r>
      <w:r>
        <w:rPr>
          <w:spacing w:val="-1"/>
        </w:rPr>
        <w:t> </w:t>
      </w:r>
      <w:r>
        <w:rPr/>
        <w:t>at</w:t>
      </w:r>
      <w:r>
        <w:rPr>
          <w:spacing w:val="-1"/>
        </w:rPr>
        <w:t> </w:t>
      </w:r>
      <w:r>
        <w:rPr/>
        <w:t>breast</w:t>
      </w:r>
      <w:r>
        <w:rPr>
          <w:spacing w:val="-1"/>
        </w:rPr>
        <w:t> </w:t>
      </w:r>
      <w:r>
        <w:rPr/>
        <w:t>height (dbh) increments permanent</w:t>
      </w:r>
      <w:r>
        <w:rPr>
          <w:spacing w:val="-1"/>
        </w:rPr>
        <w:t> </w:t>
      </w:r>
      <w:r>
        <w:rPr/>
        <w:t>dendrometers (D1, UMS, Munich, Germany) were installed on all individual trees inside the experimental plots with</w:t>
      </w:r>
      <w:r>
        <w:rPr>
          <w:spacing w:val="-3"/>
        </w:rPr>
        <w:t> </w:t>
      </w:r>
      <w:r>
        <w:rPr/>
        <w:t>dbh</w:t>
      </w:r>
      <w:r>
        <w:rPr>
          <w:spacing w:val="-2"/>
        </w:rPr>
        <w:t> </w:t>
      </w:r>
      <w:r>
        <w:rPr/>
        <w:t>of</w:t>
      </w:r>
      <w:r>
        <w:rPr>
          <w:spacing w:val="-3"/>
        </w:rPr>
        <w:t> </w:t>
      </w:r>
      <w:r>
        <w:rPr/>
        <w:t>≥</w:t>
      </w:r>
      <w:r>
        <w:rPr>
          <w:spacing w:val="-1"/>
        </w:rPr>
        <w:t> </w:t>
      </w:r>
      <w:r>
        <w:rPr/>
        <w:t>10</w:t>
      </w:r>
      <w:r>
        <w:rPr>
          <w:spacing w:val="-2"/>
        </w:rPr>
        <w:t> </w:t>
      </w:r>
      <w:r>
        <w:rPr/>
        <w:t>cm.</w:t>
      </w:r>
      <w:r>
        <w:rPr>
          <w:spacing w:val="-1"/>
        </w:rPr>
        <w:t> </w:t>
      </w:r>
      <w:r>
        <w:rPr/>
        <w:t>The</w:t>
      </w:r>
      <w:r>
        <w:rPr>
          <w:spacing w:val="-2"/>
        </w:rPr>
        <w:t> </w:t>
      </w:r>
      <w:r>
        <w:rPr/>
        <w:t>dbh</w:t>
      </w:r>
      <w:r>
        <w:rPr>
          <w:spacing w:val="-2"/>
        </w:rPr>
        <w:t> </w:t>
      </w:r>
      <w:r>
        <w:rPr/>
        <w:t>was</w:t>
      </w:r>
      <w:r>
        <w:rPr>
          <w:spacing w:val="-1"/>
        </w:rPr>
        <w:t> </w:t>
      </w:r>
      <w:r>
        <w:rPr/>
        <w:t>measured</w:t>
      </w:r>
      <w:r>
        <w:rPr>
          <w:spacing w:val="-3"/>
        </w:rPr>
        <w:t> </w:t>
      </w:r>
      <w:r>
        <w:rPr/>
        <w:t>at</w:t>
      </w:r>
      <w:r>
        <w:rPr>
          <w:spacing w:val="-2"/>
        </w:rPr>
        <w:t> </w:t>
      </w:r>
      <w:r>
        <w:rPr/>
        <w:t>least</w:t>
      </w:r>
      <w:r>
        <w:rPr>
          <w:spacing w:val="-3"/>
        </w:rPr>
        <w:t> </w:t>
      </w:r>
      <w:r>
        <w:rPr/>
        <w:t>every</w:t>
      </w:r>
      <w:r>
        <w:rPr>
          <w:spacing w:val="-3"/>
        </w:rPr>
        <w:t> </w:t>
      </w:r>
      <w:r>
        <w:rPr/>
        <w:t>6</w:t>
      </w:r>
      <w:r>
        <w:rPr>
          <w:spacing w:val="-1"/>
        </w:rPr>
        <w:t> </w:t>
      </w:r>
      <w:r>
        <w:rPr/>
        <w:t>months</w:t>
      </w:r>
      <w:r>
        <w:rPr>
          <w:spacing w:val="-1"/>
        </w:rPr>
        <w:t> </w:t>
      </w:r>
      <w:r>
        <w:rPr/>
        <w:t>(until</w:t>
      </w:r>
      <w:r>
        <w:rPr>
          <w:spacing w:val="-1"/>
        </w:rPr>
        <w:t> </w:t>
      </w:r>
      <w:r>
        <w:rPr/>
        <w:t>2015)</w:t>
      </w:r>
      <w:r>
        <w:rPr>
          <w:spacing w:val="-2"/>
        </w:rPr>
        <w:t> </w:t>
      </w:r>
      <w:r>
        <w:rPr/>
        <w:t>and following that at least once a year “simultaneously” across plots where possible.</w:t>
      </w:r>
    </w:p>
    <w:p>
      <w:pPr>
        <w:pStyle w:val="BodyText"/>
        <w:spacing w:after="0" w:line="360" w:lineRule="auto"/>
        <w:sectPr>
          <w:pgSz w:w="12240" w:h="15840"/>
          <w:pgMar w:header="0" w:footer="1012" w:top="1320" w:bottom="1200" w:left="850" w:right="850"/>
        </w:sectPr>
      </w:pPr>
    </w:p>
    <w:p>
      <w:pPr>
        <w:pStyle w:val="Heading2"/>
      </w:pPr>
      <w:bookmarkStart w:name="_bookmark11" w:id="12"/>
      <w:bookmarkEnd w:id="12"/>
      <w:r>
        <w:rPr/>
      </w:r>
      <w:r>
        <w:rPr>
          <w:color w:val="2E5395"/>
        </w:rPr>
        <w:t>Functional</w:t>
      </w:r>
      <w:r>
        <w:rPr>
          <w:color w:val="2E5395"/>
          <w:spacing w:val="-9"/>
        </w:rPr>
        <w:t> </w:t>
      </w:r>
      <w:r>
        <w:rPr>
          <w:color w:val="2E5395"/>
          <w:spacing w:val="-2"/>
        </w:rPr>
        <w:t>Traits</w:t>
      </w:r>
    </w:p>
    <w:p>
      <w:pPr>
        <w:pStyle w:val="BodyText"/>
        <w:spacing w:line="360" w:lineRule="auto" w:before="48"/>
        <w:ind w:right="151" w:firstLine="566"/>
      </w:pPr>
      <w:r>
        <w:rPr/>
        <w:t>In total 352 species were evaluated for functional traits across all three elevations (118 at 1000m asl; 168 at</w:t>
      </w:r>
      <w:r>
        <w:rPr>
          <w:spacing w:val="-1"/>
        </w:rPr>
        <w:t> </w:t>
      </w:r>
      <w:r>
        <w:rPr/>
        <w:t>2000m asl; 66</w:t>
      </w:r>
      <w:r>
        <w:rPr>
          <w:spacing w:val="-1"/>
        </w:rPr>
        <w:t> </w:t>
      </w:r>
      <w:r>
        <w:rPr/>
        <w:t>at</w:t>
      </w:r>
      <w:r>
        <w:rPr>
          <w:spacing w:val="-1"/>
        </w:rPr>
        <w:t> </w:t>
      </w:r>
      <w:r>
        <w:rPr/>
        <w:t>3000m asl). For</w:t>
      </w:r>
      <w:r>
        <w:rPr>
          <w:spacing w:val="-1"/>
        </w:rPr>
        <w:t> </w:t>
      </w:r>
      <w:r>
        <w:rPr/>
        <w:t>all</w:t>
      </w:r>
      <w:r>
        <w:rPr>
          <w:spacing w:val="-1"/>
        </w:rPr>
        <w:t> </w:t>
      </w:r>
      <w:r>
        <w:rPr/>
        <w:t>functional</w:t>
      </w:r>
      <w:r>
        <w:rPr>
          <w:spacing w:val="-1"/>
        </w:rPr>
        <w:t> </w:t>
      </w:r>
      <w:r>
        <w:rPr/>
        <w:t>trait data</w:t>
      </w:r>
      <w:r>
        <w:rPr>
          <w:spacing w:val="-1"/>
        </w:rPr>
        <w:t> </w:t>
      </w:r>
      <w:r>
        <w:rPr/>
        <w:t>non-fertilized trees with dbh ≥ 10 cm in control plots or along trails in the research area (Fig. 1 Map 3) were sampled. Measurements were either conducted on site (e.g., bark thickness) or gathered and analysed at</w:t>
      </w:r>
      <w:r>
        <w:rPr>
          <w:spacing w:val="40"/>
        </w:rPr>
        <w:t> </w:t>
      </w:r>
      <w:r>
        <w:rPr/>
        <w:t>the local research station in the RSFB (e.g., SLA) or send to the Department of Plant Ecology in Göttingen (Germany). Mean trait values were used opposed to the more accurate analysis at the individual level (Liu et al., 2016) because of the high heterogeneity of the tree communities and low</w:t>
      </w:r>
      <w:r>
        <w:rPr>
          <w:spacing w:val="-2"/>
        </w:rPr>
        <w:t> </w:t>
      </w:r>
      <w:r>
        <w:rPr/>
        <w:t>species abundance. The</w:t>
      </w:r>
      <w:r>
        <w:rPr>
          <w:spacing w:val="-1"/>
        </w:rPr>
        <w:t> </w:t>
      </w:r>
      <w:r>
        <w:rPr/>
        <w:t>measurement</w:t>
      </w:r>
      <w:r>
        <w:rPr>
          <w:spacing w:val="-2"/>
        </w:rPr>
        <w:t> </w:t>
      </w:r>
      <w:r>
        <w:rPr/>
        <w:t>methods for</w:t>
      </w:r>
      <w:r>
        <w:rPr>
          <w:spacing w:val="-2"/>
        </w:rPr>
        <w:t> </w:t>
      </w:r>
      <w:r>
        <w:rPr/>
        <w:t>each trait can be found in</w:t>
      </w:r>
      <w:r>
        <w:rPr>
          <w:spacing w:val="-2"/>
        </w:rPr>
        <w:t> </w:t>
      </w:r>
      <w:r>
        <w:rPr/>
        <w:t>Báez &amp; Homeier (2018) supplementary material. In total 5 leaf traits - namely foliar nitrogen (N) and foliar phosphor (P) concentrations, leaf area (LA), leaf toughness (LT), specific leaf area (SLA) - and 5 stem traits – namely bark thickness (BT), sapwood-specific conductivity (KS), stem vessel density (VDens), stem vessel diameter (VDia), and wood-specific gravity (WSG) - were included in the final PCA analysis.</w:t>
      </w:r>
    </w:p>
    <w:p>
      <w:pPr>
        <w:pStyle w:val="Heading2"/>
        <w:spacing w:before="160"/>
      </w:pPr>
      <w:bookmarkStart w:name="_bookmark12" w:id="13"/>
      <w:bookmarkEnd w:id="13"/>
      <w:r>
        <w:rPr/>
      </w:r>
      <w:r>
        <w:rPr>
          <w:color w:val="2E5395"/>
        </w:rPr>
        <w:t>Statistical</w:t>
      </w:r>
      <w:r>
        <w:rPr>
          <w:color w:val="2E5395"/>
          <w:spacing w:val="-10"/>
        </w:rPr>
        <w:t> </w:t>
      </w:r>
      <w:r>
        <w:rPr>
          <w:color w:val="2E5395"/>
          <w:spacing w:val="-2"/>
        </w:rPr>
        <w:t>Analysis</w:t>
      </w:r>
    </w:p>
    <w:p>
      <w:pPr>
        <w:pStyle w:val="BodyText"/>
        <w:spacing w:before="88"/>
        <w:jc w:val="left"/>
        <w:rPr>
          <w:rFonts w:ascii="Calibri Light"/>
        </w:rPr>
      </w:pPr>
      <w:bookmarkStart w:name="_bookmark13" w:id="14"/>
      <w:bookmarkEnd w:id="14"/>
      <w:r>
        <w:rPr/>
      </w:r>
      <w:r>
        <w:rPr>
          <w:rFonts w:ascii="Calibri Light"/>
          <w:color w:val="1F3762"/>
        </w:rPr>
        <w:t>Functional</w:t>
      </w:r>
      <w:r>
        <w:rPr>
          <w:rFonts w:ascii="Calibri Light"/>
          <w:color w:val="1F3762"/>
          <w:spacing w:val="-1"/>
        </w:rPr>
        <w:t> </w:t>
      </w:r>
      <w:r>
        <w:rPr>
          <w:rFonts w:ascii="Calibri Light"/>
          <w:color w:val="1F3762"/>
        </w:rPr>
        <w:t>Trait</w:t>
      </w:r>
      <w:r>
        <w:rPr>
          <w:rFonts w:ascii="Calibri Light"/>
          <w:color w:val="1F3762"/>
          <w:spacing w:val="-1"/>
        </w:rPr>
        <w:t> </w:t>
      </w:r>
      <w:r>
        <w:rPr>
          <w:rFonts w:ascii="Calibri Light"/>
          <w:color w:val="1F3762"/>
        </w:rPr>
        <w:t>Analysis</w:t>
      </w:r>
      <w:r>
        <w:rPr>
          <w:rFonts w:ascii="Calibri Light"/>
          <w:color w:val="1F3762"/>
          <w:spacing w:val="-6"/>
        </w:rPr>
        <w:t> </w:t>
      </w:r>
      <w:r>
        <w:rPr>
          <w:rFonts w:ascii="Calibri Light"/>
          <w:color w:val="1F3762"/>
        </w:rPr>
        <w:t>at</w:t>
      </w:r>
      <w:r>
        <w:rPr>
          <w:rFonts w:ascii="Calibri Light"/>
          <w:color w:val="1F3762"/>
          <w:spacing w:val="-1"/>
        </w:rPr>
        <w:t> </w:t>
      </w:r>
      <w:r>
        <w:rPr>
          <w:rFonts w:ascii="Calibri Light"/>
          <w:color w:val="1F3762"/>
        </w:rPr>
        <w:t>the</w:t>
      </w:r>
      <w:r>
        <w:rPr>
          <w:rFonts w:ascii="Calibri Light"/>
          <w:color w:val="1F3762"/>
          <w:spacing w:val="-1"/>
        </w:rPr>
        <w:t> </w:t>
      </w:r>
      <w:r>
        <w:rPr>
          <w:rFonts w:ascii="Calibri Light"/>
          <w:color w:val="1F3762"/>
        </w:rPr>
        <w:t>Community</w:t>
      </w:r>
      <w:r>
        <w:rPr>
          <w:rFonts w:ascii="Calibri Light"/>
          <w:color w:val="1F3762"/>
          <w:spacing w:val="-2"/>
        </w:rPr>
        <w:t> </w:t>
      </w:r>
      <w:r>
        <w:rPr>
          <w:rFonts w:ascii="Calibri Light"/>
          <w:color w:val="1F3762"/>
        </w:rPr>
        <w:t>Scale</w:t>
      </w:r>
      <w:r>
        <w:rPr>
          <w:rFonts w:ascii="Calibri Light"/>
          <w:color w:val="1F3762"/>
          <w:spacing w:val="-4"/>
        </w:rPr>
        <w:t> </w:t>
      </w:r>
      <w:r>
        <w:rPr>
          <w:rFonts w:ascii="Calibri Light"/>
          <w:color w:val="1F3762"/>
        </w:rPr>
        <w:t>and</w:t>
      </w:r>
      <w:r>
        <w:rPr>
          <w:rFonts w:ascii="Calibri Light"/>
          <w:color w:val="1F3762"/>
          <w:spacing w:val="-2"/>
        </w:rPr>
        <w:t> </w:t>
      </w:r>
      <w:r>
        <w:rPr>
          <w:rFonts w:ascii="Calibri Light"/>
          <w:color w:val="1F3762"/>
        </w:rPr>
        <w:t>within</w:t>
      </w:r>
      <w:r>
        <w:rPr>
          <w:rFonts w:ascii="Calibri Light"/>
          <w:color w:val="1F3762"/>
          <w:spacing w:val="-2"/>
        </w:rPr>
        <w:t> </w:t>
      </w:r>
      <w:r>
        <w:rPr>
          <w:rFonts w:ascii="Calibri Light"/>
          <w:color w:val="1F3762"/>
        </w:rPr>
        <w:t>the</w:t>
      </w:r>
      <w:r>
        <w:rPr>
          <w:rFonts w:ascii="Calibri Light"/>
          <w:color w:val="1F3762"/>
          <w:spacing w:val="-1"/>
        </w:rPr>
        <w:t> </w:t>
      </w:r>
      <w:r>
        <w:rPr>
          <w:rFonts w:ascii="Calibri Light"/>
          <w:color w:val="1F3762"/>
        </w:rPr>
        <w:t>Experimental </w:t>
      </w:r>
      <w:r>
        <w:rPr>
          <w:rFonts w:ascii="Calibri Light"/>
          <w:color w:val="1F3762"/>
          <w:spacing w:val="-2"/>
        </w:rPr>
        <w:t>Plots</w:t>
      </w:r>
    </w:p>
    <w:p>
      <w:pPr>
        <w:pStyle w:val="BodyText"/>
        <w:spacing w:line="360" w:lineRule="auto" w:before="43"/>
        <w:ind w:right="150" w:firstLine="566"/>
      </w:pPr>
      <w:r>
        <w:rPr/>
        <w:t>Only dicotyledonous trees with secondary thickness growth that survived the whole study period (i.e., only trees with dbh measurements in 2008 and 2020) were included in the analysis. A probabilistic principal component analysis (PPCA) was chosen over a standard principal component analysis (PCA) to fill in missing values as many species lacked trait values in at least one trait and could not have been included in a standard PCA.</w:t>
      </w:r>
    </w:p>
    <w:p>
      <w:pPr>
        <w:pStyle w:val="BodyText"/>
        <w:spacing w:line="360" w:lineRule="auto" w:before="2"/>
        <w:ind w:right="152" w:firstLine="566"/>
      </w:pPr>
      <w:r>
        <w:rPr/>
        <w:t>The PPCA method is derived from Porta's et al (2005) Mathlab script and Roweis (1998). It uses an expectation-maximum (EM) approach to calculate missing values under the assumption that latent variables as well as noise are normal distributed. The method is not called directly but implemented into a PCA-wrapper function as advised by the methods documentation. As this method uses randomly generated numbers the seed ”2491284” is used to yield stable results through repeated runs. The PPCA was conducted on standardized species mean trait data (the mean was subtracted and then divided by the standard deviation: Z-Score), sticking to the procedure</w:t>
      </w:r>
      <w:r>
        <w:rPr>
          <w:spacing w:val="4"/>
        </w:rPr>
        <w:t> </w:t>
      </w:r>
      <w:r>
        <w:rPr/>
        <w:t>of</w:t>
      </w:r>
      <w:r>
        <w:rPr>
          <w:spacing w:val="8"/>
        </w:rPr>
        <w:t> </w:t>
      </w:r>
      <w:r>
        <w:rPr/>
        <w:t>Báez</w:t>
      </w:r>
      <w:r>
        <w:rPr>
          <w:spacing w:val="8"/>
        </w:rPr>
        <w:t> </w:t>
      </w:r>
      <w:r>
        <w:rPr/>
        <w:t>&amp;</w:t>
      </w:r>
      <w:r>
        <w:rPr>
          <w:spacing w:val="8"/>
        </w:rPr>
        <w:t> </w:t>
      </w:r>
      <w:r>
        <w:rPr/>
        <w:t>Homeier</w:t>
      </w:r>
      <w:r>
        <w:rPr>
          <w:spacing w:val="6"/>
        </w:rPr>
        <w:t> </w:t>
      </w:r>
      <w:r>
        <w:rPr/>
        <w:t>(2018),</w:t>
      </w:r>
      <w:r>
        <w:rPr>
          <w:spacing w:val="7"/>
        </w:rPr>
        <w:t> </w:t>
      </w:r>
      <w:r>
        <w:rPr/>
        <w:t>collapsing</w:t>
      </w:r>
      <w:r>
        <w:rPr>
          <w:spacing w:val="8"/>
        </w:rPr>
        <w:t> </w:t>
      </w:r>
      <w:r>
        <w:rPr/>
        <w:t>variation</w:t>
      </w:r>
      <w:r>
        <w:rPr>
          <w:spacing w:val="7"/>
        </w:rPr>
        <w:t> </w:t>
      </w:r>
      <w:r>
        <w:rPr/>
        <w:t>among</w:t>
      </w:r>
      <w:r>
        <w:rPr>
          <w:spacing w:val="8"/>
        </w:rPr>
        <w:t> </w:t>
      </w:r>
      <w:r>
        <w:rPr/>
        <w:t>species</w:t>
      </w:r>
      <w:r>
        <w:rPr>
          <w:spacing w:val="9"/>
        </w:rPr>
        <w:t> </w:t>
      </w:r>
      <w:r>
        <w:rPr/>
        <w:t>on</w:t>
      </w:r>
      <w:r>
        <w:rPr>
          <w:spacing w:val="6"/>
        </w:rPr>
        <w:t> </w:t>
      </w:r>
      <w:r>
        <w:rPr/>
        <w:t>a</w:t>
      </w:r>
      <w:r>
        <w:rPr>
          <w:spacing w:val="8"/>
        </w:rPr>
        <w:t> </w:t>
      </w:r>
      <w:r>
        <w:rPr/>
        <w:t>maximum</w:t>
      </w:r>
      <w:r>
        <w:rPr>
          <w:spacing w:val="9"/>
        </w:rPr>
        <w:t> </w:t>
      </w:r>
      <w:r>
        <w:rPr/>
        <w:t>of</w:t>
      </w:r>
      <w:r>
        <w:rPr>
          <w:spacing w:val="7"/>
        </w:rPr>
        <w:t> </w:t>
      </w:r>
      <w:r>
        <w:rPr/>
        <w:t>5</w:t>
      </w:r>
      <w:r>
        <w:rPr>
          <w:spacing w:val="8"/>
        </w:rPr>
        <w:t> </w:t>
      </w:r>
      <w:r>
        <w:rPr>
          <w:spacing w:val="-2"/>
        </w:rPr>
        <w:t>axis.</w:t>
      </w:r>
    </w:p>
    <w:p>
      <w:pPr>
        <w:pStyle w:val="BodyText"/>
        <w:spacing w:after="0" w:line="360" w:lineRule="auto"/>
        <w:sectPr>
          <w:pgSz w:w="12240" w:h="15840"/>
          <w:pgMar w:header="0" w:footer="1012" w:top="1240" w:bottom="1200" w:left="850" w:right="850"/>
        </w:sectPr>
      </w:pPr>
    </w:p>
    <w:p>
      <w:pPr>
        <w:pStyle w:val="BodyText"/>
        <w:spacing w:line="360" w:lineRule="auto" w:before="37"/>
        <w:jc w:val="left"/>
      </w:pPr>
      <w:r>
        <w:rPr/>
        <w:t>This was done for each elevation separately (Fig. 4) to avoid unwanted cross-influence of species across elevations.</w:t>
      </w:r>
    </w:p>
    <w:p>
      <w:pPr>
        <w:pStyle w:val="BodyText"/>
        <w:spacing w:before="182"/>
        <w:ind w:left="0"/>
        <w:jc w:val="left"/>
      </w:pPr>
    </w:p>
    <w:p>
      <w:pPr>
        <w:spacing w:line="276" w:lineRule="auto" w:before="0"/>
        <w:ind w:left="5211" w:right="154" w:firstLine="0"/>
        <w:jc w:val="both"/>
        <w:rPr>
          <w:sz w:val="22"/>
        </w:rPr>
      </w:pPr>
      <w:r>
        <w:rPr>
          <w:sz w:val="22"/>
        </w:rPr>
        <w:drawing>
          <wp:anchor distT="0" distB="0" distL="0" distR="0" allowOverlap="1" layoutInCell="1" locked="0" behindDoc="0" simplePos="0" relativeHeight="15729664">
            <wp:simplePos x="0" y="0"/>
            <wp:positionH relativeFrom="page">
              <wp:posOffset>641984</wp:posOffset>
            </wp:positionH>
            <wp:positionV relativeFrom="paragraph">
              <wp:posOffset>49609</wp:posOffset>
            </wp:positionV>
            <wp:extent cx="3093719" cy="648017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093719" cy="6480174"/>
                    </a:xfrm>
                    <a:prstGeom prst="rect">
                      <a:avLst/>
                    </a:prstGeom>
                  </pic:spPr>
                </pic:pic>
              </a:graphicData>
            </a:graphic>
          </wp:anchor>
        </w:drawing>
      </w:r>
      <w:r>
        <w:rPr>
          <w:color w:val="767070"/>
          <w:sz w:val="22"/>
        </w:rPr>
        <w:t>Fig. 4: Probabilistic principal component analysis (PPCA) of (a) 118 tree species traits at the 1000m asl site at Bombuscaro, Ecuador; (b) 168 tree species</w:t>
      </w:r>
      <w:r>
        <w:rPr>
          <w:color w:val="767070"/>
          <w:spacing w:val="40"/>
          <w:sz w:val="22"/>
        </w:rPr>
        <w:t> </w:t>
      </w:r>
      <w:r>
        <w:rPr>
          <w:color w:val="767070"/>
          <w:sz w:val="22"/>
        </w:rPr>
        <w:t>traits at the 2000m asl site at the Reserva San Francisco, Ecuador; and (c) 66 tree species traits at</w:t>
      </w:r>
      <w:r>
        <w:rPr>
          <w:color w:val="767070"/>
          <w:spacing w:val="40"/>
          <w:sz w:val="22"/>
        </w:rPr>
        <w:t> </w:t>
      </w:r>
      <w:r>
        <w:rPr>
          <w:color w:val="767070"/>
          <w:sz w:val="22"/>
        </w:rPr>
        <w:t>the</w:t>
      </w:r>
      <w:r>
        <w:rPr>
          <w:color w:val="767070"/>
          <w:spacing w:val="-1"/>
          <w:sz w:val="22"/>
        </w:rPr>
        <w:t> </w:t>
      </w:r>
      <w:r>
        <w:rPr>
          <w:color w:val="767070"/>
          <w:sz w:val="22"/>
        </w:rPr>
        <w:t>3000m asl</w:t>
      </w:r>
      <w:r>
        <w:rPr>
          <w:color w:val="767070"/>
          <w:spacing w:val="-3"/>
          <w:sz w:val="22"/>
        </w:rPr>
        <w:t> </w:t>
      </w:r>
      <w:r>
        <w:rPr>
          <w:color w:val="767070"/>
          <w:sz w:val="22"/>
        </w:rPr>
        <w:t>site</w:t>
      </w:r>
      <w:r>
        <w:rPr>
          <w:color w:val="767070"/>
          <w:spacing w:val="-4"/>
          <w:sz w:val="22"/>
        </w:rPr>
        <w:t> </w:t>
      </w:r>
      <w:r>
        <w:rPr>
          <w:color w:val="767070"/>
          <w:sz w:val="22"/>
        </w:rPr>
        <w:t>at</w:t>
      </w:r>
      <w:r>
        <w:rPr>
          <w:color w:val="767070"/>
          <w:spacing w:val="-2"/>
          <w:sz w:val="22"/>
        </w:rPr>
        <w:t> </w:t>
      </w:r>
      <w:r>
        <w:rPr>
          <w:color w:val="767070"/>
          <w:sz w:val="22"/>
        </w:rPr>
        <w:t>Cajanuma, Ecuador.</w:t>
      </w:r>
      <w:r>
        <w:rPr>
          <w:color w:val="767070"/>
          <w:spacing w:val="-2"/>
          <w:sz w:val="22"/>
        </w:rPr>
        <w:t> </w:t>
      </w:r>
      <w:r>
        <w:rPr>
          <w:color w:val="767070"/>
          <w:sz w:val="22"/>
        </w:rPr>
        <w:t>Tree</w:t>
      </w:r>
      <w:r>
        <w:rPr>
          <w:color w:val="767070"/>
          <w:spacing w:val="-1"/>
          <w:sz w:val="22"/>
        </w:rPr>
        <w:t> </w:t>
      </w:r>
      <w:r>
        <w:rPr>
          <w:color w:val="767070"/>
          <w:sz w:val="22"/>
        </w:rPr>
        <w:t>species that are represented inside the NuMEx plots are visualized as blue circles. Ten functional traits were included in the PPCAs: foliar nitrogen (N) and foliar phosphor (P) concentrations, leaf area (LA), leaf toughness (LT), specific leaf area (SLA), bark thickness (BT), sapwood-specific conductivity (KS), stem vessel density (VDens), stem vessel diameter (VDia), and wood-specific gravity (WSG). Loadings of functional traits in both PC axes are given in Tab. S1</w:t>
      </w:r>
    </w:p>
    <w:p>
      <w:pPr>
        <w:pStyle w:val="BodyText"/>
        <w:ind w:left="0"/>
        <w:jc w:val="left"/>
        <w:rPr>
          <w:sz w:val="20"/>
        </w:rPr>
      </w:pPr>
    </w:p>
    <w:p>
      <w:pPr>
        <w:pStyle w:val="BodyText"/>
        <w:spacing w:before="167"/>
        <w:ind w:left="0"/>
        <w:jc w:val="left"/>
        <w:rPr>
          <w:sz w:val="20"/>
        </w:rPr>
      </w:pPr>
      <w:r>
        <w:rPr>
          <w:sz w:val="20"/>
        </w:rPr>
        <w:drawing>
          <wp:anchor distT="0" distB="0" distL="0" distR="0" allowOverlap="1" layoutInCell="1" locked="0" behindDoc="1" simplePos="0" relativeHeight="487588352">
            <wp:simplePos x="0" y="0"/>
            <wp:positionH relativeFrom="page">
              <wp:posOffset>4025785</wp:posOffset>
            </wp:positionH>
            <wp:positionV relativeFrom="paragraph">
              <wp:posOffset>276532</wp:posOffset>
            </wp:positionV>
            <wp:extent cx="2699427" cy="3086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99427" cy="3086100"/>
                    </a:xfrm>
                    <a:prstGeom prst="rect">
                      <a:avLst/>
                    </a:prstGeom>
                  </pic:spPr>
                </pic:pic>
              </a:graphicData>
            </a:graphic>
          </wp:anchor>
        </w:drawing>
      </w:r>
    </w:p>
    <w:p>
      <w:pPr>
        <w:pStyle w:val="BodyText"/>
        <w:spacing w:after="0"/>
        <w:jc w:val="left"/>
        <w:rPr>
          <w:sz w:val="20"/>
        </w:rPr>
        <w:sectPr>
          <w:pgSz w:w="12240" w:h="15840"/>
          <w:pgMar w:header="0" w:footer="1012" w:top="1220" w:bottom="1200" w:left="850" w:right="850"/>
        </w:sectPr>
      </w:pPr>
    </w:p>
    <w:p>
      <w:pPr>
        <w:pStyle w:val="BodyText"/>
        <w:spacing w:line="360" w:lineRule="auto" w:before="37"/>
        <w:ind w:right="153" w:firstLine="566"/>
      </w:pPr>
      <w:r>
        <w:rPr/>
        <w:t>All three elevations show similar trends of trait variation across the three study sites (Fig. 4). The PC1 axis summarized variation related mostly to leaf trats (SLA, N, P) whereas the PC2 axis described variation mostly to stem traits (KS, VDia, VDen). Wood density was mostly associated to PC1, but its direction of response varied among sites. Same was true for BT and to a smaller degree</w:t>
      </w:r>
      <w:r>
        <w:rPr>
          <w:spacing w:val="-2"/>
        </w:rPr>
        <w:t> </w:t>
      </w:r>
      <w:r>
        <w:rPr/>
        <w:t>LA.</w:t>
      </w:r>
      <w:r>
        <w:rPr>
          <w:spacing w:val="-2"/>
        </w:rPr>
        <w:t> </w:t>
      </w:r>
      <w:r>
        <w:rPr/>
        <w:t>For</w:t>
      </w:r>
      <w:r>
        <w:rPr>
          <w:spacing w:val="-4"/>
        </w:rPr>
        <w:t> </w:t>
      </w:r>
      <w:r>
        <w:rPr/>
        <w:t>each</w:t>
      </w:r>
      <w:r>
        <w:rPr>
          <w:spacing w:val="-2"/>
        </w:rPr>
        <w:t> </w:t>
      </w:r>
      <w:r>
        <w:rPr/>
        <w:t>elevation</w:t>
      </w:r>
      <w:r>
        <w:rPr>
          <w:spacing w:val="-1"/>
        </w:rPr>
        <w:t> </w:t>
      </w:r>
      <w:r>
        <w:rPr/>
        <w:t>these</w:t>
      </w:r>
      <w:r>
        <w:rPr>
          <w:spacing w:val="-2"/>
        </w:rPr>
        <w:t> </w:t>
      </w:r>
      <w:r>
        <w:rPr/>
        <w:t>first</w:t>
      </w:r>
      <w:r>
        <w:rPr>
          <w:spacing w:val="-1"/>
        </w:rPr>
        <w:t> </w:t>
      </w:r>
      <w:r>
        <w:rPr/>
        <w:t>2</w:t>
      </w:r>
      <w:r>
        <w:rPr>
          <w:spacing w:val="-4"/>
        </w:rPr>
        <w:t> </w:t>
      </w:r>
      <w:r>
        <w:rPr/>
        <w:t>axes of</w:t>
      </w:r>
      <w:r>
        <w:rPr>
          <w:spacing w:val="-2"/>
        </w:rPr>
        <w:t> </w:t>
      </w:r>
      <w:r>
        <w:rPr/>
        <w:t>each</w:t>
      </w:r>
      <w:r>
        <w:rPr>
          <w:spacing w:val="-3"/>
        </w:rPr>
        <w:t> </w:t>
      </w:r>
      <w:r>
        <w:rPr/>
        <w:t>PPCA</w:t>
      </w:r>
      <w:r>
        <w:rPr>
          <w:spacing w:val="-1"/>
        </w:rPr>
        <w:t> </w:t>
      </w:r>
      <w:r>
        <w:rPr/>
        <w:t>were</w:t>
      </w:r>
      <w:r>
        <w:rPr>
          <w:spacing w:val="-2"/>
        </w:rPr>
        <w:t> </w:t>
      </w:r>
      <w:r>
        <w:rPr/>
        <w:t>used</w:t>
      </w:r>
      <w:r>
        <w:rPr>
          <w:spacing w:val="-2"/>
        </w:rPr>
        <w:t> </w:t>
      </w:r>
      <w:r>
        <w:rPr/>
        <w:t>as</w:t>
      </w:r>
      <w:r>
        <w:rPr>
          <w:spacing w:val="-2"/>
        </w:rPr>
        <w:t> </w:t>
      </w:r>
      <w:r>
        <w:rPr/>
        <w:t>explanatory</w:t>
      </w:r>
      <w:r>
        <w:rPr>
          <w:spacing w:val="-1"/>
        </w:rPr>
        <w:t> </w:t>
      </w:r>
      <w:r>
        <w:rPr/>
        <w:t>variables</w:t>
      </w:r>
      <w:r>
        <w:rPr>
          <w:spacing w:val="-1"/>
        </w:rPr>
        <w:t> </w:t>
      </w:r>
      <w:r>
        <w:rPr/>
        <w:t>in the following models as they explained at least 45% of the variation in each trait analysis.</w:t>
      </w:r>
    </w:p>
    <w:p>
      <w:pPr>
        <w:pStyle w:val="BodyText"/>
        <w:spacing w:line="360" w:lineRule="auto"/>
        <w:ind w:right="152" w:firstLine="566"/>
      </w:pPr>
      <w:r>
        <w:rPr/>
        <w:t>The first two axis at the 1000m asl site captured in their sum ~ 45.71% of the trait variation among these species (Fig. 4a, Tab. S1). On the PC1 axis, which explained 29.39% of the variation, negatives scores are associated with high leaf nutrient concentrations and a high SLA, whereas positive scores are associated with high BT and LT, outlining a gradient from species with fast nutrient acquisition and growth (i.e., high nutrient concentration, high SLA) to those with slower nutrient</w:t>
      </w:r>
      <w:r>
        <w:rPr>
          <w:spacing w:val="-2"/>
        </w:rPr>
        <w:t> </w:t>
      </w:r>
      <w:r>
        <w:rPr/>
        <w:t>uptake</w:t>
      </w:r>
      <w:r>
        <w:rPr>
          <w:spacing w:val="-1"/>
        </w:rPr>
        <w:t> </w:t>
      </w:r>
      <w:r>
        <w:rPr/>
        <w:t>and</w:t>
      </w:r>
      <w:r>
        <w:rPr>
          <w:spacing w:val="-1"/>
        </w:rPr>
        <w:t> </w:t>
      </w:r>
      <w:r>
        <w:rPr/>
        <w:t>growth</w:t>
      </w:r>
      <w:r>
        <w:rPr>
          <w:spacing w:val="-2"/>
        </w:rPr>
        <w:t> </w:t>
      </w:r>
      <w:r>
        <w:rPr/>
        <w:t>(i.e.,</w:t>
      </w:r>
      <w:r>
        <w:rPr>
          <w:spacing w:val="-1"/>
        </w:rPr>
        <w:t> </w:t>
      </w:r>
      <w:r>
        <w:rPr/>
        <w:t>higher</w:t>
      </w:r>
      <w:r>
        <w:rPr>
          <w:spacing w:val="-1"/>
        </w:rPr>
        <w:t> </w:t>
      </w:r>
      <w:r>
        <w:rPr/>
        <w:t>LT)</w:t>
      </w:r>
      <w:r>
        <w:rPr>
          <w:spacing w:val="-1"/>
        </w:rPr>
        <w:t> </w:t>
      </w:r>
      <w:r>
        <w:rPr/>
        <w:t>(Reich,</w:t>
      </w:r>
      <w:r>
        <w:rPr>
          <w:spacing w:val="-1"/>
        </w:rPr>
        <w:t> </w:t>
      </w:r>
      <w:r>
        <w:rPr/>
        <w:t>2014).</w:t>
      </w:r>
      <w:r>
        <w:rPr>
          <w:spacing w:val="-1"/>
        </w:rPr>
        <w:t> </w:t>
      </w:r>
      <w:r>
        <w:rPr/>
        <w:t>On</w:t>
      </w:r>
      <w:r>
        <w:rPr>
          <w:spacing w:val="-2"/>
        </w:rPr>
        <w:t> </w:t>
      </w:r>
      <w:r>
        <w:rPr/>
        <w:t>the</w:t>
      </w:r>
      <w:r>
        <w:rPr>
          <w:spacing w:val="-1"/>
        </w:rPr>
        <w:t> </w:t>
      </w:r>
      <w:r>
        <w:rPr/>
        <w:t>PC2</w:t>
      </w:r>
      <w:r>
        <w:rPr>
          <w:spacing w:val="-3"/>
        </w:rPr>
        <w:t> </w:t>
      </w:r>
      <w:r>
        <w:rPr/>
        <w:t>axis,</w:t>
      </w:r>
      <w:r>
        <w:rPr>
          <w:spacing w:val="-1"/>
        </w:rPr>
        <w:t> </w:t>
      </w:r>
      <w:r>
        <w:rPr/>
        <w:t>which</w:t>
      </w:r>
      <w:r>
        <w:rPr>
          <w:spacing w:val="-2"/>
        </w:rPr>
        <w:t> </w:t>
      </w:r>
      <w:r>
        <w:rPr/>
        <w:t>explained</w:t>
      </w:r>
      <w:r>
        <w:rPr>
          <w:spacing w:val="-1"/>
        </w:rPr>
        <w:t> </w:t>
      </w:r>
      <w:r>
        <w:rPr/>
        <w:t>16.7% of the variation, positive scores are connected to bigger and fewer vessels (and higher KS),</w:t>
      </w:r>
      <w:r>
        <w:rPr>
          <w:spacing w:val="40"/>
        </w:rPr>
        <w:t> </w:t>
      </w:r>
      <w:r>
        <w:rPr/>
        <w:t>whereas negative scores are connected to smaller but denser vessels. This differing investment in hydraulic conductivity (i.e., high vs. low) also describes a similar gradient from more acquisitive (positive values) to more conservative (negative values) strategies (Báez &amp; Homeier, 2018; Reich, </w:t>
      </w:r>
      <w:r>
        <w:rPr>
          <w:spacing w:val="-2"/>
        </w:rPr>
        <w:t>2014).</w:t>
      </w:r>
    </w:p>
    <w:p>
      <w:pPr>
        <w:pStyle w:val="BodyText"/>
        <w:spacing w:line="360" w:lineRule="auto" w:before="2"/>
        <w:ind w:right="149" w:firstLine="566"/>
      </w:pPr>
      <w:r>
        <w:rPr/>
        <w:t>The first two axis at the 2000m asl site captured in their sum ~ 54% of the trait variation among these species (Fig. 4b, Tab. S1). Trends at this altitude are alike to the site at 1000m asl, with the plot being mirrored on the x-axis. The PC1 axis explained 38.54% of the variation highlighting the same strategy differences: species with fast nutrient acquisition and growth (i.e., negative PC1 scores) and those with slower nutrient uptake and growth (i.e., positive PC1 scores). The PC2 axis (mirrored in comparison to Fig. 4a) explaining 15.93% of the variation again</w:t>
      </w:r>
      <w:r>
        <w:rPr>
          <w:spacing w:val="40"/>
        </w:rPr>
        <w:t> </w:t>
      </w:r>
      <w:r>
        <w:rPr/>
        <w:t>describes a differing investment in hydraulic conductivity (i.e., high vs. low) therefore also a gradient</w:t>
      </w:r>
      <w:r>
        <w:rPr>
          <w:spacing w:val="-5"/>
        </w:rPr>
        <w:t> </w:t>
      </w:r>
      <w:r>
        <w:rPr/>
        <w:t>from</w:t>
      </w:r>
      <w:r>
        <w:rPr>
          <w:spacing w:val="-4"/>
        </w:rPr>
        <w:t> </w:t>
      </w:r>
      <w:r>
        <w:rPr/>
        <w:t>more</w:t>
      </w:r>
      <w:r>
        <w:rPr>
          <w:spacing w:val="-3"/>
        </w:rPr>
        <w:t> </w:t>
      </w:r>
      <w:r>
        <w:rPr/>
        <w:t>acquisitive</w:t>
      </w:r>
      <w:r>
        <w:rPr>
          <w:spacing w:val="-1"/>
        </w:rPr>
        <w:t> </w:t>
      </w:r>
      <w:r>
        <w:rPr/>
        <w:t>(negative</w:t>
      </w:r>
      <w:r>
        <w:rPr>
          <w:spacing w:val="-3"/>
        </w:rPr>
        <w:t> </w:t>
      </w:r>
      <w:r>
        <w:rPr/>
        <w:t>PC2</w:t>
      </w:r>
      <w:r>
        <w:rPr>
          <w:spacing w:val="-3"/>
        </w:rPr>
        <w:t> </w:t>
      </w:r>
      <w:r>
        <w:rPr/>
        <w:t>scores)</w:t>
      </w:r>
      <w:r>
        <w:rPr>
          <w:spacing w:val="-1"/>
        </w:rPr>
        <w:t> </w:t>
      </w:r>
      <w:r>
        <w:rPr/>
        <w:t>to</w:t>
      </w:r>
      <w:r>
        <w:rPr>
          <w:spacing w:val="-4"/>
        </w:rPr>
        <w:t> </w:t>
      </w:r>
      <w:r>
        <w:rPr/>
        <w:t>more</w:t>
      </w:r>
      <w:r>
        <w:rPr>
          <w:spacing w:val="-3"/>
        </w:rPr>
        <w:t> </w:t>
      </w:r>
      <w:r>
        <w:rPr/>
        <w:t>conservative</w:t>
      </w:r>
      <w:r>
        <w:rPr>
          <w:spacing w:val="-3"/>
        </w:rPr>
        <w:t> </w:t>
      </w:r>
      <w:r>
        <w:rPr/>
        <w:t>strategies</w:t>
      </w:r>
      <w:r>
        <w:rPr>
          <w:spacing w:val="-1"/>
        </w:rPr>
        <w:t> </w:t>
      </w:r>
      <w:r>
        <w:rPr/>
        <w:t>(positive</w:t>
      </w:r>
      <w:r>
        <w:rPr>
          <w:spacing w:val="-3"/>
        </w:rPr>
        <w:t> </w:t>
      </w:r>
      <w:r>
        <w:rPr/>
        <w:t>PC2 scores). Notable differences are that WSG is associated with negative PC1 values at this elevation, reinforcing the acquisitive-conservative strategy difference as brought forth by Reich (2014) and BT being more strongly associated with VDia on the PC2 axis than with LT on the PC1 axis. LA seems to be associated with the hydraulic investment gradient of the PC2 axis unlike in the other two PPCAs (Fig. 4a and 4c).</w:t>
      </w:r>
    </w:p>
    <w:p>
      <w:pPr>
        <w:pStyle w:val="BodyText"/>
        <w:spacing w:after="0" w:line="360" w:lineRule="auto"/>
        <w:sectPr>
          <w:pgSz w:w="12240" w:h="15840"/>
          <w:pgMar w:header="0" w:footer="1012" w:top="1220" w:bottom="1200" w:left="850" w:right="850"/>
        </w:sectPr>
      </w:pPr>
    </w:p>
    <w:p>
      <w:pPr>
        <w:pStyle w:val="BodyText"/>
        <w:spacing w:line="360" w:lineRule="auto" w:before="37"/>
        <w:ind w:right="150" w:firstLine="566"/>
      </w:pPr>
      <w:r>
        <w:rPr/>
        <w:t>The first two axis at the 3000m asl site captured in their sum ~ 50% of the trait variation among these species (Fig. 4c, Tab. S1). Trends at this altitude are again like the site at 1000m and 2000m asl. The directions of the predictors are more focused on the individual axis compared to the other elevations, with only LA and BT varying evenly on the PC1 and PC2 axis. The PC1 axis explained 31.09% of the variation highlighting a difference in species strategies with fast nutrient acquisition and growth (i.e., negative PC1 scores) and those with slower nutrient uptake and growth (i.e., positive PC2 scores) as seen in the other two elevations. Acquisitive and fast-growing species are characterised by high SLA, leaf nutrient content and to a lesser extent by high WSG whereas conservative and slow growing species show a high LT and BT. BT was in the other two elevations not a clear predictor on the PC1 axis. The PC2 axis explained 18.35% of the variation describing the same investment divergence in hydraulic conductivity (i.e., low vs. high) therefore also a gradient from conservative to acquisitive strategies with increasing PC2 scores. This gradient is emphasized, as seen in the other sites, by investment in either big vessel and high KS (high hydraulic investment) or fewer, but denser vessels (low hydraulic investment).</w:t>
      </w:r>
    </w:p>
    <w:p>
      <w:pPr>
        <w:pStyle w:val="BodyText"/>
        <w:spacing w:line="360" w:lineRule="auto"/>
        <w:ind w:right="154" w:firstLine="566"/>
      </w:pPr>
      <w:r>
        <w:rPr/>
        <w:t>For the trait pattern analysis in and across elevations a PPCA with</w:t>
      </w:r>
      <w:r>
        <w:rPr>
          <w:spacing w:val="37"/>
        </w:rPr>
        <w:t> </w:t>
      </w:r>
      <w:r>
        <w:rPr/>
        <w:t>the trait data from all</w:t>
      </w:r>
      <w:r>
        <w:rPr>
          <w:spacing w:val="40"/>
        </w:rPr>
        <w:t> </w:t>
      </w:r>
      <w:r>
        <w:rPr/>
        <w:t>sites grouped together was used to construct a trait grouping in the same way as outlined above (Fig. S7). To compare if there were significant differences in PC variation and therefore trait variation across the sites a basic one-way ANOVA with PC scores as the dependent variable and the site identity as the independent variable was used. This was done for the whole recorded community at each elevation as well as only with tree species situated inside NuMEx plots. Lastly, I tested, using a two-sample t-test and scores from the individual PPCAs for each elevation, if tree community</w:t>
      </w:r>
      <w:r>
        <w:rPr>
          <w:spacing w:val="-5"/>
        </w:rPr>
        <w:t> </w:t>
      </w:r>
      <w:r>
        <w:rPr/>
        <w:t>composition</w:t>
      </w:r>
      <w:r>
        <w:rPr>
          <w:spacing w:val="-4"/>
        </w:rPr>
        <w:t> </w:t>
      </w:r>
      <w:r>
        <w:rPr/>
        <w:t>inside</w:t>
      </w:r>
      <w:r>
        <w:rPr>
          <w:spacing w:val="-3"/>
        </w:rPr>
        <w:t> </w:t>
      </w:r>
      <w:r>
        <w:rPr/>
        <w:t>NuMEx</w:t>
      </w:r>
      <w:r>
        <w:rPr>
          <w:spacing w:val="-4"/>
        </w:rPr>
        <w:t> </w:t>
      </w:r>
      <w:r>
        <w:rPr/>
        <w:t>plots</w:t>
      </w:r>
      <w:r>
        <w:rPr>
          <w:spacing w:val="-3"/>
        </w:rPr>
        <w:t> </w:t>
      </w:r>
      <w:r>
        <w:rPr/>
        <w:t>showed</w:t>
      </w:r>
      <w:r>
        <w:rPr>
          <w:spacing w:val="-3"/>
        </w:rPr>
        <w:t> </w:t>
      </w:r>
      <w:r>
        <w:rPr/>
        <w:t>significant</w:t>
      </w:r>
      <w:r>
        <w:rPr>
          <w:spacing w:val="-2"/>
        </w:rPr>
        <w:t> </w:t>
      </w:r>
      <w:r>
        <w:rPr/>
        <w:t>differences</w:t>
      </w:r>
      <w:r>
        <w:rPr>
          <w:spacing w:val="-2"/>
        </w:rPr>
        <w:t> </w:t>
      </w:r>
      <w:r>
        <w:rPr/>
        <w:t>to</w:t>
      </w:r>
      <w:r>
        <w:rPr>
          <w:spacing w:val="-2"/>
        </w:rPr>
        <w:t> </w:t>
      </w:r>
      <w:r>
        <w:rPr/>
        <w:t>the whole</w:t>
      </w:r>
      <w:r>
        <w:rPr>
          <w:spacing w:val="-1"/>
        </w:rPr>
        <w:t> </w:t>
      </w:r>
      <w:r>
        <w:rPr/>
        <w:t>recorded community composition judged by the PC1 and PC2 values, respectively.</w:t>
      </w:r>
    </w:p>
    <w:p>
      <w:pPr>
        <w:pStyle w:val="BodyText"/>
        <w:spacing w:line="360" w:lineRule="auto"/>
        <w:ind w:right="150" w:firstLine="566"/>
      </w:pPr>
      <w:r>
        <w:rPr/>
        <w:t>The same PPCA results were then also used to construct a hypervolume to visualize the trait space of each site in relation to the PC1 and PC2 scores. Hypervolumes follow the hypothesis of Hutchinson (1957) and are defined by a set of points inside a n-dimensional (in this case two dimensional) space. The points reflect suitable values for a pre-set group of n variables with biological important (in this case trait axis PC1 and PC2) and can inter alia be used to quantify species niches (Blonder</w:t>
      </w:r>
      <w:r>
        <w:rPr>
          <w:spacing w:val="-2"/>
        </w:rPr>
        <w:t> </w:t>
      </w:r>
      <w:r>
        <w:rPr/>
        <w:t>et</w:t>
      </w:r>
      <w:r>
        <w:rPr>
          <w:spacing w:val="-2"/>
        </w:rPr>
        <w:t> </w:t>
      </w:r>
      <w:r>
        <w:rPr/>
        <w:t>al.,</w:t>
      </w:r>
      <w:r>
        <w:rPr>
          <w:spacing w:val="-1"/>
        </w:rPr>
        <w:t> </w:t>
      </w:r>
      <w:r>
        <w:rPr/>
        <w:t>2014) or</w:t>
      </w:r>
      <w:r>
        <w:rPr>
          <w:spacing w:val="-2"/>
        </w:rPr>
        <w:t> </w:t>
      </w:r>
      <w:r>
        <w:rPr/>
        <w:t>in</w:t>
      </w:r>
      <w:r>
        <w:rPr>
          <w:spacing w:val="-2"/>
        </w:rPr>
        <w:t> </w:t>
      </w:r>
      <w:r>
        <w:rPr/>
        <w:t>this</w:t>
      </w:r>
      <w:r>
        <w:rPr>
          <w:spacing w:val="-1"/>
        </w:rPr>
        <w:t> </w:t>
      </w:r>
      <w:r>
        <w:rPr/>
        <w:t>case the</w:t>
      </w:r>
      <w:r>
        <w:rPr>
          <w:spacing w:val="-1"/>
        </w:rPr>
        <w:t> </w:t>
      </w:r>
      <w:r>
        <w:rPr/>
        <w:t>2-dimensional</w:t>
      </w:r>
      <w:r>
        <w:rPr>
          <w:spacing w:val="-2"/>
        </w:rPr>
        <w:t> </w:t>
      </w:r>
      <w:r>
        <w:rPr/>
        <w:t>trait</w:t>
      </w:r>
      <w:r>
        <w:rPr>
          <w:spacing w:val="-2"/>
        </w:rPr>
        <w:t> </w:t>
      </w:r>
      <w:r>
        <w:rPr/>
        <w:t>space</w:t>
      </w:r>
      <w:r>
        <w:rPr>
          <w:spacing w:val="-2"/>
        </w:rPr>
        <w:t> </w:t>
      </w:r>
      <w:r>
        <w:rPr/>
        <w:t>of</w:t>
      </w:r>
      <w:r>
        <w:rPr>
          <w:spacing w:val="-2"/>
        </w:rPr>
        <w:t> </w:t>
      </w:r>
      <w:r>
        <w:rPr/>
        <w:t>communities of trees.</w:t>
      </w:r>
      <w:r>
        <w:rPr>
          <w:spacing w:val="79"/>
        </w:rPr>
        <w:t> </w:t>
      </w:r>
      <w:r>
        <w:rPr/>
        <w:t>I</w:t>
      </w:r>
      <w:r>
        <w:rPr>
          <w:spacing w:val="78"/>
        </w:rPr>
        <w:t> </w:t>
      </w:r>
      <w:r>
        <w:rPr/>
        <w:t>used</w:t>
      </w:r>
      <w:r>
        <w:rPr>
          <w:spacing w:val="79"/>
        </w:rPr>
        <w:t> </w:t>
      </w:r>
      <w:r>
        <w:rPr/>
        <w:t>the</w:t>
      </w:r>
      <w:r>
        <w:rPr>
          <w:spacing w:val="79"/>
        </w:rPr>
        <w:t> </w:t>
      </w:r>
      <w:r>
        <w:rPr/>
        <w:t>package</w:t>
      </w:r>
      <w:r>
        <w:rPr>
          <w:spacing w:val="80"/>
        </w:rPr>
        <w:t> </w:t>
      </w:r>
      <w:r>
        <w:rPr/>
        <w:t>“hypervolume”</w:t>
      </w:r>
      <w:r>
        <w:rPr>
          <w:spacing w:val="78"/>
        </w:rPr>
        <w:t> </w:t>
      </w:r>
      <w:r>
        <w:rPr/>
        <w:t>(Blonder</w:t>
      </w:r>
      <w:r>
        <w:rPr>
          <w:spacing w:val="78"/>
        </w:rPr>
        <w:t> </w:t>
      </w:r>
      <w:r>
        <w:rPr/>
        <w:t>&amp;</w:t>
      </w:r>
      <w:r>
        <w:rPr>
          <w:spacing w:val="80"/>
        </w:rPr>
        <w:t> </w:t>
      </w:r>
      <w:r>
        <w:rPr/>
        <w:t>Harris,</w:t>
      </w:r>
      <w:r>
        <w:rPr>
          <w:spacing w:val="79"/>
        </w:rPr>
        <w:t> </w:t>
      </w:r>
      <w:r>
        <w:rPr/>
        <w:t>2019)</w:t>
      </w:r>
      <w:r>
        <w:rPr>
          <w:spacing w:val="80"/>
        </w:rPr>
        <w:t> </w:t>
      </w:r>
      <w:r>
        <w:rPr/>
        <w:t>following</w:t>
      </w:r>
      <w:r>
        <w:rPr>
          <w:spacing w:val="79"/>
        </w:rPr>
        <w:t> </w:t>
      </w:r>
      <w:r>
        <w:rPr/>
        <w:t>example</w:t>
      </w:r>
      <w:r>
        <w:rPr>
          <w:spacing w:val="78"/>
        </w:rPr>
        <w:t> </w:t>
      </w:r>
      <w:r>
        <w:rPr/>
        <w:t>code</w:t>
      </w:r>
    </w:p>
    <w:p>
      <w:pPr>
        <w:pStyle w:val="BodyText"/>
        <w:spacing w:after="0" w:line="360" w:lineRule="auto"/>
        <w:sectPr>
          <w:pgSz w:w="12240" w:h="15840"/>
          <w:pgMar w:header="0" w:footer="1012" w:top="1220" w:bottom="1200" w:left="850" w:right="850"/>
        </w:sectPr>
      </w:pPr>
    </w:p>
    <w:p>
      <w:pPr>
        <w:pStyle w:val="BodyText"/>
        <w:spacing w:line="360" w:lineRule="auto" w:before="37"/>
        <w:ind w:right="211"/>
        <w:jc w:val="left"/>
      </w:pPr>
      <w:r>
        <w:rPr/>
        <w:t>provided in Blonder et al. (2014) to construct two hypervolumes and overlaps of the resulting set</w:t>
      </w:r>
      <w:r>
        <w:rPr>
          <w:spacing w:val="40"/>
        </w:rPr>
        <w:t> </w:t>
      </w:r>
      <w:r>
        <w:rPr/>
        <w:t>of points again for the whole community and exclusively NuMEx communities.</w:t>
      </w:r>
    </w:p>
    <w:p>
      <w:pPr>
        <w:pStyle w:val="BodyText"/>
        <w:spacing w:before="160"/>
        <w:jc w:val="left"/>
        <w:rPr>
          <w:rFonts w:ascii="Calibri Light"/>
        </w:rPr>
      </w:pPr>
      <w:bookmarkStart w:name="_bookmark14" w:id="15"/>
      <w:bookmarkEnd w:id="15"/>
      <w:r>
        <w:rPr/>
      </w:r>
      <w:r>
        <w:rPr>
          <w:rFonts w:ascii="Calibri Light"/>
          <w:color w:val="1F3762"/>
        </w:rPr>
        <w:t>Modelling</w:t>
      </w:r>
      <w:r>
        <w:rPr>
          <w:rFonts w:ascii="Calibri Light"/>
          <w:color w:val="1F3762"/>
          <w:spacing w:val="-1"/>
        </w:rPr>
        <w:t> </w:t>
      </w:r>
      <w:r>
        <w:rPr>
          <w:rFonts w:ascii="Calibri Light"/>
          <w:color w:val="1F3762"/>
        </w:rPr>
        <w:t>of</w:t>
      </w:r>
      <w:r>
        <w:rPr>
          <w:rFonts w:ascii="Calibri Light"/>
          <w:color w:val="1F3762"/>
          <w:spacing w:val="-1"/>
        </w:rPr>
        <w:t> </w:t>
      </w:r>
      <w:r>
        <w:rPr>
          <w:rFonts w:ascii="Calibri Light"/>
          <w:color w:val="1F3762"/>
        </w:rPr>
        <w:t>Tree</w:t>
      </w:r>
      <w:r>
        <w:rPr>
          <w:rFonts w:ascii="Calibri Light"/>
          <w:color w:val="1F3762"/>
          <w:spacing w:val="-1"/>
        </w:rPr>
        <w:t> </w:t>
      </w:r>
      <w:r>
        <w:rPr>
          <w:rFonts w:ascii="Calibri Light"/>
          <w:color w:val="1F3762"/>
          <w:spacing w:val="-2"/>
        </w:rPr>
        <w:t>Growth</w:t>
      </w:r>
    </w:p>
    <w:p>
      <w:pPr>
        <w:pStyle w:val="BodyText"/>
        <w:spacing w:line="360" w:lineRule="auto" w:before="44"/>
        <w:ind w:right="150" w:firstLine="566"/>
      </w:pPr>
      <w:r>
        <w:rPr/>
        <w:t>To deal with grouped data in hierarchical structures due to individual measurements inside the plot structure of the experiment, I used Linear Mixed Models (LMM). These analyses also allow for estimations of the relative importance for fixed and random effects (Bates et al., 2015). Before starting the actual linear mixed modelling, the data was explored to ensure linear modelling</w:t>
      </w:r>
      <w:r>
        <w:rPr>
          <w:spacing w:val="-2"/>
        </w:rPr>
        <w:t> </w:t>
      </w:r>
      <w:r>
        <w:rPr/>
        <w:t>can</w:t>
      </w:r>
      <w:r>
        <w:rPr>
          <w:spacing w:val="-3"/>
        </w:rPr>
        <w:t> </w:t>
      </w:r>
      <w:r>
        <w:rPr/>
        <w:t>be</w:t>
      </w:r>
      <w:r>
        <w:rPr>
          <w:spacing w:val="-2"/>
        </w:rPr>
        <w:t> </w:t>
      </w:r>
      <w:r>
        <w:rPr/>
        <w:t>applied</w:t>
      </w:r>
      <w:r>
        <w:rPr>
          <w:spacing w:val="-2"/>
        </w:rPr>
        <w:t> </w:t>
      </w:r>
      <w:r>
        <w:rPr/>
        <w:t>on</w:t>
      </w:r>
      <w:r>
        <w:rPr>
          <w:spacing w:val="-3"/>
        </w:rPr>
        <w:t> </w:t>
      </w:r>
      <w:r>
        <w:rPr/>
        <w:t>this</w:t>
      </w:r>
      <w:r>
        <w:rPr>
          <w:spacing w:val="-2"/>
        </w:rPr>
        <w:t> </w:t>
      </w:r>
      <w:r>
        <w:rPr/>
        <w:t>dataset.</w:t>
      </w:r>
      <w:r>
        <w:rPr>
          <w:spacing w:val="-2"/>
        </w:rPr>
        <w:t> </w:t>
      </w:r>
      <w:r>
        <w:rPr/>
        <w:t>I</w:t>
      </w:r>
      <w:r>
        <w:rPr>
          <w:spacing w:val="-2"/>
        </w:rPr>
        <w:t> </w:t>
      </w:r>
      <w:r>
        <w:rPr/>
        <w:t>followed</w:t>
      </w:r>
      <w:r>
        <w:rPr>
          <w:spacing w:val="-2"/>
        </w:rPr>
        <w:t> </w:t>
      </w:r>
      <w:r>
        <w:rPr/>
        <w:t>the</w:t>
      </w:r>
      <w:r>
        <w:rPr>
          <w:spacing w:val="-1"/>
        </w:rPr>
        <w:t> </w:t>
      </w:r>
      <w:r>
        <w:rPr/>
        <w:t>approach</w:t>
      </w:r>
      <w:r>
        <w:rPr>
          <w:spacing w:val="-1"/>
        </w:rPr>
        <w:t> </w:t>
      </w:r>
      <w:r>
        <w:rPr/>
        <w:t>outlined</w:t>
      </w:r>
      <w:r>
        <w:rPr>
          <w:spacing w:val="-1"/>
        </w:rPr>
        <w:t> </w:t>
      </w:r>
      <w:r>
        <w:rPr/>
        <w:t>in</w:t>
      </w:r>
      <w:r>
        <w:rPr>
          <w:spacing w:val="-3"/>
        </w:rPr>
        <w:t> </w:t>
      </w:r>
      <w:r>
        <w:rPr/>
        <w:t>Zuur</w:t>
      </w:r>
      <w:r>
        <w:rPr>
          <w:spacing w:val="-1"/>
        </w:rPr>
        <w:t> </w:t>
      </w:r>
      <w:r>
        <w:rPr/>
        <w:t>et</w:t>
      </w:r>
      <w:r>
        <w:rPr>
          <w:spacing w:val="-3"/>
        </w:rPr>
        <w:t> </w:t>
      </w:r>
      <w:r>
        <w:rPr/>
        <w:t>al.</w:t>
      </w:r>
      <w:r>
        <w:rPr>
          <w:spacing w:val="-2"/>
        </w:rPr>
        <w:t> </w:t>
      </w:r>
      <w:r>
        <w:rPr/>
        <w:t>(2009).</w:t>
      </w:r>
      <w:r>
        <w:rPr>
          <w:spacing w:val="-2"/>
        </w:rPr>
        <w:t> </w:t>
      </w:r>
      <w:r>
        <w:rPr/>
        <w:t>In detail, the criterions of normality, homogeneity, fixed explanatory variables (i.e., explanatory values are known a priori) and independence</w:t>
      </w:r>
      <w:r>
        <w:rPr>
          <w:spacing w:val="20"/>
        </w:rPr>
        <w:t> </w:t>
      </w:r>
      <w:r>
        <w:rPr/>
        <w:t>were assessed to check if a serious violation of any</w:t>
      </w:r>
      <w:r>
        <w:rPr>
          <w:spacing w:val="40"/>
        </w:rPr>
        <w:t> </w:t>
      </w:r>
      <w:r>
        <w:rPr/>
        <w:t>of these aspects complicate modelling or make the dataset unsuitable to begin with. Basal area (BA) increases of trees who showed a recorded negative BA increase were substituted by zeros. Some violation of homogeneity was detected in the residuals (most notably at the 3000m asl site). Therefore, one was added to the response variable (i.e., BA increase) to eliminate zeros from the dataset and enable the following natural logarithmic transformation at each elevation site. A negligible amount of non-normality and heterogeneity as well as a degree of “randomness” concerning certain explanatory variables (in detail tree size and PC scores) was expected and can be tolerated (Zuur et al., 2009). Following the transformation of the response variable, no site showed major violations of the above-mentioned criterions and I proceeded with the linear mixed </w:t>
      </w:r>
      <w:r>
        <w:rPr>
          <w:spacing w:val="-2"/>
        </w:rPr>
        <w:t>modelling.</w:t>
      </w:r>
    </w:p>
    <w:p>
      <w:pPr>
        <w:pStyle w:val="BodyText"/>
        <w:spacing w:line="360" w:lineRule="auto" w:before="1"/>
        <w:ind w:right="151" w:firstLine="566"/>
      </w:pPr>
      <w:r>
        <w:rPr/>
        <w:t>For the model construction the approach used by Báez &amp; Homeier (2018) was utilised. I constructed models from simple (using only fertilized nutrients as additive factors) to complex (including nutrient addition, starting tree size and a principal component all as multiplicative factors) considering additive as well as multiplicative interactions to estimate the most fitting model predicting tree size change. In the end, for each site I ran 16 models including functional trait information (i.e., PC 1 and PC 2 scores) as well as five models excluding functional trait variation. Not all interactions between fixed factors (i.e., nutrient addition and initial tree size) and the functional trait variation were tested as the increasing complexity could compromise interpretability (Báez &amp; Homeier, 2018).</w:t>
      </w:r>
    </w:p>
    <w:p>
      <w:pPr>
        <w:pStyle w:val="BodyText"/>
        <w:spacing w:after="0" w:line="360" w:lineRule="auto"/>
        <w:sectPr>
          <w:pgSz w:w="12240" w:h="15840"/>
          <w:pgMar w:header="0" w:footer="1012" w:top="1220" w:bottom="1200" w:left="850" w:right="850"/>
        </w:sectPr>
      </w:pPr>
    </w:p>
    <w:p>
      <w:pPr>
        <w:pStyle w:val="BodyText"/>
        <w:spacing w:line="360" w:lineRule="auto" w:before="37"/>
        <w:ind w:right="151" w:firstLine="566"/>
      </w:pPr>
      <w:r>
        <w:rPr/>
        <w:t>I included species identity and the block each tree is situated in as random factors to</w:t>
      </w:r>
      <w:r>
        <w:rPr>
          <w:spacing w:val="40"/>
        </w:rPr>
        <w:t> </w:t>
      </w:r>
      <w:r>
        <w:rPr/>
        <w:t>account for idiosyncratic responses and allow for possible spatial autocorrelation inherited by the design</w:t>
      </w:r>
      <w:r>
        <w:rPr>
          <w:spacing w:val="-1"/>
        </w:rPr>
        <w:t> </w:t>
      </w:r>
      <w:r>
        <w:rPr/>
        <w:t>of</w:t>
      </w:r>
      <w:r>
        <w:rPr>
          <w:spacing w:val="-1"/>
        </w:rPr>
        <w:t> </w:t>
      </w:r>
      <w:r>
        <w:rPr/>
        <w:t>the experiment, respectively. I opted for variation in intercept</w:t>
      </w:r>
      <w:r>
        <w:rPr>
          <w:spacing w:val="-1"/>
        </w:rPr>
        <w:t> </w:t>
      </w:r>
      <w:r>
        <w:rPr/>
        <w:t>across treatments (Báez &amp; Homeier, 2018). This random factor structure was selected again through the approach outlined</w:t>
      </w:r>
      <w:r>
        <w:rPr>
          <w:spacing w:val="40"/>
        </w:rPr>
        <w:t> </w:t>
      </w:r>
      <w:r>
        <w:rPr/>
        <w:t>by Zuur et al. (2009). Species needed to be represented by at least one individual in every type of treatment plot to be included with their species identity. The remaining trees included in the analysis were grouped under the species code “R” (for “rare species”). I, in accordance with Báez's &amp; Homeier's</w:t>
      </w:r>
      <w:r>
        <w:rPr>
          <w:spacing w:val="80"/>
        </w:rPr>
        <w:t> </w:t>
      </w:r>
      <w:r>
        <w:rPr/>
        <w:t>(2018) approach, chose the Akaike information criterion (AIC) to evaluate the models as it allows for quality assessment of models in relation to one another (Symonds &amp; Moussalli, 2011). The best fitting models were selected based on their ΔAIC values (ΔAIC = AIC </w:t>
      </w:r>
      <w:r>
        <w:rPr>
          <w:position w:val="2"/>
        </w:rPr>
        <w:t>model</w:t>
      </w:r>
      <w:r>
        <w:rPr>
          <w:spacing w:val="-2"/>
          <w:position w:val="2"/>
        </w:rPr>
        <w:t> </w:t>
      </w:r>
      <w:r>
        <w:rPr>
          <w:position w:val="2"/>
        </w:rPr>
        <w:t>I</w:t>
      </w:r>
      <w:r>
        <w:rPr>
          <w:spacing w:val="-2"/>
          <w:position w:val="2"/>
        </w:rPr>
        <w:t> </w:t>
      </w:r>
      <w:r>
        <w:rPr>
          <w:position w:val="2"/>
        </w:rPr>
        <w:t>–</w:t>
      </w:r>
      <w:r>
        <w:rPr>
          <w:spacing w:val="-3"/>
          <w:position w:val="2"/>
        </w:rPr>
        <w:t> </w:t>
      </w:r>
      <w:r>
        <w:rPr>
          <w:sz w:val="16"/>
        </w:rPr>
        <w:t>min</w:t>
      </w:r>
      <w:r>
        <w:rPr>
          <w:position w:val="2"/>
        </w:rPr>
        <w:t>AIC</w:t>
      </w:r>
      <w:r>
        <w:rPr>
          <w:sz w:val="16"/>
        </w:rPr>
        <w:t>c</w:t>
      </w:r>
      <w:r>
        <w:rPr>
          <w:position w:val="2"/>
        </w:rPr>
        <w:t>;</w:t>
      </w:r>
      <w:r>
        <w:rPr>
          <w:spacing w:val="-2"/>
          <w:position w:val="2"/>
        </w:rPr>
        <w:t> </w:t>
      </w:r>
      <w:r>
        <w:rPr>
          <w:position w:val="2"/>
        </w:rPr>
        <w:t>where</w:t>
      </w:r>
      <w:r>
        <w:rPr>
          <w:spacing w:val="-2"/>
          <w:position w:val="2"/>
        </w:rPr>
        <w:t> </w:t>
      </w:r>
      <w:r>
        <w:rPr>
          <w:sz w:val="16"/>
        </w:rPr>
        <w:t>min</w:t>
      </w:r>
      <w:r>
        <w:rPr>
          <w:position w:val="2"/>
        </w:rPr>
        <w:t>AIC</w:t>
      </w:r>
      <w:r>
        <w:rPr>
          <w:sz w:val="16"/>
        </w:rPr>
        <w:t>c</w:t>
      </w:r>
      <w:r>
        <w:rPr>
          <w:spacing w:val="18"/>
          <w:sz w:val="16"/>
        </w:rPr>
        <w:t> </w:t>
      </w:r>
      <w:r>
        <w:rPr>
          <w:position w:val="2"/>
        </w:rPr>
        <w:t>is</w:t>
      </w:r>
      <w:r>
        <w:rPr>
          <w:spacing w:val="-2"/>
          <w:position w:val="2"/>
        </w:rPr>
        <w:t> </w:t>
      </w:r>
      <w:r>
        <w:rPr>
          <w:position w:val="2"/>
        </w:rPr>
        <w:t>the</w:t>
      </w:r>
      <w:r>
        <w:rPr>
          <w:spacing w:val="-2"/>
          <w:position w:val="2"/>
        </w:rPr>
        <w:t> </w:t>
      </w:r>
      <w:r>
        <w:rPr>
          <w:position w:val="2"/>
        </w:rPr>
        <w:t>smallest</w:t>
      </w:r>
      <w:r>
        <w:rPr>
          <w:spacing w:val="-3"/>
          <w:position w:val="2"/>
        </w:rPr>
        <w:t> </w:t>
      </w:r>
      <w:r>
        <w:rPr>
          <w:position w:val="2"/>
        </w:rPr>
        <w:t>AIC</w:t>
      </w:r>
      <w:r>
        <w:rPr>
          <w:spacing w:val="-3"/>
          <w:position w:val="2"/>
        </w:rPr>
        <w:t> </w:t>
      </w:r>
      <w:r>
        <w:rPr>
          <w:position w:val="2"/>
        </w:rPr>
        <w:t>value</w:t>
      </w:r>
      <w:r>
        <w:rPr>
          <w:spacing w:val="-2"/>
          <w:position w:val="2"/>
        </w:rPr>
        <w:t> </w:t>
      </w:r>
      <w:r>
        <w:rPr>
          <w:position w:val="2"/>
        </w:rPr>
        <w:t>of</w:t>
      </w:r>
      <w:r>
        <w:rPr>
          <w:spacing w:val="-2"/>
          <w:position w:val="2"/>
        </w:rPr>
        <w:t> </w:t>
      </w:r>
      <w:r>
        <w:rPr>
          <w:position w:val="2"/>
        </w:rPr>
        <w:t>all</w:t>
      </w:r>
      <w:r>
        <w:rPr>
          <w:spacing w:val="-3"/>
          <w:position w:val="2"/>
        </w:rPr>
        <w:t> </w:t>
      </w:r>
      <w:r>
        <w:rPr>
          <w:position w:val="2"/>
        </w:rPr>
        <w:t>the</w:t>
      </w:r>
      <w:r>
        <w:rPr>
          <w:spacing w:val="-2"/>
          <w:position w:val="2"/>
        </w:rPr>
        <w:t> </w:t>
      </w:r>
      <w:r>
        <w:rPr>
          <w:position w:val="2"/>
        </w:rPr>
        <w:t>models).</w:t>
      </w:r>
      <w:r>
        <w:rPr>
          <w:spacing w:val="-2"/>
          <w:position w:val="2"/>
        </w:rPr>
        <w:t> </w:t>
      </w:r>
      <w:r>
        <w:rPr>
          <w:position w:val="2"/>
        </w:rPr>
        <w:t>Following</w:t>
      </w:r>
      <w:r>
        <w:rPr>
          <w:spacing w:val="-3"/>
          <w:position w:val="2"/>
        </w:rPr>
        <w:t> </w:t>
      </w:r>
      <w:r>
        <w:rPr>
          <w:position w:val="2"/>
        </w:rPr>
        <w:t>Symonds</w:t>
      </w:r>
      <w:r>
        <w:rPr>
          <w:spacing w:val="-3"/>
          <w:position w:val="2"/>
        </w:rPr>
        <w:t> </w:t>
      </w:r>
      <w:r>
        <w:rPr>
          <w:position w:val="2"/>
        </w:rPr>
        <w:t>&amp; </w:t>
      </w:r>
      <w:r>
        <w:rPr/>
        <w:t>Moussalli (2011), models with ΔAIC &lt; 6 should not be rejected. Models that showed a higher ΔAIC should be evaluated for plausible rejection arguments and if the ΔAIC is above 10 models should be rejected.</w:t>
      </w:r>
    </w:p>
    <w:p>
      <w:pPr>
        <w:pStyle w:val="BodyText"/>
        <w:spacing w:line="360" w:lineRule="auto"/>
        <w:ind w:right="152" w:firstLine="566"/>
      </w:pPr>
      <w:r>
        <w:rPr/>
        <w:t>In the end, I extracted prediction values from the most accurate model, i.e., with the lowest ΔAIC,</w:t>
      </w:r>
      <w:r>
        <w:rPr>
          <w:spacing w:val="-2"/>
        </w:rPr>
        <w:t> </w:t>
      </w:r>
      <w:r>
        <w:rPr/>
        <w:t>including</w:t>
      </w:r>
      <w:r>
        <w:rPr>
          <w:spacing w:val="-2"/>
        </w:rPr>
        <w:t> </w:t>
      </w:r>
      <w:r>
        <w:rPr/>
        <w:t>PC1</w:t>
      </w:r>
      <w:r>
        <w:rPr>
          <w:spacing w:val="-2"/>
        </w:rPr>
        <w:t> </w:t>
      </w:r>
      <w:r>
        <w:rPr/>
        <w:t>and</w:t>
      </w:r>
      <w:r>
        <w:rPr>
          <w:spacing w:val="-2"/>
        </w:rPr>
        <w:t> </w:t>
      </w:r>
      <w:r>
        <w:rPr/>
        <w:t>PC2</w:t>
      </w:r>
      <w:r>
        <w:rPr>
          <w:spacing w:val="-4"/>
        </w:rPr>
        <w:t> </w:t>
      </w:r>
      <w:r>
        <w:rPr/>
        <w:t>respectively</w:t>
      </w:r>
      <w:r>
        <w:rPr>
          <w:spacing w:val="-3"/>
        </w:rPr>
        <w:t> </w:t>
      </w:r>
      <w:r>
        <w:rPr/>
        <w:t>to</w:t>
      </w:r>
      <w:r>
        <w:rPr>
          <w:spacing w:val="-2"/>
        </w:rPr>
        <w:t> </w:t>
      </w:r>
      <w:r>
        <w:rPr/>
        <w:t>predict</w:t>
      </w:r>
      <w:r>
        <w:rPr>
          <w:spacing w:val="-2"/>
        </w:rPr>
        <w:t> </w:t>
      </w:r>
      <w:r>
        <w:rPr/>
        <w:t>individual</w:t>
      </w:r>
      <w:r>
        <w:rPr>
          <w:spacing w:val="-3"/>
        </w:rPr>
        <w:t> </w:t>
      </w:r>
      <w:r>
        <w:rPr/>
        <w:t>BA</w:t>
      </w:r>
      <w:r>
        <w:rPr>
          <w:spacing w:val="-4"/>
        </w:rPr>
        <w:t> </w:t>
      </w:r>
      <w:r>
        <w:rPr/>
        <w:t>growth</w:t>
      </w:r>
      <w:r>
        <w:rPr>
          <w:spacing w:val="-2"/>
        </w:rPr>
        <w:t> </w:t>
      </w:r>
      <w:r>
        <w:rPr/>
        <w:t>as</w:t>
      </w:r>
      <w:r>
        <w:rPr>
          <w:spacing w:val="-1"/>
        </w:rPr>
        <w:t> </w:t>
      </w:r>
      <w:r>
        <w:rPr/>
        <w:t>well</w:t>
      </w:r>
      <w:r>
        <w:rPr>
          <w:spacing w:val="-2"/>
        </w:rPr>
        <w:t> </w:t>
      </w:r>
      <w:r>
        <w:rPr/>
        <w:t>as</w:t>
      </w:r>
      <w:r>
        <w:rPr>
          <w:spacing w:val="-2"/>
        </w:rPr>
        <w:t> </w:t>
      </w:r>
      <w:r>
        <w:rPr/>
        <w:t>the</w:t>
      </w:r>
      <w:r>
        <w:rPr>
          <w:spacing w:val="-2"/>
        </w:rPr>
        <w:t> </w:t>
      </w:r>
      <w:r>
        <w:rPr/>
        <w:t>upper</w:t>
      </w:r>
      <w:r>
        <w:rPr>
          <w:spacing w:val="-3"/>
        </w:rPr>
        <w:t> </w:t>
      </w:r>
      <w:r>
        <w:rPr/>
        <w:t>and lower confidence intervals for the fixed effects. These were calculated from 1000 simulations for each model with the recorded observations as a base using the merTools package (Knowles &amp; Frederick, 2020). From the same models, the species-specific response was derived and analysed. Responses in treatment represented by only a single measurement were not evaluated, as the range of error is unknown.</w:t>
      </w:r>
    </w:p>
    <w:p>
      <w:pPr>
        <w:pStyle w:val="BodyText"/>
        <w:spacing w:line="360" w:lineRule="auto" w:before="1"/>
        <w:ind w:right="150" w:firstLine="566"/>
      </w:pPr>
      <w:r>
        <w:rPr/>
        <w:t>All statistical analyses were done in R version 4.0.3 (R Core Team, 2013) with main packages being “pcaMethods” (Stacklies et al., 2007) for doing the PPCA, “hypervolume” (Blonder &amp; Harris, 2019) to compute the trait space analysis, merTools (Knowles &amp; Frederick, 2020) to run simulations, “ggplot2” (Wickham, 2008) and ggbiplot (Vu, 2011) for plotting and “lme4” (Bates et al., 2015) for linear mixed model construction.</w:t>
      </w:r>
    </w:p>
    <w:p>
      <w:pPr>
        <w:pStyle w:val="BodyText"/>
        <w:spacing w:after="0" w:line="360" w:lineRule="auto"/>
        <w:sectPr>
          <w:pgSz w:w="12240" w:h="15840"/>
          <w:pgMar w:header="0" w:footer="1012" w:top="1220" w:bottom="1200" w:left="850" w:right="850"/>
        </w:sectPr>
      </w:pPr>
    </w:p>
    <w:p>
      <w:pPr>
        <w:pStyle w:val="Heading2"/>
      </w:pPr>
      <w:bookmarkStart w:name="_bookmark15" w:id="16"/>
      <w:bookmarkEnd w:id="16"/>
      <w:r>
        <w:rPr/>
      </w:r>
      <w:r>
        <w:rPr>
          <w:color w:val="2E5395"/>
        </w:rPr>
        <w:t>Estimation</w:t>
      </w:r>
      <w:r>
        <w:rPr>
          <w:color w:val="2E5395"/>
          <w:spacing w:val="-10"/>
        </w:rPr>
        <w:t> </w:t>
      </w:r>
      <w:r>
        <w:rPr>
          <w:color w:val="2E5395"/>
        </w:rPr>
        <w:t>of</w:t>
      </w:r>
      <w:r>
        <w:rPr>
          <w:color w:val="2E5395"/>
          <w:spacing w:val="-8"/>
        </w:rPr>
        <w:t> </w:t>
      </w:r>
      <w:r>
        <w:rPr>
          <w:color w:val="2E5395"/>
        </w:rPr>
        <w:t>Forest</w:t>
      </w:r>
      <w:r>
        <w:rPr>
          <w:color w:val="2E5395"/>
          <w:spacing w:val="-7"/>
        </w:rPr>
        <w:t> </w:t>
      </w:r>
      <w:r>
        <w:rPr>
          <w:color w:val="2E5395"/>
        </w:rPr>
        <w:t>Productivity</w:t>
      </w:r>
      <w:r>
        <w:rPr>
          <w:color w:val="2E5395"/>
          <w:spacing w:val="-7"/>
        </w:rPr>
        <w:t> </w:t>
      </w:r>
      <w:r>
        <w:rPr>
          <w:color w:val="2E5395"/>
        </w:rPr>
        <w:t>per</w:t>
      </w:r>
      <w:r>
        <w:rPr>
          <w:color w:val="2E5395"/>
          <w:spacing w:val="-5"/>
        </w:rPr>
        <w:t> </w:t>
      </w:r>
      <w:r>
        <w:rPr>
          <w:color w:val="2E5395"/>
          <w:spacing w:val="-4"/>
        </w:rPr>
        <w:t>Plot</w:t>
      </w:r>
    </w:p>
    <w:p>
      <w:pPr>
        <w:pStyle w:val="BodyText"/>
        <w:spacing w:line="360" w:lineRule="auto" w:before="48"/>
        <w:ind w:right="152" w:firstLine="566"/>
      </w:pPr>
      <w:r>
        <w:rPr/>
        <w:t>For my analysis of biomass changes, the sum of all individual BAs of recorded trees per plot was</w:t>
      </w:r>
      <w:r>
        <w:rPr>
          <w:spacing w:val="-1"/>
        </w:rPr>
        <w:t> </w:t>
      </w:r>
      <w:r>
        <w:rPr/>
        <w:t>used. This</w:t>
      </w:r>
      <w:r>
        <w:rPr>
          <w:spacing w:val="-2"/>
        </w:rPr>
        <w:t> </w:t>
      </w:r>
      <w:r>
        <w:rPr/>
        <w:t>simplified</w:t>
      </w:r>
      <w:r>
        <w:rPr>
          <w:spacing w:val="-1"/>
        </w:rPr>
        <w:t> </w:t>
      </w:r>
      <w:r>
        <w:rPr/>
        <w:t>estimation</w:t>
      </w:r>
      <w:r>
        <w:rPr>
          <w:spacing w:val="-2"/>
        </w:rPr>
        <w:t> </w:t>
      </w:r>
      <w:r>
        <w:rPr/>
        <w:t>of</w:t>
      </w:r>
      <w:r>
        <w:rPr>
          <w:spacing w:val="-2"/>
        </w:rPr>
        <w:t> </w:t>
      </w:r>
      <w:r>
        <w:rPr/>
        <w:t>productivity</w:t>
      </w:r>
      <w:r>
        <w:rPr>
          <w:spacing w:val="-3"/>
        </w:rPr>
        <w:t> </w:t>
      </w:r>
      <w:r>
        <w:rPr/>
        <w:t>was</w:t>
      </w:r>
      <w:r>
        <w:rPr>
          <w:spacing w:val="-1"/>
        </w:rPr>
        <w:t> </w:t>
      </w:r>
      <w:r>
        <w:rPr/>
        <w:t>called</w:t>
      </w:r>
      <w:r>
        <w:rPr>
          <w:spacing w:val="-1"/>
        </w:rPr>
        <w:t> </w:t>
      </w:r>
      <w:r>
        <w:rPr/>
        <w:t>on</w:t>
      </w:r>
      <w:r>
        <w:rPr>
          <w:spacing w:val="-2"/>
        </w:rPr>
        <w:t> </w:t>
      </w:r>
      <w:r>
        <w:rPr/>
        <w:t>in replacement</w:t>
      </w:r>
      <w:r>
        <w:rPr>
          <w:spacing w:val="-3"/>
        </w:rPr>
        <w:t> </w:t>
      </w:r>
      <w:r>
        <w:rPr/>
        <w:t>of above</w:t>
      </w:r>
      <w:r>
        <w:rPr>
          <w:spacing w:val="-1"/>
        </w:rPr>
        <w:t> </w:t>
      </w:r>
      <w:r>
        <w:rPr/>
        <w:t>ground biomass (AGB) as tree heights, necessary for AGB estimation, were not yet recorded for 2020. The BA for each plot was calculated for the start of the experiment (2008) as well as the last measurement in 2020 to yield the BA growth for each plot. From the last measurement, same as with the individual growth data, only trees whose dbh increase was recorded for the whole study period were included. The overall BA growth per plot over the whole study period was normed on BA growth per year to allow for comparison of not synchronically measured plots. The values for total BA and BA growth were plotted against one another using ggplot2 to compare the different treatments as well as across altitudinal levels.</w:t>
      </w:r>
    </w:p>
    <w:p>
      <w:pPr>
        <w:pStyle w:val="BodyText"/>
        <w:spacing w:after="0" w:line="360" w:lineRule="auto"/>
        <w:sectPr>
          <w:pgSz w:w="12240" w:h="15840"/>
          <w:pgMar w:header="0" w:footer="1012" w:top="1240" w:bottom="1200" w:left="850" w:right="850"/>
        </w:sectPr>
      </w:pPr>
    </w:p>
    <w:p>
      <w:pPr>
        <w:pStyle w:val="Heading1"/>
      </w:pPr>
      <w:bookmarkStart w:name="_bookmark16" w:id="17"/>
      <w:bookmarkEnd w:id="17"/>
      <w:r>
        <w:rPr/>
      </w:r>
      <w:r>
        <w:rPr>
          <w:color w:val="2E5395"/>
          <w:spacing w:val="-2"/>
        </w:rPr>
        <w:t>Results</w:t>
      </w:r>
    </w:p>
    <w:p>
      <w:pPr>
        <w:pStyle w:val="Heading2"/>
        <w:spacing w:before="99"/>
      </w:pPr>
      <w:bookmarkStart w:name="_bookmark17" w:id="18"/>
      <w:bookmarkEnd w:id="18"/>
      <w:r>
        <w:rPr/>
      </w:r>
      <w:r>
        <w:rPr>
          <w:color w:val="2E5395"/>
        </w:rPr>
        <w:t>Trait</w:t>
      </w:r>
      <w:r>
        <w:rPr>
          <w:color w:val="2E5395"/>
          <w:spacing w:val="-7"/>
        </w:rPr>
        <w:t> </w:t>
      </w:r>
      <w:r>
        <w:rPr>
          <w:color w:val="2E5395"/>
        </w:rPr>
        <w:t>Composition</w:t>
      </w:r>
      <w:r>
        <w:rPr>
          <w:color w:val="2E5395"/>
          <w:spacing w:val="-7"/>
        </w:rPr>
        <w:t> </w:t>
      </w:r>
      <w:r>
        <w:rPr>
          <w:color w:val="2E5395"/>
        </w:rPr>
        <w:t>and</w:t>
      </w:r>
      <w:r>
        <w:rPr>
          <w:color w:val="2E5395"/>
          <w:spacing w:val="-6"/>
        </w:rPr>
        <w:t> </w:t>
      </w:r>
      <w:r>
        <w:rPr>
          <w:color w:val="2E5395"/>
        </w:rPr>
        <w:t>Variation</w:t>
      </w:r>
      <w:r>
        <w:rPr>
          <w:color w:val="2E5395"/>
          <w:spacing w:val="-7"/>
        </w:rPr>
        <w:t> </w:t>
      </w:r>
      <w:r>
        <w:rPr>
          <w:color w:val="2E5395"/>
        </w:rPr>
        <w:t>along</w:t>
      </w:r>
      <w:r>
        <w:rPr>
          <w:color w:val="2E5395"/>
          <w:spacing w:val="-7"/>
        </w:rPr>
        <w:t> </w:t>
      </w:r>
      <w:r>
        <w:rPr>
          <w:color w:val="2E5395"/>
        </w:rPr>
        <w:t>and</w:t>
      </w:r>
      <w:r>
        <w:rPr>
          <w:color w:val="2E5395"/>
          <w:spacing w:val="-8"/>
        </w:rPr>
        <w:t> </w:t>
      </w:r>
      <w:r>
        <w:rPr>
          <w:color w:val="2E5395"/>
        </w:rPr>
        <w:t>inside</w:t>
      </w:r>
      <w:r>
        <w:rPr>
          <w:color w:val="2E5395"/>
          <w:spacing w:val="-9"/>
        </w:rPr>
        <w:t> </w:t>
      </w:r>
      <w:r>
        <w:rPr>
          <w:color w:val="2E5395"/>
        </w:rPr>
        <w:t>the</w:t>
      </w:r>
      <w:r>
        <w:rPr>
          <w:color w:val="2E5395"/>
          <w:spacing w:val="-6"/>
        </w:rPr>
        <w:t> </w:t>
      </w:r>
      <w:r>
        <w:rPr>
          <w:color w:val="2E5395"/>
        </w:rPr>
        <w:t>Elevation</w:t>
      </w:r>
      <w:r>
        <w:rPr>
          <w:color w:val="2E5395"/>
          <w:spacing w:val="-8"/>
        </w:rPr>
        <w:t> </w:t>
      </w:r>
      <w:r>
        <w:rPr>
          <w:color w:val="2E5395"/>
          <w:spacing w:val="-2"/>
        </w:rPr>
        <w:t>Gradient</w:t>
      </w:r>
    </w:p>
    <w:p>
      <w:pPr>
        <w:pStyle w:val="BodyText"/>
        <w:spacing w:line="360" w:lineRule="auto" w:before="48"/>
        <w:ind w:right="150" w:firstLine="720"/>
      </w:pPr>
      <w:r>
        <w:rPr/>
        <w:t>Trait variation showed mixed differences between elevations as well as at the individual sites, depending on whether the whole community or only species situated inside the NuMEx plots were incorporated. By using the first two PC axes to assess trait variation across the three </w:t>
      </w:r>
      <w:r>
        <w:rPr>
          <w:position w:val="2"/>
        </w:rPr>
        <w:t>study sites, I found no statistically significant differences among the three sites (Sites</w:t>
      </w:r>
      <w:r>
        <w:rPr>
          <w:sz w:val="16"/>
        </w:rPr>
        <w:t>PC1</w:t>
      </w:r>
      <w:r>
        <w:rPr>
          <w:position w:val="2"/>
        </w:rPr>
        <w:t>: </w:t>
      </w:r>
      <w:r>
        <w:rPr>
          <w:i/>
          <w:position w:val="2"/>
        </w:rPr>
        <w:t>F</w:t>
      </w:r>
      <w:r>
        <w:rPr>
          <w:sz w:val="16"/>
        </w:rPr>
        <w:t>2, 349</w:t>
      </w:r>
      <w:r>
        <w:rPr>
          <w:spacing w:val="37"/>
          <w:sz w:val="16"/>
        </w:rPr>
        <w:t> </w:t>
      </w:r>
      <w:r>
        <w:rPr>
          <w:position w:val="2"/>
        </w:rPr>
        <w:t>= 0.008, </w:t>
      </w:r>
      <w:r>
        <w:rPr>
          <w:i/>
          <w:position w:val="2"/>
        </w:rPr>
        <w:t>p </w:t>
      </w:r>
      <w:r>
        <w:rPr>
          <w:position w:val="2"/>
        </w:rPr>
        <w:t>= .992; Sites</w:t>
      </w:r>
      <w:r>
        <w:rPr>
          <w:sz w:val="16"/>
        </w:rPr>
        <w:t>PC2</w:t>
      </w:r>
      <w:r>
        <w:rPr>
          <w:position w:val="2"/>
        </w:rPr>
        <w:t>: </w:t>
      </w:r>
      <w:r>
        <w:rPr>
          <w:i/>
          <w:position w:val="2"/>
        </w:rPr>
        <w:t>F</w:t>
      </w:r>
      <w:r>
        <w:rPr>
          <w:sz w:val="16"/>
        </w:rPr>
        <w:t>2, 349</w:t>
      </w:r>
      <w:r>
        <w:rPr>
          <w:spacing w:val="38"/>
          <w:sz w:val="16"/>
        </w:rPr>
        <w:t> </w:t>
      </w:r>
      <w:r>
        <w:rPr>
          <w:position w:val="2"/>
        </w:rPr>
        <w:t>= 0.068, </w:t>
      </w:r>
      <w:r>
        <w:rPr>
          <w:i/>
          <w:position w:val="2"/>
        </w:rPr>
        <w:t>p </w:t>
      </w:r>
      <w:r>
        <w:rPr>
          <w:position w:val="2"/>
        </w:rPr>
        <w:t>= .934). However, PC scores varied significantly among the NuMEx plots located at the different elevations but only for the PC1 axis (Sites</w:t>
      </w:r>
      <w:r>
        <w:rPr>
          <w:sz w:val="16"/>
        </w:rPr>
        <w:t>PC1</w:t>
      </w:r>
      <w:r>
        <w:rPr>
          <w:position w:val="2"/>
        </w:rPr>
        <w:t>: </w:t>
      </w:r>
      <w:r>
        <w:rPr>
          <w:i/>
          <w:position w:val="2"/>
        </w:rPr>
        <w:t>F</w:t>
      </w:r>
      <w:r>
        <w:rPr>
          <w:sz w:val="16"/>
        </w:rPr>
        <w:t>2, 131</w:t>
      </w:r>
      <w:r>
        <w:rPr>
          <w:spacing w:val="22"/>
          <w:sz w:val="16"/>
        </w:rPr>
        <w:t> </w:t>
      </w:r>
      <w:r>
        <w:rPr>
          <w:position w:val="2"/>
        </w:rPr>
        <w:t>= 10.77, </w:t>
      </w:r>
      <w:r>
        <w:rPr>
          <w:i/>
          <w:position w:val="2"/>
        </w:rPr>
        <w:t>p </w:t>
      </w:r>
      <w:r>
        <w:rPr>
          <w:position w:val="2"/>
        </w:rPr>
        <w:t>= 4.68e-05; Sites</w:t>
      </w:r>
      <w:r>
        <w:rPr>
          <w:sz w:val="16"/>
        </w:rPr>
        <w:t>PC2</w:t>
      </w:r>
      <w:r>
        <w:rPr>
          <w:position w:val="2"/>
        </w:rPr>
        <w:t>: </w:t>
      </w:r>
      <w:r>
        <w:rPr>
          <w:i/>
          <w:position w:val="2"/>
        </w:rPr>
        <w:t>F</w:t>
      </w:r>
      <w:r>
        <w:rPr>
          <w:sz w:val="16"/>
        </w:rPr>
        <w:t>2, 131</w:t>
      </w:r>
      <w:r>
        <w:rPr>
          <w:spacing w:val="40"/>
          <w:sz w:val="16"/>
        </w:rPr>
        <w:t> </w:t>
      </w:r>
      <w:r>
        <w:rPr>
          <w:position w:val="2"/>
        </w:rPr>
        <w:t>= 0.849, </w:t>
      </w:r>
      <w:r>
        <w:rPr>
          <w:i/>
          <w:position w:val="2"/>
        </w:rPr>
        <w:t>p </w:t>
      </w:r>
      <w:r>
        <w:rPr>
          <w:position w:val="2"/>
        </w:rPr>
        <w:t>= .43). This finding is also supported by the hypervolume </w:t>
      </w:r>
      <w:r>
        <w:rPr/>
        <w:t>analysis of the first two PPCA axis. When all recorded species were considered, overlap between the sites was considerably higher: 79.98% between 1000m and 2000m asl; 73.25% between 1000m and 3000m asl; and 68.12% between 2000m and 3000m asl (Fig. 5). When only species situated in the NuMEx plots were analysed, overlap in trait space decreased to 54.40% between 1000m and 2000m asl and 50.45% between 2000m and 3000m asl, whereas it increased to 75.44% between 1000m and 3000m asl (Fig. S8).</w:t>
      </w:r>
    </w:p>
    <w:p>
      <w:pPr>
        <w:pStyle w:val="BodyText"/>
        <w:spacing w:line="360" w:lineRule="auto"/>
        <w:ind w:right="153" w:firstLine="720"/>
      </w:pPr>
      <w:r>
        <w:rPr/>
        <w:t>The NuMEx plots represented the trait spectrum of the community at each elevation well with some trait variation compared to the whole community at the 2000m asl site (65% and 87% at 1000m asl, 45% and 41% at 2000m asl, 100% and 100% at 3000m asl in PC1 and PC2, </w:t>
      </w:r>
      <w:r>
        <w:rPr>
          <w:spacing w:val="-2"/>
        </w:rPr>
        <w:t>respectively).</w:t>
      </w:r>
    </w:p>
    <w:p>
      <w:pPr>
        <w:pStyle w:val="BodyText"/>
        <w:spacing w:line="360" w:lineRule="auto" w:before="1"/>
        <w:ind w:right="151" w:firstLine="720"/>
        <w:rPr>
          <w:position w:val="2"/>
        </w:rPr>
      </w:pPr>
      <w:r>
        <w:rPr/>
        <w:t>At the 1000m asl site trees in NuMEx were neither more acquisitive nor conservative compared to the community considering PC1 and PC2 (NuMEx mean 1000-PC1 = -0,08 +/- 0.21, </w:t>
      </w:r>
      <w:r>
        <w:rPr>
          <w:position w:val="2"/>
        </w:rPr>
        <w:t>community mean 1000-PC1 = -0.01 +/- 0.24, two-sample t</w:t>
      </w:r>
      <w:r>
        <w:rPr>
          <w:sz w:val="16"/>
        </w:rPr>
        <w:t>1000-PC1</w:t>
      </w:r>
      <w:r>
        <w:rPr>
          <w:position w:val="2"/>
        </w:rPr>
        <w:t>(122.05) = 0.32343, p = .7469; </w:t>
      </w:r>
      <w:r>
        <w:rPr/>
        <w:t>NuMEx mean 1000-PC2 = -0.06 +/- 0.19, community mean 1000-PC2 = -0,003 +/- 0.18, two-sample </w:t>
      </w:r>
      <w:r>
        <w:rPr>
          <w:position w:val="2"/>
        </w:rPr>
        <w:t>t</w:t>
      </w:r>
      <w:r>
        <w:rPr>
          <w:sz w:val="16"/>
        </w:rPr>
        <w:t>1000-PC2</w:t>
      </w:r>
      <w:r>
        <w:rPr>
          <w:position w:val="2"/>
        </w:rPr>
        <w:t>(104.77) = 0.33854, p = .7356).</w:t>
      </w:r>
    </w:p>
    <w:p>
      <w:pPr>
        <w:pStyle w:val="BodyText"/>
        <w:spacing w:line="360" w:lineRule="auto"/>
        <w:ind w:right="155" w:firstLine="720"/>
        <w:rPr>
          <w:position w:val="2"/>
        </w:rPr>
      </w:pPr>
      <w:r>
        <w:rPr/>
        <w:t>At</w:t>
      </w:r>
      <w:r>
        <w:rPr>
          <w:spacing w:val="-2"/>
        </w:rPr>
        <w:t> </w:t>
      </w:r>
      <w:r>
        <w:rPr/>
        <w:t>the 2000m</w:t>
      </w:r>
      <w:r>
        <w:rPr>
          <w:spacing w:val="-1"/>
        </w:rPr>
        <w:t> </w:t>
      </w:r>
      <w:r>
        <w:rPr/>
        <w:t>elevation, the</w:t>
      </w:r>
      <w:r>
        <w:rPr>
          <w:spacing w:val="-1"/>
        </w:rPr>
        <w:t> </w:t>
      </w:r>
      <w:r>
        <w:rPr/>
        <w:t>community</w:t>
      </w:r>
      <w:r>
        <w:rPr>
          <w:spacing w:val="-3"/>
        </w:rPr>
        <w:t> </w:t>
      </w:r>
      <w:r>
        <w:rPr/>
        <w:t>inside NuMEx</w:t>
      </w:r>
      <w:r>
        <w:rPr>
          <w:spacing w:val="-2"/>
        </w:rPr>
        <w:t> </w:t>
      </w:r>
      <w:r>
        <w:rPr/>
        <w:t>was</w:t>
      </w:r>
      <w:r>
        <w:rPr>
          <w:spacing w:val="-1"/>
        </w:rPr>
        <w:t> </w:t>
      </w:r>
      <w:r>
        <w:rPr/>
        <w:t>more</w:t>
      </w:r>
      <w:r>
        <w:rPr>
          <w:spacing w:val="-1"/>
        </w:rPr>
        <w:t> </w:t>
      </w:r>
      <w:r>
        <w:rPr/>
        <w:t>conservative compared</w:t>
      </w:r>
      <w:r>
        <w:rPr>
          <w:spacing w:val="-1"/>
        </w:rPr>
        <w:t> </w:t>
      </w:r>
      <w:r>
        <w:rPr/>
        <w:t>to the community considering PC1 (NuMEx mean 2000-PC1 = -1.17 +/- 0.13, community mean 2000-</w:t>
      </w:r>
      <w:r>
        <w:rPr>
          <w:position w:val="2"/>
        </w:rPr>
        <w:t>PC1 = -0.02 +/- 0.24, two-sample t</w:t>
      </w:r>
      <w:r>
        <w:rPr>
          <w:sz w:val="16"/>
        </w:rPr>
        <w:t>2000-PC1</w:t>
      </w:r>
      <w:r>
        <w:rPr>
          <w:position w:val="2"/>
        </w:rPr>
        <w:t>(106.37) = 5.2106, p = 9.29e-07) but showed no difference</w:t>
      </w:r>
      <w:r>
        <w:rPr>
          <w:spacing w:val="40"/>
          <w:position w:val="2"/>
        </w:rPr>
        <w:t> </w:t>
      </w:r>
      <w:r>
        <w:rPr/>
        <w:t>in PC2 (NuMEx mean 2000-PC2 = 0.18 +/- 0.09, community mean 2000-PC2 = -0,02 +/- 0.15, two-</w:t>
      </w:r>
      <w:r>
        <w:rPr>
          <w:position w:val="2"/>
        </w:rPr>
        <w:t>sample t</w:t>
      </w:r>
      <w:r>
        <w:rPr>
          <w:sz w:val="16"/>
        </w:rPr>
        <w:t>2000-PC2</w:t>
      </w:r>
      <w:r>
        <w:rPr>
          <w:position w:val="2"/>
        </w:rPr>
        <w:t>(99.948) = -1.3355, p = .1847).</w:t>
      </w:r>
    </w:p>
    <w:p>
      <w:pPr>
        <w:pStyle w:val="BodyText"/>
        <w:spacing w:after="0" w:line="360" w:lineRule="auto"/>
        <w:rPr>
          <w:position w:val="2"/>
        </w:rPr>
        <w:sectPr>
          <w:pgSz w:w="12240" w:h="15840"/>
          <w:pgMar w:header="0" w:footer="1012" w:top="1240" w:bottom="1200" w:left="850" w:right="850"/>
        </w:sectPr>
      </w:pPr>
    </w:p>
    <w:p>
      <w:pPr>
        <w:pStyle w:val="BodyText"/>
        <w:spacing w:line="360" w:lineRule="auto" w:before="37"/>
        <w:ind w:right="151" w:firstLine="720"/>
        <w:rPr>
          <w:position w:val="2"/>
        </w:rPr>
      </w:pPr>
      <w:r>
        <w:rPr/>
        <w:t>At the 3000m elevation, again neither PC1 nor PC2 showed significant differences between NuMEx and the whole community (NuMEx mean 3000-PC1 = -0,51 +/- 0.26, community mean </w:t>
      </w:r>
      <w:r>
        <w:rPr>
          <w:position w:val="2"/>
        </w:rPr>
        <w:t>3000-PC1</w:t>
      </w:r>
      <w:r>
        <w:rPr>
          <w:spacing w:val="22"/>
          <w:position w:val="2"/>
        </w:rPr>
        <w:t> </w:t>
      </w:r>
      <w:r>
        <w:rPr>
          <w:position w:val="2"/>
        </w:rPr>
        <w:t>=</w:t>
      </w:r>
      <w:r>
        <w:rPr>
          <w:spacing w:val="26"/>
          <w:position w:val="2"/>
        </w:rPr>
        <w:t> </w:t>
      </w:r>
      <w:r>
        <w:rPr>
          <w:position w:val="2"/>
        </w:rPr>
        <w:t>-0.02</w:t>
      </w:r>
      <w:r>
        <w:rPr>
          <w:spacing w:val="25"/>
          <w:position w:val="2"/>
        </w:rPr>
        <w:t> </w:t>
      </w:r>
      <w:r>
        <w:rPr>
          <w:position w:val="2"/>
        </w:rPr>
        <w:t>+/-</w:t>
      </w:r>
      <w:r>
        <w:rPr>
          <w:spacing w:val="26"/>
          <w:position w:val="2"/>
        </w:rPr>
        <w:t> </w:t>
      </w:r>
      <w:r>
        <w:rPr>
          <w:position w:val="2"/>
        </w:rPr>
        <w:t>0.35,</w:t>
      </w:r>
      <w:r>
        <w:rPr>
          <w:spacing w:val="27"/>
          <w:position w:val="2"/>
        </w:rPr>
        <w:t> </w:t>
      </w:r>
      <w:r>
        <w:rPr>
          <w:position w:val="2"/>
        </w:rPr>
        <w:t>two-sample</w:t>
      </w:r>
      <w:r>
        <w:rPr>
          <w:spacing w:val="23"/>
          <w:position w:val="2"/>
        </w:rPr>
        <w:t> </w:t>
      </w:r>
      <w:r>
        <w:rPr>
          <w:position w:val="2"/>
        </w:rPr>
        <w:t>t</w:t>
      </w:r>
      <w:r>
        <w:rPr>
          <w:sz w:val="16"/>
        </w:rPr>
        <w:t>3000-PC1</w:t>
      </w:r>
      <w:r>
        <w:rPr>
          <w:position w:val="2"/>
        </w:rPr>
        <w:t>(95.779)</w:t>
      </w:r>
      <w:r>
        <w:rPr>
          <w:spacing w:val="23"/>
          <w:position w:val="2"/>
        </w:rPr>
        <w:t> </w:t>
      </w:r>
      <w:r>
        <w:rPr>
          <w:position w:val="2"/>
        </w:rPr>
        <w:t>=</w:t>
      </w:r>
      <w:r>
        <w:rPr>
          <w:spacing w:val="25"/>
          <w:position w:val="2"/>
        </w:rPr>
        <w:t> </w:t>
      </w:r>
      <w:r>
        <w:rPr>
          <w:position w:val="2"/>
        </w:rPr>
        <w:t>1.6776,</w:t>
      </w:r>
      <w:r>
        <w:rPr>
          <w:spacing w:val="27"/>
          <w:position w:val="2"/>
        </w:rPr>
        <w:t> </w:t>
      </w:r>
      <w:r>
        <w:rPr>
          <w:position w:val="2"/>
        </w:rPr>
        <w:t>p</w:t>
      </w:r>
      <w:r>
        <w:rPr>
          <w:spacing w:val="26"/>
          <w:position w:val="2"/>
        </w:rPr>
        <w:t> </w:t>
      </w:r>
      <w:r>
        <w:rPr>
          <w:position w:val="2"/>
        </w:rPr>
        <w:t>=</w:t>
      </w:r>
      <w:r>
        <w:rPr>
          <w:spacing w:val="21"/>
          <w:position w:val="2"/>
        </w:rPr>
        <w:t> </w:t>
      </w:r>
      <w:r>
        <w:rPr>
          <w:position w:val="2"/>
        </w:rPr>
        <w:t>.09669;</w:t>
      </w:r>
      <w:r>
        <w:rPr>
          <w:spacing w:val="29"/>
          <w:position w:val="2"/>
        </w:rPr>
        <w:t> </w:t>
      </w:r>
      <w:r>
        <w:rPr>
          <w:position w:val="2"/>
        </w:rPr>
        <w:t>NuMEx</w:t>
      </w:r>
      <w:r>
        <w:rPr>
          <w:spacing w:val="24"/>
          <w:position w:val="2"/>
        </w:rPr>
        <w:t> </w:t>
      </w:r>
      <w:r>
        <w:rPr>
          <w:position w:val="2"/>
        </w:rPr>
        <w:t>mean</w:t>
      </w:r>
      <w:r>
        <w:rPr>
          <w:spacing w:val="23"/>
          <w:position w:val="2"/>
        </w:rPr>
        <w:t> </w:t>
      </w:r>
      <w:r>
        <w:rPr>
          <w:spacing w:val="-2"/>
          <w:position w:val="2"/>
        </w:rPr>
        <w:t>3000-</w:t>
      </w:r>
    </w:p>
    <w:p>
      <w:pPr>
        <w:pStyle w:val="BodyText"/>
        <w:spacing w:line="360" w:lineRule="auto"/>
        <w:ind w:right="153"/>
      </w:pPr>
      <w:r>
        <w:rPr>
          <w:position w:val="2"/>
        </w:rPr>
        <w:t>PC2 = -0.08 +/- 0.31, community mean 3000-PC2 = -0.02 +/- 0.27, two-sample t</w:t>
      </w:r>
      <w:r>
        <w:rPr>
          <w:sz w:val="16"/>
        </w:rPr>
        <w:t>3000-PC2</w:t>
      </w:r>
      <w:r>
        <w:rPr>
          <w:position w:val="2"/>
        </w:rPr>
        <w:t>(68.19) = </w:t>
      </w:r>
      <w:r>
        <w:rPr/>
        <w:t>0.20035, p = .8418)</w:t>
      </w:r>
    </w:p>
    <w:p>
      <w:pPr>
        <w:pStyle w:val="BodyText"/>
        <w:spacing w:before="1"/>
        <w:ind w:left="0"/>
        <w:jc w:val="left"/>
        <w:rPr>
          <w:sz w:val="11"/>
        </w:rPr>
      </w:pPr>
      <w:r>
        <w:rPr>
          <w:sz w:val="11"/>
        </w:rPr>
        <w:drawing>
          <wp:anchor distT="0" distB="0" distL="0" distR="0" allowOverlap="1" layoutInCell="1" locked="0" behindDoc="1" simplePos="0" relativeHeight="487589376">
            <wp:simplePos x="0" y="0"/>
            <wp:positionH relativeFrom="page">
              <wp:posOffset>1727200</wp:posOffset>
            </wp:positionH>
            <wp:positionV relativeFrom="paragraph">
              <wp:posOffset>101141</wp:posOffset>
            </wp:positionV>
            <wp:extent cx="4480560" cy="460857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480560" cy="4608576"/>
                    </a:xfrm>
                    <a:prstGeom prst="rect">
                      <a:avLst/>
                    </a:prstGeom>
                  </pic:spPr>
                </pic:pic>
              </a:graphicData>
            </a:graphic>
          </wp:anchor>
        </w:drawing>
      </w:r>
    </w:p>
    <w:p>
      <w:pPr>
        <w:spacing w:line="276" w:lineRule="auto" w:before="0"/>
        <w:ind w:left="157" w:right="225" w:firstLine="0"/>
        <w:jc w:val="left"/>
        <w:rPr>
          <w:sz w:val="22"/>
        </w:rPr>
      </w:pPr>
      <w:r>
        <w:rPr>
          <w:color w:val="7E7E7E"/>
          <w:sz w:val="22"/>
        </w:rPr>
        <w:t>Fig. 5: Estimated two-dimensional hypervolumes for the three elevations inside the study area of the NuMEx project in the tropical montane forest in south Ecuador listed in the bottom left inset shown as pair plots. Variables have not been transformed as</w:t>
      </w:r>
      <w:r>
        <w:rPr>
          <w:color w:val="7E7E7E"/>
          <w:spacing w:val="-2"/>
          <w:sz w:val="22"/>
        </w:rPr>
        <w:t> </w:t>
      </w:r>
      <w:r>
        <w:rPr>
          <w:color w:val="7E7E7E"/>
          <w:sz w:val="22"/>
        </w:rPr>
        <w:t>they share the same scale. The coloured points for each elevation reflect the stochastic description of each hypervolume, i.e., random points sampled from the inferred hypervolume, rather than original observations. The inset shows all possible pairwise overlaps between</w:t>
      </w:r>
      <w:r>
        <w:rPr>
          <w:color w:val="7E7E7E"/>
          <w:spacing w:val="-2"/>
          <w:sz w:val="22"/>
        </w:rPr>
        <w:t> </w:t>
      </w:r>
      <w:r>
        <w:rPr>
          <w:color w:val="7E7E7E"/>
          <w:sz w:val="22"/>
        </w:rPr>
        <w:t>site</w:t>
      </w:r>
      <w:r>
        <w:rPr>
          <w:color w:val="7E7E7E"/>
          <w:spacing w:val="-5"/>
          <w:sz w:val="22"/>
        </w:rPr>
        <w:t> </w:t>
      </w:r>
      <w:r>
        <w:rPr>
          <w:color w:val="7E7E7E"/>
          <w:sz w:val="22"/>
        </w:rPr>
        <w:t>pairs,</w:t>
      </w:r>
      <w:r>
        <w:rPr>
          <w:color w:val="7E7E7E"/>
          <w:spacing w:val="-1"/>
          <w:sz w:val="22"/>
        </w:rPr>
        <w:t> </w:t>
      </w:r>
      <w:r>
        <w:rPr>
          <w:color w:val="7E7E7E"/>
          <w:sz w:val="22"/>
        </w:rPr>
        <w:t>i.e.,</w:t>
      </w:r>
      <w:r>
        <w:rPr>
          <w:color w:val="7E7E7E"/>
          <w:spacing w:val="-1"/>
          <w:sz w:val="22"/>
        </w:rPr>
        <w:t> </w:t>
      </w:r>
      <w:r>
        <w:rPr>
          <w:color w:val="7E7E7E"/>
          <w:sz w:val="22"/>
        </w:rPr>
        <w:t>the</w:t>
      </w:r>
      <w:r>
        <w:rPr>
          <w:color w:val="7E7E7E"/>
          <w:spacing w:val="-2"/>
          <w:sz w:val="22"/>
        </w:rPr>
        <w:t> </w:t>
      </w:r>
      <w:r>
        <w:rPr>
          <w:color w:val="7E7E7E"/>
          <w:sz w:val="22"/>
        </w:rPr>
        <w:t>overlap</w:t>
      </w:r>
      <w:r>
        <w:rPr>
          <w:color w:val="7E7E7E"/>
          <w:spacing w:val="-1"/>
          <w:sz w:val="22"/>
        </w:rPr>
        <w:t> </w:t>
      </w:r>
      <w:r>
        <w:rPr>
          <w:color w:val="7E7E7E"/>
          <w:sz w:val="22"/>
        </w:rPr>
        <w:t>between</w:t>
      </w:r>
      <w:r>
        <w:rPr>
          <w:color w:val="7E7E7E"/>
          <w:spacing w:val="-1"/>
          <w:sz w:val="22"/>
        </w:rPr>
        <w:t> </w:t>
      </w:r>
      <w:r>
        <w:rPr>
          <w:color w:val="7E7E7E"/>
          <w:sz w:val="22"/>
        </w:rPr>
        <w:t>the</w:t>
      </w:r>
      <w:r>
        <w:rPr>
          <w:color w:val="7E7E7E"/>
          <w:spacing w:val="-5"/>
          <w:sz w:val="22"/>
        </w:rPr>
        <w:t> </w:t>
      </w:r>
      <w:r>
        <w:rPr>
          <w:color w:val="7E7E7E"/>
          <w:sz w:val="22"/>
        </w:rPr>
        <w:t>trait</w:t>
      </w:r>
      <w:r>
        <w:rPr>
          <w:color w:val="7E7E7E"/>
          <w:spacing w:val="-1"/>
          <w:sz w:val="22"/>
        </w:rPr>
        <w:t> </w:t>
      </w:r>
      <w:r>
        <w:rPr>
          <w:color w:val="7E7E7E"/>
          <w:sz w:val="22"/>
        </w:rPr>
        <w:t>space (as</w:t>
      </w:r>
      <w:r>
        <w:rPr>
          <w:color w:val="7E7E7E"/>
          <w:spacing w:val="-4"/>
          <w:sz w:val="22"/>
        </w:rPr>
        <w:t> </w:t>
      </w:r>
      <w:r>
        <w:rPr>
          <w:color w:val="7E7E7E"/>
          <w:sz w:val="22"/>
        </w:rPr>
        <w:t>derived</w:t>
      </w:r>
      <w:r>
        <w:rPr>
          <w:color w:val="7E7E7E"/>
          <w:spacing w:val="-6"/>
          <w:sz w:val="22"/>
        </w:rPr>
        <w:t> </w:t>
      </w:r>
      <w:r>
        <w:rPr>
          <w:color w:val="7E7E7E"/>
          <w:sz w:val="22"/>
        </w:rPr>
        <w:t>from</w:t>
      </w:r>
      <w:r>
        <w:rPr>
          <w:color w:val="7E7E7E"/>
          <w:spacing w:val="-5"/>
          <w:sz w:val="22"/>
        </w:rPr>
        <w:t> </w:t>
      </w:r>
      <w:r>
        <w:rPr>
          <w:color w:val="7E7E7E"/>
          <w:sz w:val="22"/>
        </w:rPr>
        <w:t>the</w:t>
      </w:r>
      <w:r>
        <w:rPr>
          <w:color w:val="7E7E7E"/>
          <w:spacing w:val="-2"/>
          <w:sz w:val="22"/>
        </w:rPr>
        <w:t> </w:t>
      </w:r>
      <w:r>
        <w:rPr>
          <w:color w:val="7E7E7E"/>
          <w:sz w:val="22"/>
        </w:rPr>
        <w:t>PC</w:t>
      </w:r>
      <w:r>
        <w:rPr>
          <w:color w:val="7E7E7E"/>
          <w:spacing w:val="-2"/>
          <w:sz w:val="22"/>
        </w:rPr>
        <w:t> </w:t>
      </w:r>
      <w:r>
        <w:rPr>
          <w:color w:val="7E7E7E"/>
          <w:sz w:val="22"/>
        </w:rPr>
        <w:t>axis)</w:t>
      </w:r>
      <w:r>
        <w:rPr>
          <w:color w:val="7E7E7E"/>
          <w:spacing w:val="-2"/>
          <w:sz w:val="22"/>
        </w:rPr>
        <w:t> </w:t>
      </w:r>
      <w:r>
        <w:rPr>
          <w:color w:val="7E7E7E"/>
          <w:sz w:val="22"/>
        </w:rPr>
        <w:t>of</w:t>
      </w:r>
      <w:r>
        <w:rPr>
          <w:color w:val="7E7E7E"/>
          <w:spacing w:val="-1"/>
          <w:sz w:val="22"/>
        </w:rPr>
        <w:t> </w:t>
      </w:r>
      <w:r>
        <w:rPr>
          <w:color w:val="7E7E7E"/>
          <w:sz w:val="22"/>
        </w:rPr>
        <w:t>each</w:t>
      </w:r>
      <w:r>
        <w:rPr>
          <w:color w:val="7E7E7E"/>
          <w:spacing w:val="-3"/>
          <w:sz w:val="22"/>
        </w:rPr>
        <w:t> </w:t>
      </w:r>
      <w:r>
        <w:rPr>
          <w:color w:val="7E7E7E"/>
          <w:sz w:val="22"/>
        </w:rPr>
        <w:t>one</w:t>
      </w:r>
      <w:r>
        <w:rPr>
          <w:color w:val="7E7E7E"/>
          <w:spacing w:val="-2"/>
          <w:sz w:val="22"/>
        </w:rPr>
        <w:t> </w:t>
      </w:r>
      <w:r>
        <w:rPr>
          <w:color w:val="7E7E7E"/>
          <w:sz w:val="22"/>
        </w:rPr>
        <w:t>site</w:t>
      </w:r>
      <w:r>
        <w:rPr>
          <w:color w:val="7E7E7E"/>
          <w:spacing w:val="-2"/>
          <w:sz w:val="22"/>
        </w:rPr>
        <w:t> </w:t>
      </w:r>
      <w:r>
        <w:rPr>
          <w:color w:val="7E7E7E"/>
          <w:sz w:val="22"/>
        </w:rPr>
        <w:t>to another (calculated as 2 × shared volume/summed volume). The hypervolume consider all sampled tree species in the communities used for the PPCA.</w:t>
      </w:r>
    </w:p>
    <w:p>
      <w:pPr>
        <w:spacing w:after="0" w:line="276" w:lineRule="auto"/>
        <w:jc w:val="left"/>
        <w:rPr>
          <w:sz w:val="22"/>
        </w:rPr>
        <w:sectPr>
          <w:pgSz w:w="12240" w:h="15840"/>
          <w:pgMar w:header="0" w:footer="1012" w:top="1220" w:bottom="1200" w:left="850" w:right="850"/>
        </w:sectPr>
      </w:pPr>
    </w:p>
    <w:p>
      <w:pPr>
        <w:pStyle w:val="Heading2"/>
      </w:pPr>
      <w:bookmarkStart w:name="_bookmark18" w:id="19"/>
      <w:bookmarkEnd w:id="19"/>
      <w:r>
        <w:rPr/>
      </w:r>
      <w:r>
        <w:rPr>
          <w:color w:val="2E5395"/>
        </w:rPr>
        <w:t>Trait-based</w:t>
      </w:r>
      <w:r>
        <w:rPr>
          <w:color w:val="2E5395"/>
          <w:spacing w:val="-9"/>
        </w:rPr>
        <w:t> </w:t>
      </w:r>
      <w:r>
        <w:rPr>
          <w:color w:val="2E5395"/>
        </w:rPr>
        <w:t>Responses</w:t>
      </w:r>
      <w:r>
        <w:rPr>
          <w:color w:val="2E5395"/>
          <w:spacing w:val="-8"/>
        </w:rPr>
        <w:t> </w:t>
      </w:r>
      <w:r>
        <w:rPr>
          <w:color w:val="2E5395"/>
        </w:rPr>
        <w:t>to</w:t>
      </w:r>
      <w:r>
        <w:rPr>
          <w:color w:val="2E5395"/>
          <w:spacing w:val="-10"/>
        </w:rPr>
        <w:t> </w:t>
      </w:r>
      <w:r>
        <w:rPr>
          <w:color w:val="2E5395"/>
        </w:rPr>
        <w:t>Nutrient</w:t>
      </w:r>
      <w:r>
        <w:rPr>
          <w:color w:val="2E5395"/>
          <w:spacing w:val="-8"/>
        </w:rPr>
        <w:t> </w:t>
      </w:r>
      <w:r>
        <w:rPr>
          <w:color w:val="2E5395"/>
          <w:spacing w:val="-2"/>
        </w:rPr>
        <w:t>Addition</w:t>
      </w:r>
    </w:p>
    <w:p>
      <w:pPr>
        <w:pStyle w:val="BodyText"/>
        <w:spacing w:line="360" w:lineRule="auto" w:before="48"/>
        <w:ind w:right="152" w:firstLine="720"/>
      </w:pPr>
      <w:r>
        <w:rPr/>
        <w:t>Responses in relation to species mean traits showed mixed results across the different elevations and compared to the results of Báez &amp; Homeier (2018). The order of the best-fitting models judged by AIC varied at each elevation. The best model structures for each type (PC1 axis, PC2 axis, no PC axis) stayed constant (Tab. S2-S4). All best fitting models incorporated only additive effects of the explanatory variables (N + P + PC1 or PC2 + initBA). In addition, the overall best fitting model for each elevation, apart from the 2000m asl site, was without a PC axis (ΔAIC</w:t>
      </w:r>
      <w:r>
        <w:rPr>
          <w:spacing w:val="40"/>
        </w:rPr>
        <w:t> </w:t>
      </w:r>
      <w:r>
        <w:rPr/>
        <w:t>of 0; Tab. S2-S4), but these were omitted as the focus of this study lies in understanding tree response to nutrient addition in relation to their functional traits.</w:t>
      </w:r>
    </w:p>
    <w:p>
      <w:pPr>
        <w:pStyle w:val="BodyText"/>
        <w:spacing w:line="360" w:lineRule="auto" w:before="1"/>
        <w:ind w:right="150" w:firstLine="720"/>
      </w:pPr>
      <w:r>
        <w:rPr/>
        <w:t>At the 1000m asl site, the model including the PC1 axis was the second-best fitting model. The only significant estimator of predictors was initial BA. None of the 95% confident intervals of the remaining estimators differed from 0 (Fig. S4a). A slight increase in predicted growth was indistinguishable with P and N+P treatments in trees with acquisitive strategies (low PC1, Fig. 6a) characterised by high SLA, nutrient contents, and WSG (Fig. 4a). However, the model predictions do not lie outside the margin of error of control treatments. Individual N treatment showed no deviation from control plots. In general, acquisitive species - judged by the PC1 score – showed increased growth response compared to conservative species across all treatments.</w:t>
      </w:r>
    </w:p>
    <w:p>
      <w:pPr>
        <w:pStyle w:val="BodyText"/>
        <w:spacing w:line="360" w:lineRule="auto"/>
        <w:ind w:right="152" w:firstLine="720"/>
      </w:pPr>
      <w:r>
        <w:rPr/>
        <w:t>The third best model included the PC2 axis, showing the same estimates in the forest plots of the predictors as the PC1 model (Fig. S4b). The predicted growth of the model showed no clear increase in any nutrient addition plot when compared to control plots (Fig. 6b). N+P treatments were</w:t>
      </w:r>
      <w:r>
        <w:rPr>
          <w:spacing w:val="-1"/>
        </w:rPr>
        <w:t> </w:t>
      </w:r>
      <w:r>
        <w:rPr/>
        <w:t>only</w:t>
      </w:r>
      <w:r>
        <w:rPr>
          <w:spacing w:val="-2"/>
        </w:rPr>
        <w:t> </w:t>
      </w:r>
      <w:r>
        <w:rPr/>
        <w:t>slightly</w:t>
      </w:r>
      <w:r>
        <w:rPr>
          <w:spacing w:val="-2"/>
        </w:rPr>
        <w:t> </w:t>
      </w:r>
      <w:r>
        <w:rPr/>
        <w:t>above</w:t>
      </w:r>
      <w:r>
        <w:rPr>
          <w:spacing w:val="-1"/>
        </w:rPr>
        <w:t> </w:t>
      </w:r>
      <w:r>
        <w:rPr/>
        <w:t>all</w:t>
      </w:r>
      <w:r>
        <w:rPr>
          <w:spacing w:val="-2"/>
        </w:rPr>
        <w:t> </w:t>
      </w:r>
      <w:r>
        <w:rPr/>
        <w:t>other</w:t>
      </w:r>
      <w:r>
        <w:rPr>
          <w:spacing w:val="-2"/>
        </w:rPr>
        <w:t> </w:t>
      </w:r>
      <w:r>
        <w:rPr/>
        <w:t>treatments across</w:t>
      </w:r>
      <w:r>
        <w:rPr>
          <w:spacing w:val="-1"/>
        </w:rPr>
        <w:t> </w:t>
      </w:r>
      <w:r>
        <w:rPr/>
        <w:t>the</w:t>
      </w:r>
      <w:r>
        <w:rPr>
          <w:spacing w:val="-1"/>
        </w:rPr>
        <w:t> </w:t>
      </w:r>
      <w:r>
        <w:rPr/>
        <w:t>hydraulic conductivity</w:t>
      </w:r>
      <w:r>
        <w:rPr>
          <w:spacing w:val="-1"/>
        </w:rPr>
        <w:t> </w:t>
      </w:r>
      <w:r>
        <w:rPr/>
        <w:t>gradient</w:t>
      </w:r>
      <w:r>
        <w:rPr>
          <w:spacing w:val="-3"/>
        </w:rPr>
        <w:t> </w:t>
      </w:r>
      <w:r>
        <w:rPr/>
        <w:t>of</w:t>
      </w:r>
      <w:r>
        <w:rPr>
          <w:spacing w:val="-2"/>
        </w:rPr>
        <w:t> </w:t>
      </w:r>
      <w:r>
        <w:rPr/>
        <w:t>the</w:t>
      </w:r>
      <w:r>
        <w:rPr>
          <w:spacing w:val="-1"/>
        </w:rPr>
        <w:t> </w:t>
      </w:r>
      <w:r>
        <w:rPr/>
        <w:t>PC2 axis concerning predicted growth. Species with high VDia, labelled as acquisitive, exhibited slightly more growth than conservative species with smaller vessels.</w:t>
      </w:r>
    </w:p>
    <w:p>
      <w:pPr>
        <w:pStyle w:val="BodyText"/>
        <w:spacing w:line="360" w:lineRule="auto"/>
        <w:ind w:right="151" w:firstLine="720"/>
      </w:pPr>
      <w:r>
        <w:rPr/>
        <w:t>Both models yielded equivalent results when plotted as a function of initial BA (Fig. S1). P and N+P treatments showed highest growth response compared to control plots whereas growth in individual N treatments did not differ from control plots. Again, no model predictions lie distinctly outside the margin of error compared to the control plots.</w:t>
      </w:r>
    </w:p>
    <w:p>
      <w:pPr>
        <w:pStyle w:val="BodyText"/>
        <w:spacing w:after="0" w:line="360" w:lineRule="auto"/>
        <w:sectPr>
          <w:pgSz w:w="12240" w:h="15840"/>
          <w:pgMar w:header="0" w:footer="1012" w:top="1240" w:bottom="1200" w:left="850" w:right="850"/>
        </w:sectPr>
      </w:pPr>
    </w:p>
    <w:p>
      <w:pPr>
        <w:spacing w:line="240" w:lineRule="auto"/>
        <w:ind w:left="916" w:right="0" w:firstLine="0"/>
        <w:rPr>
          <w:sz w:val="20"/>
        </w:rPr>
      </w:pPr>
      <w:r>
        <w:rPr>
          <w:sz w:val="20"/>
        </w:rPr>
        <w:drawing>
          <wp:inline distT="0" distB="0" distL="0" distR="0">
            <wp:extent cx="5580697" cy="264633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580697" cy="2646330"/>
                    </a:xfrm>
                    <a:prstGeom prst="rect">
                      <a:avLst/>
                    </a:prstGeom>
                  </pic:spPr>
                </pic:pic>
              </a:graphicData>
            </a:graphic>
          </wp:inline>
        </w:drawing>
      </w:r>
      <w:r>
        <w:rPr>
          <w:sz w:val="20"/>
        </w:rPr>
      </w:r>
    </w:p>
    <w:p>
      <w:pPr>
        <w:pStyle w:val="BodyText"/>
        <w:spacing w:before="84"/>
        <w:ind w:left="0"/>
        <w:jc w:val="left"/>
        <w:rPr>
          <w:sz w:val="22"/>
        </w:rPr>
      </w:pPr>
    </w:p>
    <w:p>
      <w:pPr>
        <w:spacing w:line="259" w:lineRule="auto" w:before="0"/>
        <w:ind w:left="157" w:right="151" w:firstLine="0"/>
        <w:jc w:val="both"/>
        <w:rPr>
          <w:sz w:val="22"/>
        </w:rPr>
      </w:pPr>
      <w:r>
        <w:rPr>
          <w:color w:val="7E7E7E"/>
          <w:sz w:val="22"/>
        </w:rPr>
        <w:t>Fig. 6: Predicted tree growth and SE at the 1000m asl site with confidence interval as a function of functional traits. Predictions values were extracted from the two best models for the 1000m asl site that consider growth over at least 12 years as a function of the additive effects of nutrients added (N, P), as well as the additive effects of tree functional traits (PC 1 or PC 2) and the additive effect of initial tree size. (a) Model using PC 1. (b) Model using PC 2. PC 1 describes a gradient of acquisitive functional traits (high leaf nutrient content, high specific leaf area) to conservative traits (leaf toughness). PC 2 describes a gradient from conservative to acquisitive functional traits (low to high vessel diameter and high to low vessel density, respectively)</w:t>
      </w:r>
    </w:p>
    <w:p>
      <w:pPr>
        <w:pStyle w:val="BodyText"/>
        <w:spacing w:before="181"/>
        <w:ind w:left="0"/>
        <w:jc w:val="left"/>
        <w:rPr>
          <w:sz w:val="22"/>
        </w:rPr>
      </w:pPr>
    </w:p>
    <w:p>
      <w:pPr>
        <w:pStyle w:val="BodyText"/>
        <w:spacing w:line="360" w:lineRule="auto" w:before="1"/>
        <w:ind w:right="151" w:firstLine="720"/>
      </w:pPr>
      <w:r>
        <w:rPr/>
        <w:t>At the 2000m site, the best fitting model including the PC1 axis was the second-best model judged by the AIC. In this model, estimates of the predictors N treatment as well as BA were highly significant but only N treatment did differ positively from 0 (Fig. S5a). N+P treatment showed overall higher growths (Fig. 7a), especially in species with nutrient conservative strategies (high PC1 scores) that were identified in the matching PPCA (Fig. 4b) to have high leaf nutrient concentrations and SLA. Individual N addition had the second biggest growth impact in acquisitive species but no clear impact on growth in conservative species (low PC1) characterised by</w:t>
      </w:r>
      <w:r>
        <w:rPr>
          <w:spacing w:val="-1"/>
        </w:rPr>
        <w:t> </w:t>
      </w:r>
      <w:r>
        <w:rPr/>
        <w:t>tough</w:t>
      </w:r>
      <w:r>
        <w:rPr>
          <w:spacing w:val="-1"/>
        </w:rPr>
        <w:t> </w:t>
      </w:r>
      <w:r>
        <w:rPr/>
        <w:t>leaves and high</w:t>
      </w:r>
      <w:r>
        <w:rPr>
          <w:spacing w:val="-1"/>
        </w:rPr>
        <w:t> </w:t>
      </w:r>
      <w:r>
        <w:rPr/>
        <w:t>WSG</w:t>
      </w:r>
      <w:r>
        <w:rPr>
          <w:spacing w:val="-1"/>
        </w:rPr>
        <w:t> </w:t>
      </w:r>
      <w:r>
        <w:rPr/>
        <w:t>compared</w:t>
      </w:r>
      <w:r>
        <w:rPr>
          <w:spacing w:val="-1"/>
        </w:rPr>
        <w:t> </w:t>
      </w:r>
      <w:r>
        <w:rPr/>
        <w:t>to</w:t>
      </w:r>
      <w:r>
        <w:rPr>
          <w:spacing w:val="-1"/>
        </w:rPr>
        <w:t> </w:t>
      </w:r>
      <w:r>
        <w:rPr/>
        <w:t>control</w:t>
      </w:r>
      <w:r>
        <w:rPr>
          <w:spacing w:val="-1"/>
        </w:rPr>
        <w:t> </w:t>
      </w:r>
      <w:r>
        <w:rPr/>
        <w:t>plots.</w:t>
      </w:r>
      <w:r>
        <w:rPr>
          <w:spacing w:val="-1"/>
        </w:rPr>
        <w:t> </w:t>
      </w:r>
      <w:r>
        <w:rPr/>
        <w:t>P</w:t>
      </w:r>
      <w:r>
        <w:rPr>
          <w:spacing w:val="-1"/>
        </w:rPr>
        <w:t> </w:t>
      </w:r>
      <w:r>
        <w:rPr/>
        <w:t>treatments</w:t>
      </w:r>
      <w:r>
        <w:rPr>
          <w:spacing w:val="-1"/>
        </w:rPr>
        <w:t> </w:t>
      </w:r>
      <w:r>
        <w:rPr/>
        <w:t>on</w:t>
      </w:r>
      <w:r>
        <w:rPr>
          <w:spacing w:val="-1"/>
        </w:rPr>
        <w:t> </w:t>
      </w:r>
      <w:r>
        <w:rPr/>
        <w:t>the</w:t>
      </w:r>
      <w:r>
        <w:rPr>
          <w:spacing w:val="-1"/>
        </w:rPr>
        <w:t> </w:t>
      </w:r>
      <w:r>
        <w:rPr/>
        <w:t>other</w:t>
      </w:r>
      <w:r>
        <w:rPr>
          <w:spacing w:val="-1"/>
        </w:rPr>
        <w:t> </w:t>
      </w:r>
      <w:r>
        <w:rPr/>
        <w:t>hand</w:t>
      </w:r>
      <w:r>
        <w:rPr>
          <w:spacing w:val="-1"/>
        </w:rPr>
        <w:t> </w:t>
      </w:r>
      <w:r>
        <w:rPr/>
        <w:t>showed similar growth responses across the fast-slow resource acquisition gradient parallel to control </w:t>
      </w:r>
      <w:r>
        <w:rPr>
          <w:spacing w:val="-2"/>
        </w:rPr>
        <w:t>plots.</w:t>
      </w:r>
    </w:p>
    <w:p>
      <w:pPr>
        <w:pStyle w:val="BodyText"/>
        <w:spacing w:after="0" w:line="360" w:lineRule="auto"/>
        <w:sectPr>
          <w:pgSz w:w="12240" w:h="15840"/>
          <w:pgMar w:header="0" w:footer="1012" w:top="1820" w:bottom="1200" w:left="850" w:right="850"/>
        </w:sectPr>
      </w:pPr>
    </w:p>
    <w:p>
      <w:pPr>
        <w:pStyle w:val="BodyText"/>
        <w:spacing w:line="360" w:lineRule="auto" w:before="37"/>
        <w:ind w:right="152" w:firstLine="720"/>
      </w:pPr>
      <w:r>
        <w:rPr/>
        <w:t>The incorporation of the PC2 axis yielded the best fitting model at this elevation and growth response was highest in acquisitive species (i.e., high PC2 scores) characterised by small but dense vessels (Fig. 7b). Estimates were increasingly significant in rising order for the trait axis (i.e., PC2</w:t>
      </w:r>
      <w:r>
        <w:rPr>
          <w:spacing w:val="-3"/>
        </w:rPr>
        <w:t> </w:t>
      </w:r>
      <w:r>
        <w:rPr/>
        <w:t>scores), N-treatment,</w:t>
      </w:r>
      <w:r>
        <w:rPr>
          <w:spacing w:val="-1"/>
        </w:rPr>
        <w:t> </w:t>
      </w:r>
      <w:r>
        <w:rPr/>
        <w:t>and</w:t>
      </w:r>
      <w:r>
        <w:rPr>
          <w:spacing w:val="-1"/>
        </w:rPr>
        <w:t> </w:t>
      </w:r>
      <w:r>
        <w:rPr/>
        <w:t>initial</w:t>
      </w:r>
      <w:r>
        <w:rPr>
          <w:spacing w:val="-2"/>
        </w:rPr>
        <w:t> </w:t>
      </w:r>
      <w:r>
        <w:rPr/>
        <w:t>BA.</w:t>
      </w:r>
      <w:r>
        <w:rPr>
          <w:spacing w:val="-1"/>
        </w:rPr>
        <w:t> </w:t>
      </w:r>
      <w:r>
        <w:rPr/>
        <w:t>All estimates were</w:t>
      </w:r>
      <w:r>
        <w:rPr>
          <w:spacing w:val="-1"/>
        </w:rPr>
        <w:t> </w:t>
      </w:r>
      <w:r>
        <w:rPr/>
        <w:t>different</w:t>
      </w:r>
      <w:r>
        <w:rPr>
          <w:spacing w:val="-2"/>
        </w:rPr>
        <w:t> </w:t>
      </w:r>
      <w:r>
        <w:rPr/>
        <w:t>from</w:t>
      </w:r>
      <w:r>
        <w:rPr>
          <w:spacing w:val="-1"/>
        </w:rPr>
        <w:t> </w:t>
      </w:r>
      <w:r>
        <w:rPr/>
        <w:t>0 expect</w:t>
      </w:r>
      <w:r>
        <w:rPr>
          <w:spacing w:val="-2"/>
        </w:rPr>
        <w:t> </w:t>
      </w:r>
      <w:r>
        <w:rPr/>
        <w:t>initial</w:t>
      </w:r>
      <w:r>
        <w:rPr>
          <w:spacing w:val="-2"/>
        </w:rPr>
        <w:t> </w:t>
      </w:r>
      <w:r>
        <w:rPr/>
        <w:t>BA (treatments were positive, whereas trait values were negative) (Fig. S5b). N+P treatments showed the highest growth response overall, followed by individual N, then P treatments, and lastly the control treatments. The pronounced differences in growth between the treatments at low PC2 scores decrease with increasing PC2 score and were on similar levels as control plots at the</w:t>
      </w:r>
      <w:r>
        <w:rPr>
          <w:spacing w:val="80"/>
        </w:rPr>
        <w:t> </w:t>
      </w:r>
      <w:r>
        <w:rPr/>
        <w:t>highest PC2 scores across treatments.</w:t>
      </w:r>
    </w:p>
    <w:p>
      <w:pPr>
        <w:pStyle w:val="BodyText"/>
        <w:spacing w:line="360" w:lineRule="auto" w:before="1"/>
        <w:ind w:right="157" w:firstLine="720"/>
      </w:pPr>
      <w:r>
        <w:rPr/>
        <w:t>With predicted growth as a function of initial BA, both models showed matching trends (Fig. S2). Here, N+P treatments again had the highest growth response, with individual N and P treatments being similar. Nevertheless, all treatments show effects compared to control plots apart from individual level P treatment (Fig. S2a).</w:t>
      </w:r>
    </w:p>
    <w:p>
      <w:pPr>
        <w:pStyle w:val="BodyText"/>
        <w:spacing w:before="10"/>
        <w:ind w:left="0"/>
        <w:jc w:val="left"/>
        <w:rPr>
          <w:sz w:val="11"/>
        </w:rPr>
      </w:pPr>
      <w:r>
        <w:rPr>
          <w:sz w:val="11"/>
        </w:rPr>
        <w:drawing>
          <wp:anchor distT="0" distB="0" distL="0" distR="0" allowOverlap="1" layoutInCell="1" locked="0" behindDoc="1" simplePos="0" relativeHeight="487589888">
            <wp:simplePos x="0" y="0"/>
            <wp:positionH relativeFrom="page">
              <wp:posOffset>1102465</wp:posOffset>
            </wp:positionH>
            <wp:positionV relativeFrom="paragraph">
              <wp:posOffset>107424</wp:posOffset>
            </wp:positionV>
            <wp:extent cx="5580697" cy="264633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580697" cy="2646330"/>
                    </a:xfrm>
                    <a:prstGeom prst="rect">
                      <a:avLst/>
                    </a:prstGeom>
                  </pic:spPr>
                </pic:pic>
              </a:graphicData>
            </a:graphic>
          </wp:anchor>
        </w:drawing>
      </w:r>
    </w:p>
    <w:p>
      <w:pPr>
        <w:spacing w:line="259" w:lineRule="auto" w:before="220"/>
        <w:ind w:left="157" w:right="150" w:firstLine="0"/>
        <w:jc w:val="both"/>
        <w:rPr>
          <w:sz w:val="22"/>
        </w:rPr>
      </w:pPr>
      <w:r>
        <w:rPr>
          <w:color w:val="7E7E7E"/>
          <w:sz w:val="22"/>
        </w:rPr>
        <w:t>Fig. 7: Predicted tree growth and SE at the 2000m asl site with confidence interval as a function of functional traits. Predictions values were extracted from the two best models for the 2000m asl site that consider growth over at least 12 years as a function of the additive effects of nutrients added (N, P), as well as the additive effects of tree functional traits (PC 1 or PC 2) and the additive effect of initial tree size. (a) Model using PC 1. (b) Model using PC 2. PC 1 describes a gradient of acquisitive functional traits (high leaf nutrient content, high specific leaf area) to conservative traits (wood density and leaf toughness). PC 2 describes</w:t>
      </w:r>
      <w:r>
        <w:rPr>
          <w:color w:val="7E7E7E"/>
          <w:spacing w:val="-3"/>
          <w:sz w:val="22"/>
        </w:rPr>
        <w:t> </w:t>
      </w:r>
      <w:r>
        <w:rPr>
          <w:color w:val="7E7E7E"/>
          <w:sz w:val="22"/>
        </w:rPr>
        <w:t>a</w:t>
      </w:r>
      <w:r>
        <w:rPr>
          <w:color w:val="7E7E7E"/>
          <w:spacing w:val="-3"/>
          <w:sz w:val="22"/>
        </w:rPr>
        <w:t> </w:t>
      </w:r>
      <w:r>
        <w:rPr>
          <w:color w:val="7E7E7E"/>
          <w:sz w:val="22"/>
        </w:rPr>
        <w:t>gradient</w:t>
      </w:r>
      <w:r>
        <w:rPr>
          <w:color w:val="7E7E7E"/>
          <w:spacing w:val="-1"/>
          <w:sz w:val="22"/>
        </w:rPr>
        <w:t> </w:t>
      </w:r>
      <w:r>
        <w:rPr>
          <w:color w:val="7E7E7E"/>
          <w:sz w:val="22"/>
        </w:rPr>
        <w:t>from</w:t>
      </w:r>
      <w:r>
        <w:rPr>
          <w:color w:val="7E7E7E"/>
          <w:spacing w:val="-3"/>
          <w:sz w:val="22"/>
        </w:rPr>
        <w:t> </w:t>
      </w:r>
      <w:r>
        <w:rPr>
          <w:color w:val="7E7E7E"/>
          <w:sz w:val="24"/>
        </w:rPr>
        <w:t>acquisitive</w:t>
      </w:r>
      <w:r>
        <w:rPr>
          <w:color w:val="7E7E7E"/>
          <w:spacing w:val="-2"/>
          <w:sz w:val="24"/>
        </w:rPr>
        <w:t> </w:t>
      </w:r>
      <w:r>
        <w:rPr>
          <w:color w:val="7E7E7E"/>
          <w:sz w:val="22"/>
        </w:rPr>
        <w:t>to</w:t>
      </w:r>
      <w:r>
        <w:rPr>
          <w:color w:val="7E7E7E"/>
          <w:spacing w:val="-2"/>
          <w:sz w:val="22"/>
        </w:rPr>
        <w:t> </w:t>
      </w:r>
      <w:r>
        <w:rPr>
          <w:color w:val="7E7E7E"/>
          <w:sz w:val="22"/>
        </w:rPr>
        <w:t>conservative</w:t>
      </w:r>
      <w:r>
        <w:rPr>
          <w:color w:val="7E7E7E"/>
          <w:spacing w:val="-2"/>
          <w:sz w:val="22"/>
        </w:rPr>
        <w:t> </w:t>
      </w:r>
      <w:r>
        <w:rPr>
          <w:color w:val="7E7E7E"/>
          <w:sz w:val="22"/>
        </w:rPr>
        <w:t>functional</w:t>
      </w:r>
      <w:r>
        <w:rPr>
          <w:color w:val="7E7E7E"/>
          <w:spacing w:val="-2"/>
          <w:sz w:val="22"/>
        </w:rPr>
        <w:t> </w:t>
      </w:r>
      <w:r>
        <w:rPr>
          <w:color w:val="7E7E7E"/>
          <w:sz w:val="22"/>
        </w:rPr>
        <w:t>traits</w:t>
      </w:r>
      <w:r>
        <w:rPr>
          <w:color w:val="7E7E7E"/>
          <w:spacing w:val="-3"/>
          <w:sz w:val="22"/>
        </w:rPr>
        <w:t> </w:t>
      </w:r>
      <w:r>
        <w:rPr>
          <w:color w:val="7E7E7E"/>
          <w:sz w:val="22"/>
        </w:rPr>
        <w:t>(high</w:t>
      </w:r>
      <w:r>
        <w:rPr>
          <w:color w:val="7E7E7E"/>
          <w:spacing w:val="-5"/>
          <w:sz w:val="22"/>
        </w:rPr>
        <w:t> </w:t>
      </w:r>
      <w:r>
        <w:rPr>
          <w:color w:val="7E7E7E"/>
          <w:sz w:val="22"/>
        </w:rPr>
        <w:t>to</w:t>
      </w:r>
      <w:r>
        <w:rPr>
          <w:color w:val="7E7E7E"/>
          <w:spacing w:val="-2"/>
          <w:sz w:val="22"/>
        </w:rPr>
        <w:t> </w:t>
      </w:r>
      <w:r>
        <w:rPr>
          <w:color w:val="7E7E7E"/>
          <w:sz w:val="22"/>
        </w:rPr>
        <w:t>low</w:t>
      </w:r>
      <w:r>
        <w:rPr>
          <w:color w:val="7E7E7E"/>
          <w:spacing w:val="-3"/>
          <w:sz w:val="22"/>
        </w:rPr>
        <w:t> </w:t>
      </w:r>
      <w:r>
        <w:rPr>
          <w:color w:val="7E7E7E"/>
          <w:sz w:val="22"/>
        </w:rPr>
        <w:t>vessel</w:t>
      </w:r>
      <w:r>
        <w:rPr>
          <w:color w:val="7E7E7E"/>
          <w:spacing w:val="-2"/>
          <w:sz w:val="22"/>
        </w:rPr>
        <w:t> </w:t>
      </w:r>
      <w:r>
        <w:rPr>
          <w:color w:val="7E7E7E"/>
          <w:sz w:val="22"/>
        </w:rPr>
        <w:t>diameter</w:t>
      </w:r>
      <w:r>
        <w:rPr>
          <w:color w:val="7E7E7E"/>
          <w:spacing w:val="-3"/>
          <w:sz w:val="22"/>
        </w:rPr>
        <w:t> </w:t>
      </w:r>
      <w:r>
        <w:rPr>
          <w:color w:val="7E7E7E"/>
          <w:sz w:val="22"/>
        </w:rPr>
        <w:t>and</w:t>
      </w:r>
      <w:r>
        <w:rPr>
          <w:color w:val="7E7E7E"/>
          <w:spacing w:val="-2"/>
          <w:sz w:val="22"/>
        </w:rPr>
        <w:t> </w:t>
      </w:r>
      <w:r>
        <w:rPr>
          <w:color w:val="7E7E7E"/>
          <w:sz w:val="22"/>
        </w:rPr>
        <w:t>low to high vessel density, respectively)</w:t>
      </w:r>
    </w:p>
    <w:p>
      <w:pPr>
        <w:spacing w:after="0" w:line="259" w:lineRule="auto"/>
        <w:jc w:val="both"/>
        <w:rPr>
          <w:sz w:val="22"/>
        </w:rPr>
        <w:sectPr>
          <w:pgSz w:w="12240" w:h="15840"/>
          <w:pgMar w:header="0" w:footer="1012" w:top="1220" w:bottom="1200" w:left="850" w:right="850"/>
        </w:sectPr>
      </w:pPr>
    </w:p>
    <w:p>
      <w:pPr>
        <w:pStyle w:val="BodyText"/>
        <w:spacing w:line="360" w:lineRule="auto" w:before="37"/>
        <w:ind w:right="152" w:firstLine="720"/>
      </w:pPr>
      <w:r>
        <w:rPr/>
        <w:t>At the 3000m asl site, the model incorporating the PC1 axis was the third best fitting</w:t>
      </w:r>
      <w:r>
        <w:rPr>
          <w:spacing w:val="40"/>
        </w:rPr>
        <w:t> </w:t>
      </w:r>
      <w:r>
        <w:rPr/>
        <w:t>model. All treatments showed a growth increase, most profound in the combined N+P treatment. Conservative species (i.e., high PC1 scores) with high LT and BT did respond the strongest to N+P addition whereas acquisitive species (i.e., low PC1 scores) responded strongly to only individual N treatment. Individual P treatments showed overall lowest growth response and were only marginally different from control plots.</w:t>
      </w:r>
    </w:p>
    <w:p>
      <w:pPr>
        <w:pStyle w:val="BodyText"/>
        <w:spacing w:line="360" w:lineRule="auto"/>
        <w:ind w:right="152" w:firstLine="720"/>
      </w:pPr>
      <w:r>
        <w:rPr/>
        <w:t>In the model incorporating the PC2 axis, which was the fourth best fitting model at this site, N+P addition as well as N addition showed a growth response in hydraulic investing species (i.e., high PC2 score) with few, broad vessels and a high KS, differing from control plots. N+P addition also showed highest growth response of all treatments in trees with low hydraulic investment (i.e., low PC2 score). Individual N treatment showed a slightly lower growth response in trees with low hydraulic investment. P addition was not different from control plots (Fig. 8b). Acquisitive species showed higher growth response than conservative species across all treatments. Measurements in P plots extended into higher PC2 scores, but these cannot be evaluated due to the missing comparable data in other treatments.</w:t>
      </w:r>
    </w:p>
    <w:p>
      <w:pPr>
        <w:pStyle w:val="BodyText"/>
        <w:spacing w:line="360" w:lineRule="auto"/>
        <w:ind w:right="153" w:firstLine="720"/>
      </w:pPr>
      <w:r>
        <w:rPr/>
        <w:t>The estimates of predictors were identical for both models with treatments showing positive estimates and trait axis (i.e., PC1 and PC2 scores respectively) did not differ from 0. The only difference was that P treatment was a significant predictor in the second model</w:t>
      </w:r>
      <w:r>
        <w:rPr>
          <w:spacing w:val="21"/>
        </w:rPr>
        <w:t> </w:t>
      </w:r>
      <w:r>
        <w:rPr/>
        <w:t>in addition</w:t>
      </w:r>
      <w:r>
        <w:rPr>
          <w:spacing w:val="40"/>
        </w:rPr>
        <w:t> </w:t>
      </w:r>
      <w:r>
        <w:rPr/>
        <w:t>to N treatment and initial BA being a highly significant predictor (Fig. S6).</w:t>
      </w:r>
    </w:p>
    <w:p>
      <w:pPr>
        <w:pStyle w:val="BodyText"/>
        <w:spacing w:line="360" w:lineRule="auto" w:before="1"/>
        <w:ind w:right="152" w:firstLine="720"/>
      </w:pPr>
      <w:r>
        <w:rPr/>
        <w:t>With predicted growth as a function of initial BA both models showed identical trends. N+P treatments were the only treatment distinctly different from control plots whereas N</w:t>
      </w:r>
      <w:r>
        <w:rPr>
          <w:spacing w:val="40"/>
        </w:rPr>
        <w:t> </w:t>
      </w:r>
      <w:r>
        <w:rPr/>
        <w:t>addition only showed growth response in trees with smaller BA. P treatments were on par with control plots (Fig. S3a).</w:t>
      </w:r>
    </w:p>
    <w:p>
      <w:pPr>
        <w:pStyle w:val="BodyText"/>
        <w:spacing w:after="0" w:line="360" w:lineRule="auto"/>
        <w:sectPr>
          <w:pgSz w:w="12240" w:h="15840"/>
          <w:pgMar w:header="0" w:footer="1012" w:top="1220" w:bottom="1200" w:left="850" w:right="850"/>
        </w:sectPr>
      </w:pPr>
    </w:p>
    <w:p>
      <w:pPr>
        <w:spacing w:line="240" w:lineRule="auto"/>
        <w:ind w:left="886" w:right="0" w:firstLine="0"/>
        <w:rPr>
          <w:sz w:val="20"/>
        </w:rPr>
      </w:pPr>
      <w:r>
        <w:rPr>
          <w:sz w:val="20"/>
        </w:rPr>
        <w:drawing>
          <wp:inline distT="0" distB="0" distL="0" distR="0">
            <wp:extent cx="5581189" cy="264633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581189" cy="2646330"/>
                    </a:xfrm>
                    <a:prstGeom prst="rect">
                      <a:avLst/>
                    </a:prstGeom>
                  </pic:spPr>
                </pic:pic>
              </a:graphicData>
            </a:graphic>
          </wp:inline>
        </w:drawing>
      </w:r>
      <w:r>
        <w:rPr>
          <w:sz w:val="20"/>
        </w:rPr>
      </w:r>
    </w:p>
    <w:p>
      <w:pPr>
        <w:spacing w:line="259" w:lineRule="auto" w:before="225"/>
        <w:ind w:left="157" w:right="152" w:firstLine="0"/>
        <w:jc w:val="both"/>
        <w:rPr>
          <w:sz w:val="22"/>
        </w:rPr>
      </w:pPr>
      <w:r>
        <w:rPr>
          <w:color w:val="7E7E7E"/>
          <w:sz w:val="22"/>
        </w:rPr>
        <w:t>Fig. 8: Predicted tree growth and SE at the 3000m asl site with confidence interval as a function of functional traits. Predictions values were extracted from the two best models for the 3000m asl site that consider growth over at least 12 years as a function of the additive effects of nutrients added (N, P), as well as the additive effects of tree functional traits (PC 1 or PC 2) and the additive effect of initial tree size. (a) Model using PC 1. (b) Model using PC 2. PC 1 describes a gradient of acquisitive functional traits (high leaf nutrient content, high specific leaf area) to conservative traits (bark thickness and leaf toughness). PC 2 describes a gradient from conservative to acquisitive functional traits (low and high vessel diameter and high to low vessel density, respectively)</w:t>
      </w:r>
    </w:p>
    <w:p>
      <w:pPr>
        <w:spacing w:after="0" w:line="259" w:lineRule="auto"/>
        <w:jc w:val="both"/>
        <w:rPr>
          <w:sz w:val="22"/>
        </w:rPr>
        <w:sectPr>
          <w:pgSz w:w="12240" w:h="15840"/>
          <w:pgMar w:header="0" w:footer="1012" w:top="1420" w:bottom="1200" w:left="850" w:right="850"/>
        </w:sectPr>
      </w:pPr>
    </w:p>
    <w:p>
      <w:pPr>
        <w:pStyle w:val="Heading2"/>
        <w:jc w:val="both"/>
      </w:pPr>
      <w:bookmarkStart w:name="_bookmark19" w:id="20"/>
      <w:bookmarkEnd w:id="20"/>
      <w:r>
        <w:rPr/>
      </w:r>
      <w:r>
        <w:rPr>
          <w:color w:val="2E5395"/>
        </w:rPr>
        <w:t>Species</w:t>
      </w:r>
      <w:r>
        <w:rPr>
          <w:color w:val="2E5395"/>
          <w:spacing w:val="-7"/>
        </w:rPr>
        <w:t> </w:t>
      </w:r>
      <w:r>
        <w:rPr>
          <w:color w:val="2E5395"/>
        </w:rPr>
        <w:t>Responses</w:t>
      </w:r>
      <w:r>
        <w:rPr>
          <w:color w:val="2E5395"/>
          <w:spacing w:val="-7"/>
        </w:rPr>
        <w:t> </w:t>
      </w:r>
      <w:r>
        <w:rPr>
          <w:color w:val="2E5395"/>
        </w:rPr>
        <w:t>to</w:t>
      </w:r>
      <w:r>
        <w:rPr>
          <w:color w:val="2E5395"/>
          <w:spacing w:val="-7"/>
        </w:rPr>
        <w:t> </w:t>
      </w:r>
      <w:r>
        <w:rPr>
          <w:color w:val="2E5395"/>
        </w:rPr>
        <w:t>Nutrient</w:t>
      </w:r>
      <w:r>
        <w:rPr>
          <w:color w:val="2E5395"/>
          <w:spacing w:val="-8"/>
        </w:rPr>
        <w:t> </w:t>
      </w:r>
      <w:r>
        <w:rPr>
          <w:color w:val="2E5395"/>
          <w:spacing w:val="-2"/>
        </w:rPr>
        <w:t>Addition</w:t>
      </w:r>
    </w:p>
    <w:p>
      <w:pPr>
        <w:pStyle w:val="BodyText"/>
        <w:spacing w:line="360" w:lineRule="auto" w:before="48"/>
        <w:ind w:right="154" w:firstLine="720"/>
      </w:pPr>
      <w:r>
        <w:rPr/>
        <w:t>The identity of species played a role on whether nutrient treatments had positive or negative effects on growth. The responses, which were extracted out of the two best models at each elevation, showed similar trends for all elevations with mostly positive and no negative growth response to nutrient addition (Fig. 9-11).</w:t>
      </w:r>
    </w:p>
    <w:p>
      <w:pPr>
        <w:pStyle w:val="BodyText"/>
        <w:spacing w:line="360" w:lineRule="auto"/>
        <w:ind w:right="154" w:firstLine="720"/>
      </w:pPr>
      <w:r>
        <w:rPr/>
        <w:t>At 1000m</w:t>
      </w:r>
      <w:r>
        <w:rPr>
          <w:spacing w:val="-1"/>
        </w:rPr>
        <w:t> </w:t>
      </w:r>
      <w:r>
        <w:rPr/>
        <w:t>asl,</w:t>
      </w:r>
      <w:r>
        <w:rPr>
          <w:spacing w:val="-1"/>
        </w:rPr>
        <w:t> </w:t>
      </w:r>
      <w:r>
        <w:rPr/>
        <w:t>nutrient addition influenced</w:t>
      </w:r>
      <w:r>
        <w:rPr>
          <w:spacing w:val="-1"/>
        </w:rPr>
        <w:t> </w:t>
      </w:r>
      <w:r>
        <w:rPr/>
        <w:t>fewer</w:t>
      </w:r>
      <w:r>
        <w:rPr>
          <w:spacing w:val="-3"/>
        </w:rPr>
        <w:t> </w:t>
      </w:r>
      <w:r>
        <w:rPr/>
        <w:t>species when compared to the 2000m and 3000m asl sites with treatments showing effects only in two species. All treatments led to growth increase in one species (</w:t>
      </w:r>
      <w:r>
        <w:rPr>
          <w:i/>
        </w:rPr>
        <w:t>Virola sebifera) </w:t>
      </w:r>
      <w:r>
        <w:rPr/>
        <w:t>in the PC1 model (Fig. 9a) and all expect N addition in</w:t>
      </w:r>
      <w:r>
        <w:rPr>
          <w:spacing w:val="-1"/>
        </w:rPr>
        <w:t> </w:t>
      </w:r>
      <w:r>
        <w:rPr/>
        <w:t>the PC2</w:t>
      </w:r>
      <w:r>
        <w:rPr>
          <w:spacing w:val="-2"/>
        </w:rPr>
        <w:t> </w:t>
      </w:r>
      <w:r>
        <w:rPr/>
        <w:t>model</w:t>
      </w:r>
      <w:r>
        <w:rPr>
          <w:spacing w:val="-1"/>
        </w:rPr>
        <w:t> </w:t>
      </w:r>
      <w:r>
        <w:rPr/>
        <w:t>(Fig. 9b). This was not</w:t>
      </w:r>
      <w:r>
        <w:rPr>
          <w:spacing w:val="-1"/>
        </w:rPr>
        <w:t> </w:t>
      </w:r>
      <w:r>
        <w:rPr/>
        <w:t>clear</w:t>
      </w:r>
      <w:r>
        <w:rPr>
          <w:spacing w:val="-2"/>
        </w:rPr>
        <w:t> </w:t>
      </w:r>
      <w:r>
        <w:rPr/>
        <w:t>for</w:t>
      </w:r>
      <w:r>
        <w:rPr>
          <w:spacing w:val="-2"/>
        </w:rPr>
        <w:t> </w:t>
      </w:r>
      <w:r>
        <w:rPr/>
        <w:t>P</w:t>
      </w:r>
      <w:r>
        <w:rPr>
          <w:spacing w:val="-1"/>
        </w:rPr>
        <w:t> </w:t>
      </w:r>
      <w:r>
        <w:rPr/>
        <w:t>treatment</w:t>
      </w:r>
      <w:r>
        <w:rPr>
          <w:spacing w:val="-2"/>
        </w:rPr>
        <w:t> </w:t>
      </w:r>
      <w:r>
        <w:rPr/>
        <w:t>as there</w:t>
      </w:r>
      <w:r>
        <w:rPr>
          <w:spacing w:val="-1"/>
        </w:rPr>
        <w:t> </w:t>
      </w:r>
      <w:r>
        <w:rPr/>
        <w:t>was only</w:t>
      </w:r>
      <w:r>
        <w:rPr>
          <w:spacing w:val="-1"/>
        </w:rPr>
        <w:t> </w:t>
      </w:r>
      <w:r>
        <w:rPr/>
        <w:t>a</w:t>
      </w:r>
      <w:r>
        <w:rPr>
          <w:spacing w:val="-1"/>
        </w:rPr>
        <w:t> </w:t>
      </w:r>
      <w:r>
        <w:rPr/>
        <w:t>single individual left</w:t>
      </w:r>
      <w:r>
        <w:rPr>
          <w:spacing w:val="-1"/>
        </w:rPr>
        <w:t> </w:t>
      </w:r>
      <w:r>
        <w:rPr/>
        <w:t>in the</w:t>
      </w:r>
      <w:r>
        <w:rPr>
          <w:spacing w:val="-2"/>
        </w:rPr>
        <w:t> </w:t>
      </w:r>
      <w:r>
        <w:rPr/>
        <w:t>analysis.</w:t>
      </w:r>
      <w:r>
        <w:rPr>
          <w:spacing w:val="-1"/>
        </w:rPr>
        <w:t> </w:t>
      </w:r>
      <w:r>
        <w:rPr/>
        <w:t>In</w:t>
      </w:r>
      <w:r>
        <w:rPr>
          <w:spacing w:val="-3"/>
        </w:rPr>
        <w:t> </w:t>
      </w:r>
      <w:r>
        <w:rPr/>
        <w:t>addition,</w:t>
      </w:r>
      <w:r>
        <w:rPr>
          <w:spacing w:val="-1"/>
        </w:rPr>
        <w:t> </w:t>
      </w:r>
      <w:r>
        <w:rPr>
          <w:i/>
        </w:rPr>
        <w:t>Mollia</w:t>
      </w:r>
      <w:r>
        <w:rPr>
          <w:i/>
          <w:spacing w:val="-3"/>
        </w:rPr>
        <w:t> </w:t>
      </w:r>
      <w:r>
        <w:rPr>
          <w:i/>
        </w:rPr>
        <w:t>gracilis</w:t>
      </w:r>
      <w:r>
        <w:rPr>
          <w:i/>
          <w:spacing w:val="-1"/>
        </w:rPr>
        <w:t> </w:t>
      </w:r>
      <w:r>
        <w:rPr/>
        <w:t>did respond</w:t>
      </w:r>
      <w:r>
        <w:rPr>
          <w:spacing w:val="-2"/>
        </w:rPr>
        <w:t> </w:t>
      </w:r>
      <w:r>
        <w:rPr/>
        <w:t>to</w:t>
      </w:r>
      <w:r>
        <w:rPr>
          <w:spacing w:val="-2"/>
        </w:rPr>
        <w:t> </w:t>
      </w:r>
      <w:r>
        <w:rPr/>
        <w:t>P</w:t>
      </w:r>
      <w:r>
        <w:rPr>
          <w:spacing w:val="-3"/>
        </w:rPr>
        <w:t> </w:t>
      </w:r>
      <w:r>
        <w:rPr/>
        <w:t>addition</w:t>
      </w:r>
      <w:r>
        <w:rPr>
          <w:spacing w:val="-1"/>
        </w:rPr>
        <w:t> </w:t>
      </w:r>
      <w:r>
        <w:rPr/>
        <w:t>in</w:t>
      </w:r>
      <w:r>
        <w:rPr>
          <w:spacing w:val="-2"/>
        </w:rPr>
        <w:t> </w:t>
      </w:r>
      <w:r>
        <w:rPr/>
        <w:t>both</w:t>
      </w:r>
      <w:r>
        <w:rPr>
          <w:spacing w:val="-2"/>
        </w:rPr>
        <w:t> </w:t>
      </w:r>
      <w:r>
        <w:rPr/>
        <w:t>models.</w:t>
      </w:r>
      <w:r>
        <w:rPr>
          <w:spacing w:val="-2"/>
        </w:rPr>
        <w:t> </w:t>
      </w:r>
      <w:r>
        <w:rPr/>
        <w:t>Rare species</w:t>
      </w:r>
      <w:r>
        <w:rPr>
          <w:spacing w:val="-1"/>
        </w:rPr>
        <w:t> </w:t>
      </w:r>
      <w:r>
        <w:rPr/>
        <w:t>did not respond to nutrient addition.</w:t>
      </w:r>
    </w:p>
    <w:p>
      <w:pPr>
        <w:pStyle w:val="BodyText"/>
        <w:spacing w:before="53"/>
        <w:ind w:left="0"/>
        <w:jc w:val="left"/>
        <w:rPr>
          <w:sz w:val="20"/>
        </w:rPr>
      </w:pPr>
      <w:r>
        <w:rPr>
          <w:sz w:val="20"/>
        </w:rPr>
        <w:drawing>
          <wp:anchor distT="0" distB="0" distL="0" distR="0" allowOverlap="1" layoutInCell="1" locked="0" behindDoc="1" simplePos="0" relativeHeight="487590400">
            <wp:simplePos x="0" y="0"/>
            <wp:positionH relativeFrom="page">
              <wp:posOffset>1102465</wp:posOffset>
            </wp:positionH>
            <wp:positionV relativeFrom="paragraph">
              <wp:posOffset>204003</wp:posOffset>
            </wp:positionV>
            <wp:extent cx="5581928" cy="268233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581928" cy="2682335"/>
                    </a:xfrm>
                    <a:prstGeom prst="rect">
                      <a:avLst/>
                    </a:prstGeom>
                  </pic:spPr>
                </pic:pic>
              </a:graphicData>
            </a:graphic>
          </wp:anchor>
        </w:drawing>
      </w:r>
    </w:p>
    <w:p>
      <w:pPr>
        <w:spacing w:line="276" w:lineRule="auto" w:before="171"/>
        <w:ind w:left="157" w:right="151" w:firstLine="0"/>
        <w:jc w:val="both"/>
        <w:rPr>
          <w:sz w:val="22"/>
        </w:rPr>
      </w:pPr>
      <w:r>
        <w:rPr>
          <w:color w:val="7E7E7E"/>
          <w:sz w:val="22"/>
        </w:rPr>
        <w:t>Fig. 9: Predicted mean tree growth and </w:t>
      </w:r>
      <w:r>
        <w:rPr>
          <w:i/>
          <w:color w:val="7E7E7E"/>
          <w:sz w:val="22"/>
        </w:rPr>
        <w:t>SE </w:t>
      </w:r>
      <w:r>
        <w:rPr>
          <w:color w:val="7E7E7E"/>
          <w:sz w:val="22"/>
        </w:rPr>
        <w:t>per species at 1000m asl. Predictions were extracted from the</w:t>
      </w:r>
      <w:r>
        <w:rPr>
          <w:color w:val="7E7E7E"/>
          <w:spacing w:val="40"/>
          <w:sz w:val="22"/>
        </w:rPr>
        <w:t> </w:t>
      </w:r>
      <w:r>
        <w:rPr>
          <w:color w:val="7E7E7E"/>
          <w:sz w:val="22"/>
        </w:rPr>
        <w:t>two best models considering growth over more than 12 years at the 1000m asl site (see Fig. 6) using logarithmic basal area increase as a function of additive effects between nutrients added (N, P), tree functional traits and initial basal area. (a) Model using traits in PC1 axis (i.e., fast/acquisitive species with high specific leaf area and leaf nutrient concentrations versus slow/conservative species with high leaf toughness)</w:t>
      </w:r>
      <w:r>
        <w:rPr>
          <w:color w:val="7E7E7E"/>
          <w:spacing w:val="-1"/>
          <w:sz w:val="22"/>
        </w:rPr>
        <w:t> </w:t>
      </w:r>
      <w:r>
        <w:rPr>
          <w:color w:val="7E7E7E"/>
          <w:sz w:val="22"/>
        </w:rPr>
        <w:t>and</w:t>
      </w:r>
      <w:r>
        <w:rPr>
          <w:color w:val="7E7E7E"/>
          <w:spacing w:val="-1"/>
          <w:sz w:val="22"/>
        </w:rPr>
        <w:t> </w:t>
      </w:r>
      <w:r>
        <w:rPr>
          <w:color w:val="7E7E7E"/>
          <w:sz w:val="22"/>
        </w:rPr>
        <w:t>(b)</w:t>
      </w:r>
      <w:r>
        <w:rPr>
          <w:color w:val="7E7E7E"/>
          <w:spacing w:val="-1"/>
          <w:sz w:val="22"/>
        </w:rPr>
        <w:t> </w:t>
      </w:r>
      <w:r>
        <w:rPr>
          <w:color w:val="7E7E7E"/>
          <w:sz w:val="22"/>
        </w:rPr>
        <w:t>using</w:t>
      </w:r>
      <w:r>
        <w:rPr>
          <w:color w:val="7E7E7E"/>
          <w:spacing w:val="-3"/>
          <w:sz w:val="22"/>
        </w:rPr>
        <w:t> </w:t>
      </w:r>
      <w:r>
        <w:rPr>
          <w:color w:val="7E7E7E"/>
          <w:sz w:val="22"/>
        </w:rPr>
        <w:t>traits</w:t>
      </w:r>
      <w:r>
        <w:rPr>
          <w:color w:val="7E7E7E"/>
          <w:spacing w:val="-2"/>
          <w:sz w:val="22"/>
        </w:rPr>
        <w:t> </w:t>
      </w:r>
      <w:r>
        <w:rPr>
          <w:color w:val="7E7E7E"/>
          <w:sz w:val="22"/>
        </w:rPr>
        <w:t>in</w:t>
      </w:r>
      <w:r>
        <w:rPr>
          <w:color w:val="7E7E7E"/>
          <w:spacing w:val="-2"/>
          <w:sz w:val="22"/>
        </w:rPr>
        <w:t> </w:t>
      </w:r>
      <w:r>
        <w:rPr>
          <w:color w:val="7E7E7E"/>
          <w:sz w:val="22"/>
        </w:rPr>
        <w:t>PC2 axis</w:t>
      </w:r>
      <w:r>
        <w:rPr>
          <w:color w:val="7E7E7E"/>
          <w:spacing w:val="-2"/>
          <w:sz w:val="22"/>
        </w:rPr>
        <w:t> </w:t>
      </w:r>
      <w:r>
        <w:rPr>
          <w:color w:val="7E7E7E"/>
          <w:sz w:val="22"/>
        </w:rPr>
        <w:t>(i.e.,</w:t>
      </w:r>
      <w:r>
        <w:rPr>
          <w:color w:val="7E7E7E"/>
          <w:spacing w:val="-2"/>
          <w:sz w:val="22"/>
        </w:rPr>
        <w:t> </w:t>
      </w:r>
      <w:r>
        <w:rPr>
          <w:color w:val="7E7E7E"/>
          <w:sz w:val="22"/>
        </w:rPr>
        <w:t>faster</w:t>
      </w:r>
      <w:r>
        <w:rPr>
          <w:color w:val="7E7E7E"/>
          <w:spacing w:val="-2"/>
          <w:sz w:val="22"/>
        </w:rPr>
        <w:t> </w:t>
      </w:r>
      <w:r>
        <w:rPr>
          <w:color w:val="7E7E7E"/>
          <w:sz w:val="22"/>
        </w:rPr>
        <w:t>nutrient acquisition due</w:t>
      </w:r>
      <w:r>
        <w:rPr>
          <w:color w:val="7E7E7E"/>
          <w:spacing w:val="-1"/>
          <w:sz w:val="22"/>
        </w:rPr>
        <w:t> </w:t>
      </w:r>
      <w:r>
        <w:rPr>
          <w:color w:val="7E7E7E"/>
          <w:sz w:val="22"/>
        </w:rPr>
        <w:t>to higher</w:t>
      </w:r>
      <w:r>
        <w:rPr>
          <w:color w:val="7E7E7E"/>
          <w:spacing w:val="-2"/>
          <w:sz w:val="22"/>
        </w:rPr>
        <w:t> </w:t>
      </w:r>
      <w:r>
        <w:rPr>
          <w:color w:val="7E7E7E"/>
          <w:sz w:val="22"/>
        </w:rPr>
        <w:t>vessel</w:t>
      </w:r>
      <w:r>
        <w:rPr>
          <w:color w:val="7E7E7E"/>
          <w:spacing w:val="-1"/>
          <w:sz w:val="22"/>
        </w:rPr>
        <w:t> </w:t>
      </w:r>
      <w:r>
        <w:rPr>
          <w:color w:val="7E7E7E"/>
          <w:sz w:val="22"/>
        </w:rPr>
        <w:t>diameter</w:t>
      </w:r>
      <w:r>
        <w:rPr>
          <w:color w:val="7E7E7E"/>
          <w:spacing w:val="-2"/>
          <w:sz w:val="22"/>
        </w:rPr>
        <w:t> </w:t>
      </w:r>
      <w:r>
        <w:rPr>
          <w:color w:val="7E7E7E"/>
          <w:sz w:val="22"/>
        </w:rPr>
        <w:t>vs. slower nutrient acquisition due to smaller but denser vessels)</w:t>
      </w:r>
    </w:p>
    <w:p>
      <w:pPr>
        <w:spacing w:after="0" w:line="276" w:lineRule="auto"/>
        <w:jc w:val="both"/>
        <w:rPr>
          <w:sz w:val="22"/>
        </w:rPr>
        <w:sectPr>
          <w:pgSz w:w="12240" w:h="15840"/>
          <w:pgMar w:header="0" w:footer="1012" w:top="1240" w:bottom="1200" w:left="850" w:right="850"/>
        </w:sectPr>
      </w:pPr>
    </w:p>
    <w:p>
      <w:pPr>
        <w:spacing w:line="360" w:lineRule="auto" w:before="37"/>
        <w:ind w:left="157" w:right="151" w:firstLine="720"/>
        <w:jc w:val="both"/>
        <w:rPr>
          <w:sz w:val="24"/>
        </w:rPr>
      </w:pPr>
      <w:r>
        <w:rPr>
          <w:sz w:val="24"/>
        </w:rPr>
        <w:t>At 2000m asl, more species showed an increased response to nutrient addition. N+P addition showed growth increases in the highest number of species, leading to a growth increase in 8 out of 14 species (</w:t>
      </w:r>
      <w:r>
        <w:rPr>
          <w:i/>
          <w:sz w:val="24"/>
        </w:rPr>
        <w:t>Alzatea verticillata </w:t>
      </w:r>
      <w:r>
        <w:rPr>
          <w:sz w:val="24"/>
        </w:rPr>
        <w:t>in both models; </w:t>
      </w:r>
      <w:r>
        <w:rPr>
          <w:i/>
          <w:sz w:val="24"/>
        </w:rPr>
        <w:t>Prunus opaca, Myrcia sp. nov,</w:t>
      </w:r>
      <w:r>
        <w:rPr>
          <w:i/>
          <w:spacing w:val="40"/>
          <w:sz w:val="24"/>
        </w:rPr>
        <w:t> </w:t>
      </w:r>
      <w:r>
        <w:rPr>
          <w:i/>
          <w:sz w:val="24"/>
        </w:rPr>
        <w:t>Graffenrida emarginata Hieronyma fendleri, Clusia ducuoides, Alchornea lojaensis, </w:t>
      </w:r>
      <w:r>
        <w:rPr>
          <w:sz w:val="24"/>
        </w:rPr>
        <w:t>and rare species all only in the second model (Fig. 10)). Individual treatment with N increased growth in 6 species albeit only in the PC2 model (</w:t>
      </w:r>
      <w:r>
        <w:rPr>
          <w:i/>
          <w:sz w:val="24"/>
        </w:rPr>
        <w:t>Prunus opaca, Myrcia sp. nov, Hieronyma fendleri, Graffenrieda emarginata, Clusia ducuoides, </w:t>
      </w:r>
      <w:r>
        <w:rPr>
          <w:sz w:val="24"/>
        </w:rPr>
        <w:t>and </w:t>
      </w:r>
      <w:r>
        <w:rPr>
          <w:i/>
          <w:sz w:val="24"/>
        </w:rPr>
        <w:t>Alchornea lojaensis</w:t>
      </w:r>
      <w:r>
        <w:rPr>
          <w:sz w:val="24"/>
        </w:rPr>
        <w:t>). P treatment also increased growth clearly in 5 species (</w:t>
      </w:r>
      <w:r>
        <w:rPr>
          <w:i/>
          <w:sz w:val="24"/>
        </w:rPr>
        <w:t>Alzatea verticillata </w:t>
      </w:r>
      <w:r>
        <w:rPr>
          <w:sz w:val="24"/>
        </w:rPr>
        <w:t>in both models; </w:t>
      </w:r>
      <w:r>
        <w:rPr>
          <w:i/>
          <w:sz w:val="24"/>
        </w:rPr>
        <w:t>Prunus opaca, Myrcia sp. nova, Hieronyma fendleri, </w:t>
      </w:r>
      <w:r>
        <w:rPr>
          <w:sz w:val="24"/>
        </w:rPr>
        <w:t>and </w:t>
      </w:r>
      <w:r>
        <w:rPr>
          <w:i/>
          <w:sz w:val="24"/>
        </w:rPr>
        <w:t>Graffenrieda emarginata </w:t>
      </w:r>
      <w:r>
        <w:rPr>
          <w:sz w:val="24"/>
        </w:rPr>
        <w:t>in the second model). Negative responses to nutrient additions were not observed in any of the two models. </w:t>
      </w:r>
      <w:r>
        <w:rPr>
          <w:i/>
          <w:sz w:val="24"/>
        </w:rPr>
        <w:t>Prunus opaca, Myrcia sp. nova, Hieronyma fendleri, </w:t>
      </w:r>
      <w:r>
        <w:rPr>
          <w:sz w:val="24"/>
        </w:rPr>
        <w:t>and </w:t>
      </w:r>
      <w:r>
        <w:rPr>
          <w:i/>
          <w:sz w:val="24"/>
        </w:rPr>
        <w:t>Graffenrieda emarginata </w:t>
      </w:r>
      <w:r>
        <w:rPr>
          <w:sz w:val="24"/>
        </w:rPr>
        <w:t>showed positive response to all treatments in the second </w:t>
      </w:r>
      <w:r>
        <w:rPr>
          <w:spacing w:val="-2"/>
          <w:sz w:val="24"/>
        </w:rPr>
        <w:t>model.</w:t>
      </w:r>
    </w:p>
    <w:p>
      <w:pPr>
        <w:pStyle w:val="BodyText"/>
        <w:spacing w:before="53"/>
        <w:ind w:left="0"/>
        <w:jc w:val="left"/>
        <w:rPr>
          <w:sz w:val="20"/>
        </w:rPr>
      </w:pPr>
      <w:r>
        <w:rPr>
          <w:sz w:val="20"/>
        </w:rPr>
        <w:drawing>
          <wp:anchor distT="0" distB="0" distL="0" distR="0" allowOverlap="1" layoutInCell="1" locked="0" behindDoc="1" simplePos="0" relativeHeight="487590912">
            <wp:simplePos x="0" y="0"/>
            <wp:positionH relativeFrom="page">
              <wp:posOffset>1102465</wp:posOffset>
            </wp:positionH>
            <wp:positionV relativeFrom="paragraph">
              <wp:posOffset>204060</wp:posOffset>
            </wp:positionV>
            <wp:extent cx="5581435" cy="268233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581435" cy="2682335"/>
                    </a:xfrm>
                    <a:prstGeom prst="rect">
                      <a:avLst/>
                    </a:prstGeom>
                  </pic:spPr>
                </pic:pic>
              </a:graphicData>
            </a:graphic>
          </wp:anchor>
        </w:drawing>
      </w:r>
    </w:p>
    <w:p>
      <w:pPr>
        <w:pStyle w:val="BodyText"/>
        <w:spacing w:before="151"/>
        <w:ind w:left="0"/>
        <w:jc w:val="left"/>
      </w:pPr>
    </w:p>
    <w:p>
      <w:pPr>
        <w:spacing w:line="276" w:lineRule="auto" w:before="1"/>
        <w:ind w:left="157" w:right="152" w:firstLine="0"/>
        <w:jc w:val="both"/>
        <w:rPr>
          <w:sz w:val="22"/>
        </w:rPr>
      </w:pPr>
      <w:r>
        <w:rPr>
          <w:color w:val="7E7E7E"/>
          <w:sz w:val="22"/>
        </w:rPr>
        <w:t>Fig. 10: Predicted mean tree growth and </w:t>
      </w:r>
      <w:r>
        <w:rPr>
          <w:i/>
          <w:color w:val="7E7E7E"/>
          <w:sz w:val="22"/>
        </w:rPr>
        <w:t>SE </w:t>
      </w:r>
      <w:r>
        <w:rPr>
          <w:color w:val="7E7E7E"/>
          <w:sz w:val="22"/>
        </w:rPr>
        <w:t>per species at 2000m asl. Predictions were extracted from the two best models considering growth over more than 12 years at the 2000m asl site (see Fig. 7) using logarithmic basal area increase as a function of additive effects between nutrients added (N, P), tree functional traits and initial basal area. (a) Model using traits in PC1 axis (i.e., fast/acquisitive species with high specific leaf area and leaf nutrient concentrations versus slow/conservative species with high leaf toughness and specific wood gravity) and (b) using traits in PC2 axis (i.e., fast nutrient acquisition due to higher vessel diameter vs. slower nutrient acquisition due to smaller, but denser vessels)</w:t>
      </w:r>
    </w:p>
    <w:p>
      <w:pPr>
        <w:spacing w:after="0" w:line="276" w:lineRule="auto"/>
        <w:jc w:val="both"/>
        <w:rPr>
          <w:sz w:val="22"/>
        </w:rPr>
        <w:sectPr>
          <w:pgSz w:w="12240" w:h="15840"/>
          <w:pgMar w:header="0" w:footer="1012" w:top="1220" w:bottom="1200" w:left="850" w:right="850"/>
        </w:sectPr>
      </w:pPr>
    </w:p>
    <w:p>
      <w:pPr>
        <w:spacing w:line="360" w:lineRule="auto" w:before="37"/>
        <w:ind w:left="157" w:right="152" w:firstLine="720"/>
        <w:jc w:val="both"/>
        <w:rPr>
          <w:i/>
          <w:sz w:val="24"/>
        </w:rPr>
      </w:pPr>
      <w:r>
        <w:rPr>
          <w:sz w:val="24"/>
        </w:rPr>
        <w:t>At 3000m asl, N+P addition exhibited biggest influence on species-specific tree growth</w:t>
      </w:r>
      <w:r>
        <w:rPr>
          <w:spacing w:val="40"/>
          <w:sz w:val="24"/>
        </w:rPr>
        <w:t> </w:t>
      </w:r>
      <w:r>
        <w:rPr>
          <w:sz w:val="24"/>
        </w:rPr>
        <w:t>with 13 of 16 species showing positive responses (</w:t>
      </w:r>
      <w:r>
        <w:rPr>
          <w:i/>
          <w:sz w:val="24"/>
        </w:rPr>
        <w:t>Graffenrieda harlingii </w:t>
      </w:r>
      <w:r>
        <w:rPr>
          <w:sz w:val="24"/>
        </w:rPr>
        <w:t>and </w:t>
      </w:r>
      <w:r>
        <w:rPr>
          <w:i/>
          <w:sz w:val="24"/>
        </w:rPr>
        <w:t>Clusia alata </w:t>
      </w:r>
      <w:r>
        <w:rPr>
          <w:sz w:val="24"/>
        </w:rPr>
        <w:t>in both models; </w:t>
      </w:r>
      <w:r>
        <w:rPr>
          <w:i/>
          <w:sz w:val="24"/>
        </w:rPr>
        <w:t>Weinmannia ovata, Weinmannia loxensis, Weinmannia elliptica, Styrax foveolaria, Persea ferruginea, Miconia jahnii, Ilex weberlingii, Gordonia fruticosa, Geissanthus vanderwerffii, Clusia ducuoides, </w:t>
      </w:r>
      <w:r>
        <w:rPr>
          <w:sz w:val="24"/>
        </w:rPr>
        <w:t>and rare species in the second model (Fig. 11)). This was followed by N addition</w:t>
      </w:r>
      <w:r>
        <w:rPr>
          <w:spacing w:val="40"/>
          <w:sz w:val="24"/>
        </w:rPr>
        <w:t> </w:t>
      </w:r>
      <w:r>
        <w:rPr>
          <w:sz w:val="24"/>
        </w:rPr>
        <w:t>yielding growth responses in 6 species (Rare species in both models; </w:t>
      </w:r>
      <w:r>
        <w:rPr>
          <w:i/>
          <w:sz w:val="24"/>
        </w:rPr>
        <w:t>Miconia jahnii, Graffenrieda harlingii, Gordonia fructiosa, Clusia ducuoides, </w:t>
      </w:r>
      <w:r>
        <w:rPr>
          <w:sz w:val="24"/>
        </w:rPr>
        <w:t>and </w:t>
      </w:r>
      <w:r>
        <w:rPr>
          <w:i/>
          <w:sz w:val="24"/>
        </w:rPr>
        <w:t>Clusia alata </w:t>
      </w:r>
      <w:r>
        <w:rPr>
          <w:sz w:val="24"/>
        </w:rPr>
        <w:t>in the second model) and lastly by P addition showing responses in 2 species only in the PC2 model (Fig. 11b) (</w:t>
      </w:r>
      <w:r>
        <w:rPr>
          <w:i/>
          <w:sz w:val="24"/>
        </w:rPr>
        <w:t>Styrax foveolaria </w:t>
      </w:r>
      <w:r>
        <w:rPr>
          <w:sz w:val="24"/>
        </w:rPr>
        <w:t>and </w:t>
      </w:r>
      <w:r>
        <w:rPr>
          <w:i/>
          <w:sz w:val="24"/>
        </w:rPr>
        <w:t>Graffenrieda harlingii</w:t>
      </w:r>
      <w:r>
        <w:rPr>
          <w:sz w:val="24"/>
        </w:rPr>
        <w:t>)</w:t>
      </w:r>
      <w:r>
        <w:rPr>
          <w:i/>
          <w:sz w:val="24"/>
        </w:rPr>
        <w:t>.</w:t>
      </w:r>
    </w:p>
    <w:p>
      <w:pPr>
        <w:pStyle w:val="BodyText"/>
        <w:spacing w:before="52"/>
        <w:ind w:left="0"/>
        <w:jc w:val="left"/>
        <w:rPr>
          <w:i/>
          <w:sz w:val="20"/>
        </w:rPr>
      </w:pPr>
      <w:r>
        <w:rPr>
          <w:i/>
          <w:sz w:val="20"/>
        </w:rPr>
        <w:drawing>
          <wp:anchor distT="0" distB="0" distL="0" distR="0" allowOverlap="1" layoutInCell="1" locked="0" behindDoc="1" simplePos="0" relativeHeight="487591424">
            <wp:simplePos x="0" y="0"/>
            <wp:positionH relativeFrom="page">
              <wp:posOffset>1102465</wp:posOffset>
            </wp:positionH>
            <wp:positionV relativeFrom="paragraph">
              <wp:posOffset>203667</wp:posOffset>
            </wp:positionV>
            <wp:extent cx="5580697" cy="268233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580697" cy="2682335"/>
                    </a:xfrm>
                    <a:prstGeom prst="rect">
                      <a:avLst/>
                    </a:prstGeom>
                  </pic:spPr>
                </pic:pic>
              </a:graphicData>
            </a:graphic>
          </wp:anchor>
        </w:drawing>
      </w:r>
    </w:p>
    <w:p>
      <w:pPr>
        <w:spacing w:line="276" w:lineRule="auto" w:before="285"/>
        <w:ind w:left="157" w:right="152" w:firstLine="0"/>
        <w:jc w:val="both"/>
        <w:rPr>
          <w:sz w:val="22"/>
        </w:rPr>
      </w:pPr>
      <w:r>
        <w:rPr>
          <w:color w:val="7E7E7E"/>
          <w:sz w:val="22"/>
        </w:rPr>
        <w:t>Fig. 11: Predicted mean tree growth and </w:t>
      </w:r>
      <w:r>
        <w:rPr>
          <w:i/>
          <w:color w:val="7E7E7E"/>
          <w:sz w:val="22"/>
        </w:rPr>
        <w:t>SE </w:t>
      </w:r>
      <w:r>
        <w:rPr>
          <w:color w:val="7E7E7E"/>
          <w:sz w:val="22"/>
        </w:rPr>
        <w:t>per species at 3000m asl. Predictions were extracted from the two best models considering growth over more than 12 years at the 3000m asl site (see Fig. 8) using logarithmic basal area increase as a function of additive effects between nutrients added (N, P), tree functional traits and initial basal area. (a) Model using traits in PC1 axis (i.e., fast/acquisitive species with high specific leaf area and leaf nutrient concentrations versus slow/conservative species with high leaf toughness and specific wood gravity) and (b) using traits in PC2 axis (i.e., fast nutrient acquisition due to higher vessel diameter vs. slower nutrient acquisition due to smaller but denser vessels)</w:t>
      </w:r>
    </w:p>
    <w:p>
      <w:pPr>
        <w:spacing w:after="0" w:line="276" w:lineRule="auto"/>
        <w:jc w:val="both"/>
        <w:rPr>
          <w:sz w:val="22"/>
        </w:rPr>
        <w:sectPr>
          <w:pgSz w:w="12240" w:h="15840"/>
          <w:pgMar w:header="0" w:footer="1012" w:top="1220" w:bottom="1200" w:left="850" w:right="850"/>
        </w:sectPr>
      </w:pPr>
    </w:p>
    <w:p>
      <w:pPr>
        <w:pStyle w:val="Heading2"/>
        <w:jc w:val="both"/>
      </w:pPr>
      <w:bookmarkStart w:name="_bookmark20" w:id="21"/>
      <w:bookmarkEnd w:id="21"/>
      <w:r>
        <w:rPr/>
      </w:r>
      <w:r>
        <w:rPr>
          <w:color w:val="2E5395"/>
        </w:rPr>
        <w:t>Response</w:t>
      </w:r>
      <w:r>
        <w:rPr>
          <w:color w:val="2E5395"/>
          <w:spacing w:val="-6"/>
        </w:rPr>
        <w:t> </w:t>
      </w:r>
      <w:r>
        <w:rPr>
          <w:color w:val="2E5395"/>
        </w:rPr>
        <w:t>of</w:t>
      </w:r>
      <w:r>
        <w:rPr>
          <w:color w:val="2E5395"/>
          <w:spacing w:val="-6"/>
        </w:rPr>
        <w:t> </w:t>
      </w:r>
      <w:r>
        <w:rPr>
          <w:color w:val="2E5395"/>
        </w:rPr>
        <w:t>basal</w:t>
      </w:r>
      <w:r>
        <w:rPr>
          <w:color w:val="2E5395"/>
          <w:spacing w:val="-6"/>
        </w:rPr>
        <w:t> </w:t>
      </w:r>
      <w:r>
        <w:rPr>
          <w:color w:val="2E5395"/>
        </w:rPr>
        <w:t>area</w:t>
      </w:r>
      <w:r>
        <w:rPr>
          <w:color w:val="2E5395"/>
          <w:spacing w:val="-4"/>
        </w:rPr>
        <w:t> </w:t>
      </w:r>
      <w:r>
        <w:rPr>
          <w:color w:val="2E5395"/>
        </w:rPr>
        <w:t>(BA)</w:t>
      </w:r>
      <w:r>
        <w:rPr>
          <w:color w:val="2E5395"/>
          <w:spacing w:val="-7"/>
        </w:rPr>
        <w:t> </w:t>
      </w:r>
      <w:r>
        <w:rPr>
          <w:color w:val="2E5395"/>
        </w:rPr>
        <w:t>as</w:t>
      </w:r>
      <w:r>
        <w:rPr>
          <w:color w:val="2E5395"/>
          <w:spacing w:val="-5"/>
        </w:rPr>
        <w:t> </w:t>
      </w:r>
      <w:r>
        <w:rPr>
          <w:color w:val="2E5395"/>
        </w:rPr>
        <w:t>an</w:t>
      </w:r>
      <w:r>
        <w:rPr>
          <w:color w:val="2E5395"/>
          <w:spacing w:val="-5"/>
        </w:rPr>
        <w:t> </w:t>
      </w:r>
      <w:r>
        <w:rPr>
          <w:color w:val="2E5395"/>
        </w:rPr>
        <w:t>ecosystem</w:t>
      </w:r>
      <w:r>
        <w:rPr>
          <w:color w:val="2E5395"/>
          <w:spacing w:val="-6"/>
        </w:rPr>
        <w:t> </w:t>
      </w:r>
      <w:r>
        <w:rPr>
          <w:color w:val="2E5395"/>
        </w:rPr>
        <w:t>proxy</w:t>
      </w:r>
      <w:r>
        <w:rPr>
          <w:color w:val="2E5395"/>
          <w:spacing w:val="-4"/>
        </w:rPr>
        <w:t> </w:t>
      </w:r>
      <w:r>
        <w:rPr>
          <w:color w:val="2E5395"/>
        </w:rPr>
        <w:t>to</w:t>
      </w:r>
      <w:r>
        <w:rPr>
          <w:color w:val="2E5395"/>
          <w:spacing w:val="-7"/>
        </w:rPr>
        <w:t> </w:t>
      </w:r>
      <w:r>
        <w:rPr>
          <w:color w:val="2E5395"/>
        </w:rPr>
        <w:t>nutrient</w:t>
      </w:r>
      <w:r>
        <w:rPr>
          <w:color w:val="2E5395"/>
          <w:spacing w:val="-7"/>
        </w:rPr>
        <w:t> </w:t>
      </w:r>
      <w:r>
        <w:rPr>
          <w:color w:val="2E5395"/>
          <w:spacing w:val="-2"/>
        </w:rPr>
        <w:t>addition</w:t>
      </w:r>
    </w:p>
    <w:p>
      <w:pPr>
        <w:pStyle w:val="BodyText"/>
        <w:spacing w:line="360" w:lineRule="auto" w:before="48"/>
        <w:ind w:right="152" w:firstLine="720"/>
        <w:rPr>
          <w:sz w:val="16"/>
        </w:rPr>
      </w:pPr>
      <w:r>
        <w:rPr/>
        <w:t>Increases in BA varied across the elevation gradient, with the mean BA growth per plot per year ranging from 191.64 +/- 30.76 m²/a at the 1000m site, 69.00 +/- 9.40 m²/a at the 2000m site and 65.18 +/- 14.31 m²/a at the 3000m site (Fig. 12). Productivity decreased along the elevation gradient with no significant difference between the 2000m asl and 3000m asl site. In addition, </w:t>
      </w:r>
      <w:r>
        <w:rPr>
          <w:position w:val="2"/>
        </w:rPr>
        <w:t>significant differences were not observed between the treatments at any site (Treatment</w:t>
      </w:r>
      <w:r>
        <w:rPr>
          <w:sz w:val="16"/>
        </w:rPr>
        <w:t>1000m</w:t>
      </w:r>
      <w:r>
        <w:rPr>
          <w:position w:val="2"/>
        </w:rPr>
        <w:t>: </w:t>
      </w:r>
      <w:r>
        <w:rPr>
          <w:i/>
          <w:position w:val="2"/>
        </w:rPr>
        <w:t>F</w:t>
      </w:r>
      <w:r>
        <w:rPr>
          <w:sz w:val="16"/>
        </w:rPr>
        <w:t>3, 12</w:t>
      </w:r>
    </w:p>
    <w:p>
      <w:pPr>
        <w:spacing w:line="291" w:lineRule="exact" w:before="0"/>
        <w:ind w:left="157" w:right="0" w:firstLine="0"/>
        <w:jc w:val="both"/>
        <w:rPr>
          <w:position w:val="2"/>
          <w:sz w:val="24"/>
        </w:rPr>
      </w:pPr>
      <w:r>
        <w:rPr>
          <w:position w:val="2"/>
          <w:sz w:val="24"/>
        </w:rPr>
        <w:t>=</w:t>
      </w:r>
      <w:r>
        <w:rPr>
          <w:spacing w:val="-3"/>
          <w:position w:val="2"/>
          <w:sz w:val="24"/>
        </w:rPr>
        <w:t> </w:t>
      </w:r>
      <w:r>
        <w:rPr>
          <w:position w:val="2"/>
          <w:sz w:val="24"/>
        </w:rPr>
        <w:t>0.725,</w:t>
      </w:r>
      <w:r>
        <w:rPr>
          <w:spacing w:val="-1"/>
          <w:position w:val="2"/>
          <w:sz w:val="24"/>
        </w:rPr>
        <w:t> </w:t>
      </w:r>
      <w:r>
        <w:rPr>
          <w:i/>
          <w:position w:val="2"/>
          <w:sz w:val="24"/>
        </w:rPr>
        <w:t>p</w:t>
      </w:r>
      <w:r>
        <w:rPr>
          <w:i/>
          <w:spacing w:val="-2"/>
          <w:position w:val="2"/>
          <w:sz w:val="24"/>
        </w:rPr>
        <w:t> </w:t>
      </w:r>
      <w:r>
        <w:rPr>
          <w:position w:val="2"/>
          <w:sz w:val="24"/>
        </w:rPr>
        <w:t>=</w:t>
      </w:r>
      <w:r>
        <w:rPr>
          <w:spacing w:val="-1"/>
          <w:position w:val="2"/>
          <w:sz w:val="24"/>
        </w:rPr>
        <w:t> </w:t>
      </w:r>
      <w:r>
        <w:rPr>
          <w:position w:val="2"/>
          <w:sz w:val="24"/>
        </w:rPr>
        <w:t>.557;</w:t>
      </w:r>
      <w:r>
        <w:rPr>
          <w:spacing w:val="-1"/>
          <w:position w:val="2"/>
          <w:sz w:val="24"/>
        </w:rPr>
        <w:t> </w:t>
      </w:r>
      <w:r>
        <w:rPr>
          <w:position w:val="2"/>
          <w:sz w:val="24"/>
        </w:rPr>
        <w:t>Treatment</w:t>
      </w:r>
      <w:r>
        <w:rPr>
          <w:sz w:val="16"/>
        </w:rPr>
        <w:t>2000m</w:t>
      </w:r>
      <w:r>
        <w:rPr>
          <w:position w:val="2"/>
          <w:sz w:val="24"/>
        </w:rPr>
        <w:t>:</w:t>
      </w:r>
      <w:r>
        <w:rPr>
          <w:spacing w:val="-2"/>
          <w:position w:val="2"/>
          <w:sz w:val="24"/>
        </w:rPr>
        <w:t> </w:t>
      </w:r>
      <w:r>
        <w:rPr>
          <w:i/>
          <w:position w:val="2"/>
          <w:sz w:val="24"/>
        </w:rPr>
        <w:t>F</w:t>
      </w:r>
      <w:r>
        <w:rPr>
          <w:sz w:val="16"/>
        </w:rPr>
        <w:t>3,</w:t>
      </w:r>
      <w:r>
        <w:rPr>
          <w:spacing w:val="-3"/>
          <w:sz w:val="16"/>
        </w:rPr>
        <w:t> </w:t>
      </w:r>
      <w:r>
        <w:rPr>
          <w:sz w:val="16"/>
        </w:rPr>
        <w:t>12</w:t>
      </w:r>
      <w:r>
        <w:rPr>
          <w:spacing w:val="16"/>
          <w:sz w:val="16"/>
        </w:rPr>
        <w:t> </w:t>
      </w:r>
      <w:r>
        <w:rPr>
          <w:position w:val="2"/>
          <w:sz w:val="24"/>
        </w:rPr>
        <w:t>=</w:t>
      </w:r>
      <w:r>
        <w:rPr>
          <w:spacing w:val="-1"/>
          <w:position w:val="2"/>
          <w:sz w:val="24"/>
        </w:rPr>
        <w:t> </w:t>
      </w:r>
      <w:r>
        <w:rPr>
          <w:position w:val="2"/>
          <w:sz w:val="24"/>
        </w:rPr>
        <w:t>2.983,</w:t>
      </w:r>
      <w:r>
        <w:rPr>
          <w:spacing w:val="-3"/>
          <w:position w:val="2"/>
          <w:sz w:val="24"/>
        </w:rPr>
        <w:t> </w:t>
      </w:r>
      <w:r>
        <w:rPr>
          <w:i/>
          <w:position w:val="2"/>
          <w:sz w:val="24"/>
        </w:rPr>
        <w:t>p</w:t>
      </w:r>
      <w:r>
        <w:rPr>
          <w:i/>
          <w:spacing w:val="-1"/>
          <w:position w:val="2"/>
          <w:sz w:val="24"/>
        </w:rPr>
        <w:t> </w:t>
      </w:r>
      <w:r>
        <w:rPr>
          <w:position w:val="2"/>
          <w:sz w:val="24"/>
        </w:rPr>
        <w:t>=</w:t>
      </w:r>
      <w:r>
        <w:rPr>
          <w:spacing w:val="-1"/>
          <w:position w:val="2"/>
          <w:sz w:val="24"/>
        </w:rPr>
        <w:t> </w:t>
      </w:r>
      <w:r>
        <w:rPr>
          <w:position w:val="2"/>
          <w:sz w:val="24"/>
        </w:rPr>
        <w:t>.0738;</w:t>
      </w:r>
      <w:r>
        <w:rPr>
          <w:spacing w:val="-2"/>
          <w:position w:val="2"/>
          <w:sz w:val="24"/>
        </w:rPr>
        <w:t> </w:t>
      </w:r>
      <w:r>
        <w:rPr>
          <w:position w:val="2"/>
          <w:sz w:val="24"/>
        </w:rPr>
        <w:t>Treatment</w:t>
      </w:r>
      <w:r>
        <w:rPr>
          <w:sz w:val="16"/>
        </w:rPr>
        <w:t>3000m</w:t>
      </w:r>
      <w:r>
        <w:rPr>
          <w:position w:val="2"/>
          <w:sz w:val="24"/>
        </w:rPr>
        <w:t>:</w:t>
      </w:r>
      <w:r>
        <w:rPr>
          <w:spacing w:val="-1"/>
          <w:position w:val="2"/>
          <w:sz w:val="24"/>
        </w:rPr>
        <w:t> </w:t>
      </w:r>
      <w:r>
        <w:rPr>
          <w:i/>
          <w:position w:val="2"/>
          <w:sz w:val="24"/>
        </w:rPr>
        <w:t>F</w:t>
      </w:r>
      <w:r>
        <w:rPr>
          <w:sz w:val="16"/>
        </w:rPr>
        <w:t>3,</w:t>
      </w:r>
      <w:r>
        <w:rPr>
          <w:spacing w:val="-4"/>
          <w:sz w:val="16"/>
        </w:rPr>
        <w:t> </w:t>
      </w:r>
      <w:r>
        <w:rPr>
          <w:sz w:val="16"/>
        </w:rPr>
        <w:t>12</w:t>
      </w:r>
      <w:r>
        <w:rPr>
          <w:spacing w:val="18"/>
          <w:sz w:val="16"/>
        </w:rPr>
        <w:t> </w:t>
      </w:r>
      <w:r>
        <w:rPr>
          <w:position w:val="2"/>
          <w:sz w:val="24"/>
        </w:rPr>
        <w:t>=</w:t>
      </w:r>
      <w:r>
        <w:rPr>
          <w:spacing w:val="-2"/>
          <w:position w:val="2"/>
          <w:sz w:val="24"/>
        </w:rPr>
        <w:t> </w:t>
      </w:r>
      <w:r>
        <w:rPr>
          <w:position w:val="2"/>
          <w:sz w:val="24"/>
        </w:rPr>
        <w:t>2.515,</w:t>
      </w:r>
      <w:r>
        <w:rPr>
          <w:spacing w:val="-2"/>
          <w:position w:val="2"/>
          <w:sz w:val="24"/>
        </w:rPr>
        <w:t> </w:t>
      </w:r>
      <w:r>
        <w:rPr>
          <w:i/>
          <w:position w:val="2"/>
          <w:sz w:val="24"/>
        </w:rPr>
        <w:t>p</w:t>
      </w:r>
      <w:r>
        <w:rPr>
          <w:i/>
          <w:spacing w:val="-1"/>
          <w:position w:val="2"/>
          <w:sz w:val="24"/>
        </w:rPr>
        <w:t> </w:t>
      </w:r>
      <w:r>
        <w:rPr>
          <w:position w:val="2"/>
          <w:sz w:val="24"/>
        </w:rPr>
        <w:t>=</w:t>
      </w:r>
      <w:r>
        <w:rPr>
          <w:spacing w:val="-1"/>
          <w:position w:val="2"/>
          <w:sz w:val="24"/>
        </w:rPr>
        <w:t> </w:t>
      </w:r>
      <w:r>
        <w:rPr>
          <w:spacing w:val="-2"/>
          <w:position w:val="2"/>
          <w:sz w:val="24"/>
        </w:rPr>
        <w:t>.108).</w:t>
      </w:r>
    </w:p>
    <w:p>
      <w:pPr>
        <w:pStyle w:val="BodyText"/>
        <w:spacing w:line="360" w:lineRule="auto" w:before="149"/>
        <w:ind w:right="149" w:firstLine="720"/>
      </w:pPr>
      <w:r>
        <w:rPr/>
        <w:t>At the elevation with the highest mean growth - i.e., 1000m - fertilization with N+P yielded highest BA increases per year (229.45 +/- 68.87 m²/a) followed by P treatments (203.65 +/- 134.37 m²/a). N treatments and control plots have similar yearly BA growth, with N addition showing slightly more growth (169.722 +/- 23.21 m²/a) with a narrower confidence interval compared to control plots (163.74 +/- 74.36 m²/a). At the 2000m asl site, plots fertilized with N+P showed highest yearly BA growth (91.75 +/- 28.33 m²/a) followed by plots with P treatment</w:t>
      </w:r>
      <w:r>
        <w:rPr>
          <w:spacing w:val="-1"/>
        </w:rPr>
        <w:t> </w:t>
      </w:r>
      <w:r>
        <w:rPr/>
        <w:t>(65.47</w:t>
      </w:r>
      <w:r>
        <w:rPr>
          <w:spacing w:val="-1"/>
        </w:rPr>
        <w:t> </w:t>
      </w:r>
      <w:r>
        <w:rPr/>
        <w:t>+/- 10.72 m²/a) and plots with N treatment (62.62 +/- 16.67 m²/a) with similar growth response. Control plots showed the smallest BA increase per year (56.15 +/- 25.09 m²/a). Lastly, at the 3000m asl site N+P</w:t>
      </w:r>
      <w:r>
        <w:rPr>
          <w:spacing w:val="11"/>
        </w:rPr>
        <w:t> </w:t>
      </w:r>
      <w:r>
        <w:rPr/>
        <w:t>treatments</w:t>
      </w:r>
      <w:r>
        <w:rPr>
          <w:spacing w:val="16"/>
        </w:rPr>
        <w:t> </w:t>
      </w:r>
      <w:r>
        <w:rPr/>
        <w:t>again</w:t>
      </w:r>
      <w:r>
        <w:rPr>
          <w:spacing w:val="17"/>
        </w:rPr>
        <w:t> </w:t>
      </w:r>
      <w:r>
        <w:rPr/>
        <w:t>showed</w:t>
      </w:r>
      <w:r>
        <w:rPr>
          <w:spacing w:val="15"/>
        </w:rPr>
        <w:t> </w:t>
      </w:r>
      <w:r>
        <w:rPr/>
        <w:t>the</w:t>
      </w:r>
      <w:r>
        <w:rPr>
          <w:spacing w:val="14"/>
        </w:rPr>
        <w:t> </w:t>
      </w:r>
      <w:r>
        <w:rPr/>
        <w:t>highest</w:t>
      </w:r>
      <w:r>
        <w:rPr>
          <w:spacing w:val="14"/>
        </w:rPr>
        <w:t> </w:t>
      </w:r>
      <w:r>
        <w:rPr/>
        <w:t>BA</w:t>
      </w:r>
      <w:r>
        <w:rPr>
          <w:spacing w:val="11"/>
        </w:rPr>
        <w:t> </w:t>
      </w:r>
      <w:r>
        <w:rPr/>
        <w:t>increase,</w:t>
      </w:r>
      <w:r>
        <w:rPr>
          <w:spacing w:val="16"/>
        </w:rPr>
        <w:t> </w:t>
      </w:r>
      <w:r>
        <w:rPr/>
        <w:t>albeit</w:t>
      </w:r>
      <w:r>
        <w:rPr>
          <w:spacing w:val="14"/>
        </w:rPr>
        <w:t> </w:t>
      </w:r>
      <w:r>
        <w:rPr/>
        <w:t>also</w:t>
      </w:r>
      <w:r>
        <w:rPr>
          <w:spacing w:val="14"/>
        </w:rPr>
        <w:t> </w:t>
      </w:r>
      <w:r>
        <w:rPr/>
        <w:t>the</w:t>
      </w:r>
      <w:r>
        <w:rPr>
          <w:spacing w:val="16"/>
        </w:rPr>
        <w:t> </w:t>
      </w:r>
      <w:r>
        <w:rPr/>
        <w:t>widest</w:t>
      </w:r>
      <w:r>
        <w:rPr>
          <w:spacing w:val="15"/>
        </w:rPr>
        <w:t> </w:t>
      </w:r>
      <w:r>
        <w:rPr/>
        <w:t>error</w:t>
      </w:r>
      <w:r>
        <w:rPr>
          <w:spacing w:val="14"/>
        </w:rPr>
        <w:t> </w:t>
      </w:r>
      <w:r>
        <w:rPr/>
        <w:t>margin</w:t>
      </w:r>
      <w:r>
        <w:rPr>
          <w:spacing w:val="15"/>
        </w:rPr>
        <w:t> </w:t>
      </w:r>
      <w:r>
        <w:rPr>
          <w:spacing w:val="-2"/>
        </w:rPr>
        <w:t>(99.18</w:t>
      </w:r>
    </w:p>
    <w:p>
      <w:pPr>
        <w:pStyle w:val="BodyText"/>
        <w:spacing w:line="362" w:lineRule="auto"/>
        <w:ind w:right="151"/>
      </w:pPr>
      <w:r>
        <w:rPr/>
        <w:t>+/- 47.59 m²/a) whereas BA growths in P (53.10 +/- 26.44 m²/a), N (54.83 +/- 27.05 m²/a) and control plots (53.62 +/- 28.90 m²/a) per block were indistinguishable.</w:t>
      </w:r>
    </w:p>
    <w:p>
      <w:pPr>
        <w:pStyle w:val="BodyText"/>
        <w:spacing w:before="7"/>
        <w:ind w:left="0"/>
        <w:jc w:val="left"/>
        <w:rPr>
          <w:sz w:val="10"/>
        </w:rPr>
      </w:pPr>
      <w:r>
        <w:rPr>
          <w:sz w:val="10"/>
        </w:rPr>
        <mc:AlternateContent>
          <mc:Choice Requires="wps">
            <w:drawing>
              <wp:anchor distT="0" distB="0" distL="0" distR="0" allowOverlap="1" layoutInCell="1" locked="0" behindDoc="1" simplePos="0" relativeHeight="487591936">
                <wp:simplePos x="0" y="0"/>
                <wp:positionH relativeFrom="page">
                  <wp:posOffset>694690</wp:posOffset>
                </wp:positionH>
                <wp:positionV relativeFrom="paragraph">
                  <wp:posOffset>97411</wp:posOffset>
                </wp:positionV>
                <wp:extent cx="6375400" cy="165735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375400" cy="1657350"/>
                          <a:chExt cx="6375400" cy="1657350"/>
                        </a:xfrm>
                      </wpg:grpSpPr>
                      <pic:pic>
                        <pic:nvPicPr>
                          <pic:cNvPr id="16" name="Image 16"/>
                          <pic:cNvPicPr/>
                        </pic:nvPicPr>
                        <pic:blipFill>
                          <a:blip r:embed="rId19" cstate="print"/>
                          <a:stretch>
                            <a:fillRect/>
                          </a:stretch>
                        </pic:blipFill>
                        <pic:spPr>
                          <a:xfrm>
                            <a:off x="0" y="0"/>
                            <a:ext cx="4249420" cy="1657096"/>
                          </a:xfrm>
                          <a:prstGeom prst="rect">
                            <a:avLst/>
                          </a:prstGeom>
                        </pic:spPr>
                      </pic:pic>
                      <pic:pic>
                        <pic:nvPicPr>
                          <pic:cNvPr id="17" name="Image 17"/>
                          <pic:cNvPicPr/>
                        </pic:nvPicPr>
                        <pic:blipFill>
                          <a:blip r:embed="rId20" cstate="print"/>
                          <a:stretch>
                            <a:fillRect/>
                          </a:stretch>
                        </pic:blipFill>
                        <pic:spPr>
                          <a:xfrm>
                            <a:off x="4249420" y="95250"/>
                            <a:ext cx="2125843" cy="1545182"/>
                          </a:xfrm>
                          <a:prstGeom prst="rect">
                            <a:avLst/>
                          </a:prstGeom>
                        </pic:spPr>
                      </pic:pic>
                    </wpg:wgp>
                  </a:graphicData>
                </a:graphic>
              </wp:anchor>
            </w:drawing>
          </mc:Choice>
          <mc:Fallback>
            <w:pict>
              <v:group style="position:absolute;margin-left:54.700001pt;margin-top:7.670225pt;width:502pt;height:130.5pt;mso-position-horizontal-relative:page;mso-position-vertical-relative:paragraph;z-index:-15724544;mso-wrap-distance-left:0;mso-wrap-distance-right:0" id="docshapegroup2" coordorigin="1094,153" coordsize="10040,2610">
                <v:shape style="position:absolute;left:1094;top:153;width:6692;height:2610" type="#_x0000_t75" id="docshape3" stroked="false">
                  <v:imagedata r:id="rId19" o:title=""/>
                </v:shape>
                <v:shape style="position:absolute;left:7786;top:303;width:3348;height:2434" type="#_x0000_t75" id="docshape4" stroked="false">
                  <v:imagedata r:id="rId20" o:title=""/>
                </v:shape>
                <w10:wrap type="topAndBottom"/>
              </v:group>
            </w:pict>
          </mc:Fallback>
        </mc:AlternateContent>
      </w:r>
    </w:p>
    <w:p>
      <w:pPr>
        <w:spacing w:line="276" w:lineRule="auto" w:before="23"/>
        <w:ind w:left="157" w:right="152" w:firstLine="0"/>
        <w:jc w:val="both"/>
        <w:rPr>
          <w:sz w:val="22"/>
        </w:rPr>
      </w:pPr>
      <w:r>
        <w:rPr>
          <w:color w:val="7E7E7E"/>
          <w:sz w:val="22"/>
        </w:rPr>
        <w:t>Fig. 12: Relationship between the increment of basal area (BA) per year (measured over 12 years) per plot and mean BA in 16 experimental plots in NuMEx in 2008 from left to right at (a) 1000m asl; (b) 2000m asl; and (c) at 3000m asl. Overall means and standard errors are presented by solid and dashed lines, </w:t>
      </w:r>
      <w:r>
        <w:rPr>
          <w:color w:val="7E7E7E"/>
          <w:spacing w:val="-2"/>
          <w:sz w:val="22"/>
        </w:rPr>
        <w:t>respectively.</w:t>
      </w:r>
    </w:p>
    <w:p>
      <w:pPr>
        <w:spacing w:after="0" w:line="276" w:lineRule="auto"/>
        <w:jc w:val="both"/>
        <w:rPr>
          <w:sz w:val="22"/>
        </w:rPr>
        <w:sectPr>
          <w:pgSz w:w="12240" w:h="15840"/>
          <w:pgMar w:header="0" w:footer="1012" w:top="1240" w:bottom="1200" w:left="850" w:right="850"/>
        </w:sectPr>
      </w:pPr>
    </w:p>
    <w:p>
      <w:pPr>
        <w:pStyle w:val="Heading1"/>
        <w:spacing w:before="19"/>
      </w:pPr>
      <w:bookmarkStart w:name="_bookmark21" w:id="22"/>
      <w:bookmarkEnd w:id="22"/>
      <w:r>
        <w:rPr/>
      </w:r>
      <w:r>
        <w:rPr>
          <w:color w:val="2E5395"/>
          <w:spacing w:val="-2"/>
        </w:rPr>
        <w:t>Discussion</w:t>
      </w:r>
    </w:p>
    <w:p>
      <w:pPr>
        <w:pStyle w:val="Heading2"/>
        <w:spacing w:before="56"/>
      </w:pPr>
      <w:bookmarkStart w:name="_bookmark22" w:id="23"/>
      <w:bookmarkEnd w:id="23"/>
      <w:r>
        <w:rPr/>
      </w:r>
      <w:r>
        <w:rPr>
          <w:color w:val="2E5395"/>
        </w:rPr>
        <w:t>Implications</w:t>
      </w:r>
      <w:r>
        <w:rPr>
          <w:color w:val="2E5395"/>
          <w:spacing w:val="-7"/>
        </w:rPr>
        <w:t> </w:t>
      </w:r>
      <w:r>
        <w:rPr>
          <w:color w:val="2E5395"/>
        </w:rPr>
        <w:t>of</w:t>
      </w:r>
      <w:r>
        <w:rPr>
          <w:color w:val="2E5395"/>
          <w:spacing w:val="-10"/>
        </w:rPr>
        <w:t> </w:t>
      </w:r>
      <w:r>
        <w:rPr>
          <w:color w:val="2E5395"/>
        </w:rPr>
        <w:t>PC</w:t>
      </w:r>
      <w:r>
        <w:rPr>
          <w:color w:val="2E5395"/>
          <w:spacing w:val="-5"/>
        </w:rPr>
        <w:t> </w:t>
      </w:r>
      <w:r>
        <w:rPr>
          <w:color w:val="2E5395"/>
        </w:rPr>
        <w:t>Scores</w:t>
      </w:r>
      <w:r>
        <w:rPr>
          <w:color w:val="2E5395"/>
          <w:spacing w:val="-9"/>
        </w:rPr>
        <w:t> </w:t>
      </w:r>
      <w:r>
        <w:rPr>
          <w:color w:val="2E5395"/>
        </w:rPr>
        <w:t>between</w:t>
      </w:r>
      <w:r>
        <w:rPr>
          <w:color w:val="2E5395"/>
          <w:spacing w:val="-5"/>
        </w:rPr>
        <w:t> </w:t>
      </w:r>
      <w:r>
        <w:rPr>
          <w:color w:val="2E5395"/>
        </w:rPr>
        <w:t>Community</w:t>
      </w:r>
      <w:r>
        <w:rPr>
          <w:color w:val="2E5395"/>
          <w:spacing w:val="-9"/>
        </w:rPr>
        <w:t> </w:t>
      </w:r>
      <w:r>
        <w:rPr>
          <w:color w:val="2E5395"/>
        </w:rPr>
        <w:t>and</w:t>
      </w:r>
      <w:r>
        <w:rPr>
          <w:color w:val="2E5395"/>
          <w:spacing w:val="-9"/>
        </w:rPr>
        <w:t> </w:t>
      </w:r>
      <w:r>
        <w:rPr>
          <w:color w:val="2E5395"/>
          <w:spacing w:val="-2"/>
        </w:rPr>
        <w:t>NuMEx</w:t>
      </w:r>
    </w:p>
    <w:p>
      <w:pPr>
        <w:pStyle w:val="BodyText"/>
        <w:spacing w:line="360" w:lineRule="auto" w:before="48"/>
        <w:ind w:right="151" w:firstLine="720"/>
      </w:pPr>
      <w:r>
        <w:rPr/>
        <w:t>A decrease in SLA, leaf nutrient content and leaf N</w:t>
      </w:r>
      <w:r>
        <w:rPr>
          <w:rFonts w:ascii="Segoe UI Emoji" w:hAnsi="Segoe UI Emoji"/>
        </w:rPr>
        <w:t>:</w:t>
      </w:r>
      <w:r>
        <w:rPr/>
        <w:t>P ratio, leaf traits that are associated with acquisitive nutrient strategies (Reich et al., 2014), and increase in leaf thickness and LT, associated with conservative nutrient strategies (Reich et al., 2014), with elevation have been</w:t>
      </w:r>
      <w:r>
        <w:rPr>
          <w:spacing w:val="40"/>
        </w:rPr>
        <w:t> </w:t>
      </w:r>
      <w:r>
        <w:rPr/>
        <w:t>found at the study site (Homeier et al., 2021). Fine-root traits in the TMF in south Ecuador also vary considerably with small scale topography, showing more conservative traits in less fertile</w:t>
      </w:r>
      <w:r>
        <w:rPr>
          <w:spacing w:val="40"/>
        </w:rPr>
        <w:t> </w:t>
      </w:r>
      <w:r>
        <w:rPr/>
        <w:t>soils (Pierick et al., 2021). These findings, in addition to the increase of N limitation (see</w:t>
      </w:r>
      <w:r>
        <w:rPr>
          <w:spacing w:val="40"/>
        </w:rPr>
        <w:t> </w:t>
      </w:r>
      <w:r>
        <w:rPr/>
        <w:t>“Influence of Nutrient Treatment on Growth”) at higher elevations as well as a general decrease in productivity and nutrient cycling due to lower temperatures (Fisher et al., 2013; Homeier &amp; Leuschner, 2021; Tanner et al., 1998) or at flat ridged locations due to water logging (Wolf et al., 2011) support the hypothesis that conservative traits are more prevalent at higher elevations. Consequently, I also expected to see a change in the PC scores with elevation.</w:t>
      </w:r>
    </w:p>
    <w:p>
      <w:pPr>
        <w:pStyle w:val="BodyText"/>
        <w:spacing w:line="360" w:lineRule="auto" w:before="1"/>
        <w:ind w:right="152" w:firstLine="720"/>
      </w:pPr>
      <w:r>
        <w:rPr/>
        <w:t>Conversely, no significant differences were found between the trait-spaces across elevations, especially when considering the complete recorded community for each elevation. Overlap between the sites was lower when only species situated inside NuMEx were considered. As comparison between NuMEx plots and the whole community also showed some variation, at least at the 2000m elevation, it can be assumed that the NuMEx plot communities, due to their selective sampling size, are intrinsically biased across all elevation sites. However, my study cannot support the hypothesis that conservative species are more prevalent at higher elevation. Alas, my analysis is not the ideal way to test this hypothesis as functional trait variation was collapsed on only 2 axis and not analysed per trait as done by Homeier et al. (2021) for leaf traits and Pierick et al. (2021) for fine-root traits. This led to a convergence of trait variation concealing the differences between sites. This could be assessed in another study constructing n-dimensional hypervolumes of all recorded traits separately. In addition, an inherent shortcoming of my approach needs to</w:t>
      </w:r>
      <w:r>
        <w:rPr>
          <w:spacing w:val="-1"/>
        </w:rPr>
        <w:t> </w:t>
      </w:r>
      <w:r>
        <w:rPr/>
        <w:t>be considered: The</w:t>
      </w:r>
      <w:r>
        <w:rPr>
          <w:spacing w:val="-1"/>
        </w:rPr>
        <w:t> </w:t>
      </w:r>
      <w:r>
        <w:rPr/>
        <w:t>tree species occurrences used in</w:t>
      </w:r>
      <w:r>
        <w:rPr>
          <w:spacing w:val="-2"/>
        </w:rPr>
        <w:t> </w:t>
      </w:r>
      <w:r>
        <w:rPr/>
        <w:t>the PPCA as well</w:t>
      </w:r>
      <w:r>
        <w:rPr>
          <w:spacing w:val="-1"/>
        </w:rPr>
        <w:t> </w:t>
      </w:r>
      <w:r>
        <w:rPr/>
        <w:t>as for</w:t>
      </w:r>
      <w:r>
        <w:rPr>
          <w:spacing w:val="-2"/>
        </w:rPr>
        <w:t> </w:t>
      </w:r>
      <w:r>
        <w:rPr/>
        <w:t>the hypervolume analysis were not weighed. Consequently, the abundance did not play into the hypervolumes, disregarding this in hyper-diverse TMF very influential factor (Homeier, personal communication, July 28, 2021). An analysis of community-weighted means would be more </w:t>
      </w:r>
      <w:r>
        <w:rPr>
          <w:spacing w:val="-2"/>
        </w:rPr>
        <w:t>insightful.</w:t>
      </w:r>
    </w:p>
    <w:p>
      <w:pPr>
        <w:pStyle w:val="BodyText"/>
        <w:spacing w:after="0" w:line="360" w:lineRule="auto"/>
        <w:sectPr>
          <w:pgSz w:w="12240" w:h="15840"/>
          <w:pgMar w:header="0" w:footer="1012" w:top="1320" w:bottom="1200" w:left="850" w:right="850"/>
        </w:sectPr>
      </w:pPr>
    </w:p>
    <w:p>
      <w:pPr>
        <w:pStyle w:val="BodyText"/>
        <w:spacing w:line="360" w:lineRule="auto" w:before="37"/>
        <w:ind w:right="151" w:firstLine="720"/>
      </w:pPr>
      <w:r>
        <w:rPr/>
        <w:t>However, it</w:t>
      </w:r>
      <w:r>
        <w:rPr>
          <w:spacing w:val="-1"/>
        </w:rPr>
        <w:t> </w:t>
      </w:r>
      <w:r>
        <w:rPr/>
        <w:t>is certain that</w:t>
      </w:r>
      <w:r>
        <w:rPr>
          <w:spacing w:val="-1"/>
        </w:rPr>
        <w:t> </w:t>
      </w:r>
      <w:r>
        <w:rPr/>
        <w:t>across sites the traits were all</w:t>
      </w:r>
      <w:r>
        <w:rPr>
          <w:spacing w:val="-1"/>
        </w:rPr>
        <w:t> </w:t>
      </w:r>
      <w:r>
        <w:rPr/>
        <w:t>grouped in</w:t>
      </w:r>
      <w:r>
        <w:rPr>
          <w:spacing w:val="-2"/>
        </w:rPr>
        <w:t> </w:t>
      </w:r>
      <w:r>
        <w:rPr/>
        <w:t>a</w:t>
      </w:r>
      <w:r>
        <w:rPr>
          <w:spacing w:val="-1"/>
        </w:rPr>
        <w:t> </w:t>
      </w:r>
      <w:r>
        <w:rPr/>
        <w:t>similar</w:t>
      </w:r>
      <w:r>
        <w:rPr>
          <w:spacing w:val="-1"/>
        </w:rPr>
        <w:t> </w:t>
      </w:r>
      <w:r>
        <w:rPr/>
        <w:t>fashion by</w:t>
      </w:r>
      <w:r>
        <w:rPr>
          <w:spacing w:val="-1"/>
        </w:rPr>
        <w:t> </w:t>
      </w:r>
      <w:r>
        <w:rPr/>
        <w:t>the PPCA, with the PC1 axis incorporating mainly leaf traits, whereas the PC2 axis grouped together stem traits. The 4 main traits of the PC1 axis were SLA, N, P, and LT and the 3 main traits of the PC2</w:t>
      </w:r>
      <w:r>
        <w:rPr>
          <w:spacing w:val="-2"/>
        </w:rPr>
        <w:t> </w:t>
      </w:r>
      <w:r>
        <w:rPr/>
        <w:t>axis were</w:t>
      </w:r>
      <w:r>
        <w:rPr>
          <w:spacing w:val="-1"/>
        </w:rPr>
        <w:t> </w:t>
      </w:r>
      <w:r>
        <w:rPr/>
        <w:t>VDen,</w:t>
      </w:r>
      <w:r>
        <w:rPr>
          <w:spacing w:val="-1"/>
        </w:rPr>
        <w:t> </w:t>
      </w:r>
      <w:r>
        <w:rPr/>
        <w:t>VDia, and</w:t>
      </w:r>
      <w:r>
        <w:rPr>
          <w:spacing w:val="-1"/>
        </w:rPr>
        <w:t> </w:t>
      </w:r>
      <w:r>
        <w:rPr/>
        <w:t>KS. The</w:t>
      </w:r>
      <w:r>
        <w:rPr>
          <w:spacing w:val="-1"/>
        </w:rPr>
        <w:t> </w:t>
      </w:r>
      <w:r>
        <w:rPr/>
        <w:t>remaining,</w:t>
      </w:r>
      <w:r>
        <w:rPr>
          <w:spacing w:val="-1"/>
        </w:rPr>
        <w:t> </w:t>
      </w:r>
      <w:r>
        <w:rPr/>
        <w:t>more</w:t>
      </w:r>
      <w:r>
        <w:rPr>
          <w:spacing w:val="-1"/>
        </w:rPr>
        <w:t> </w:t>
      </w:r>
      <w:r>
        <w:rPr/>
        <w:t>variant</w:t>
      </w:r>
      <w:r>
        <w:rPr>
          <w:spacing w:val="-2"/>
        </w:rPr>
        <w:t> </w:t>
      </w:r>
      <w:r>
        <w:rPr/>
        <w:t>traits</w:t>
      </w:r>
      <w:r>
        <w:rPr>
          <w:spacing w:val="-1"/>
        </w:rPr>
        <w:t> </w:t>
      </w:r>
      <w:r>
        <w:rPr/>
        <w:t>all</w:t>
      </w:r>
      <w:r>
        <w:rPr>
          <w:spacing w:val="-1"/>
        </w:rPr>
        <w:t> </w:t>
      </w:r>
      <w:r>
        <w:rPr/>
        <w:t>had</w:t>
      </w:r>
      <w:r>
        <w:rPr>
          <w:spacing w:val="-1"/>
        </w:rPr>
        <w:t> </w:t>
      </w:r>
      <w:r>
        <w:rPr/>
        <w:t>only</w:t>
      </w:r>
      <w:r>
        <w:rPr>
          <w:spacing w:val="-1"/>
        </w:rPr>
        <w:t> </w:t>
      </w:r>
      <w:r>
        <w:rPr/>
        <w:t>minor</w:t>
      </w:r>
      <w:r>
        <w:rPr>
          <w:spacing w:val="-2"/>
        </w:rPr>
        <w:t> </w:t>
      </w:r>
      <w:r>
        <w:rPr/>
        <w:t>loadings and thus not seeming as influential. The 7 most influential traits should be sufficient to describe species performances (Baraloto et al., 2012). A high SLA and high leaf nutrient content is negatively correlated with LT, whereas the leaf traits are generally not correlated with stem traits, i.e., VDen and VDia together with KS, with the second two stem traits being negatively correlated to the first stem trait. The stem trait of BT and WSG and the leaf trait of LA showed the highest variation across sites but with minor loading, and thus do not play a major role in the grouping of species. In the PPCA across all sites (Fig. S7), LA showed higher loading and was strongly correlated with VDia, breaking away from the separation of leaf and stem traits and contrasting Homeier et al. (2021), analysing the same elevation gradient with notably far fewer species and only leaf traits. Here, LA showed smaller loading than the above-mentioned major traits but was clearly associated with nutrient acquisitive traits of SLA and leaf nutrient contents, whereas in my study it is more correlated to hydraulic stem traits than to nutrient acquisitive leaf traits. Association of leaf size with acquisitive hydraulic traits has been recorded in temperate forests in China as well (Song et al., 2018), therefore a correlation of LA and VDia could be plausible for the sites in south Ecuador and more analyses are need to find a definite correlation.</w:t>
      </w:r>
    </w:p>
    <w:p>
      <w:pPr>
        <w:pStyle w:val="Heading2"/>
        <w:spacing w:before="160"/>
      </w:pPr>
      <w:bookmarkStart w:name="_bookmark23" w:id="24"/>
      <w:bookmarkEnd w:id="24"/>
      <w:r>
        <w:rPr/>
      </w:r>
      <w:r>
        <w:rPr>
          <w:color w:val="2E5395"/>
        </w:rPr>
        <w:t>Influence</w:t>
      </w:r>
      <w:r>
        <w:rPr>
          <w:color w:val="2E5395"/>
          <w:spacing w:val="-8"/>
        </w:rPr>
        <w:t> </w:t>
      </w:r>
      <w:r>
        <w:rPr>
          <w:color w:val="2E5395"/>
        </w:rPr>
        <w:t>of</w:t>
      </w:r>
      <w:r>
        <w:rPr>
          <w:color w:val="2E5395"/>
          <w:spacing w:val="-8"/>
        </w:rPr>
        <w:t> </w:t>
      </w:r>
      <w:r>
        <w:rPr>
          <w:color w:val="2E5395"/>
        </w:rPr>
        <w:t>Nutrient</w:t>
      </w:r>
      <w:r>
        <w:rPr>
          <w:color w:val="2E5395"/>
          <w:spacing w:val="-8"/>
        </w:rPr>
        <w:t> </w:t>
      </w:r>
      <w:r>
        <w:rPr>
          <w:color w:val="2E5395"/>
        </w:rPr>
        <w:t>Treatment</w:t>
      </w:r>
      <w:r>
        <w:rPr>
          <w:color w:val="2E5395"/>
          <w:spacing w:val="-6"/>
        </w:rPr>
        <w:t> </w:t>
      </w:r>
      <w:r>
        <w:rPr>
          <w:color w:val="2E5395"/>
        </w:rPr>
        <w:t>on</w:t>
      </w:r>
      <w:r>
        <w:rPr>
          <w:color w:val="2E5395"/>
          <w:spacing w:val="-9"/>
        </w:rPr>
        <w:t> </w:t>
      </w:r>
      <w:r>
        <w:rPr>
          <w:color w:val="2E5395"/>
          <w:spacing w:val="-2"/>
        </w:rPr>
        <w:t>Growth</w:t>
      </w:r>
    </w:p>
    <w:p>
      <w:pPr>
        <w:pStyle w:val="BodyText"/>
        <w:spacing w:line="360" w:lineRule="auto" w:before="49"/>
        <w:ind w:right="151" w:firstLine="720"/>
      </w:pPr>
      <w:r>
        <w:rPr/>
        <w:t>Global ecosystem productivity approximated through BA growth seemed to be enhanced</w:t>
      </w:r>
      <w:r>
        <w:rPr>
          <w:spacing w:val="40"/>
        </w:rPr>
        <w:t> </w:t>
      </w:r>
      <w:r>
        <w:rPr/>
        <w:t>by nutrient addition in all cases, especially in N+P treatments across the gradient, even though none of the differences between treatments per elevation were significant. This aligned with the findings of Báez</w:t>
      </w:r>
      <w:r>
        <w:rPr>
          <w:spacing w:val="-2"/>
        </w:rPr>
        <w:t> </w:t>
      </w:r>
      <w:r>
        <w:rPr/>
        <w:t>&amp; Homeier</w:t>
      </w:r>
      <w:r>
        <w:rPr>
          <w:spacing w:val="-2"/>
        </w:rPr>
        <w:t> </w:t>
      </w:r>
      <w:r>
        <w:rPr/>
        <w:t>(2018) at</w:t>
      </w:r>
      <w:r>
        <w:rPr>
          <w:spacing w:val="-3"/>
        </w:rPr>
        <w:t> </w:t>
      </w:r>
      <w:r>
        <w:rPr/>
        <w:t>the</w:t>
      </w:r>
      <w:r>
        <w:rPr>
          <w:spacing w:val="-2"/>
        </w:rPr>
        <w:t> </w:t>
      </w:r>
      <w:r>
        <w:rPr/>
        <w:t>2000m</w:t>
      </w:r>
      <w:r>
        <w:rPr>
          <w:spacing w:val="-2"/>
        </w:rPr>
        <w:t> </w:t>
      </w:r>
      <w:r>
        <w:rPr/>
        <w:t>elevation site.</w:t>
      </w:r>
      <w:r>
        <w:rPr>
          <w:spacing w:val="-2"/>
        </w:rPr>
        <w:t> </w:t>
      </w:r>
      <w:r>
        <w:rPr/>
        <w:t>Using</w:t>
      </w:r>
      <w:r>
        <w:rPr>
          <w:spacing w:val="-2"/>
        </w:rPr>
        <w:t> </w:t>
      </w:r>
      <w:r>
        <w:rPr/>
        <w:t>BA</w:t>
      </w:r>
      <w:r>
        <w:rPr>
          <w:spacing w:val="-3"/>
        </w:rPr>
        <w:t> </w:t>
      </w:r>
      <w:r>
        <w:rPr/>
        <w:t>did not</w:t>
      </w:r>
      <w:r>
        <w:rPr>
          <w:spacing w:val="-1"/>
        </w:rPr>
        <w:t> </w:t>
      </w:r>
      <w:r>
        <w:rPr/>
        <w:t>have the</w:t>
      </w:r>
      <w:r>
        <w:rPr>
          <w:spacing w:val="-2"/>
        </w:rPr>
        <w:t> </w:t>
      </w:r>
      <w:r>
        <w:rPr/>
        <w:t>problem that acquisitive species with their inherently lower wood density impacted the overall biomass recorded per plot less than conservative species as hypothesized by Báez &amp; Homeier (2018). However, it had the downside of not incorporating tree height and therefore is a cruder proxy for ecosystem productivity. The increasing N limitation with altitude due to lower nutrient turnover and</w:t>
      </w:r>
      <w:r>
        <w:rPr>
          <w:spacing w:val="-3"/>
        </w:rPr>
        <w:t> </w:t>
      </w:r>
      <w:r>
        <w:rPr/>
        <w:t>lower</w:t>
      </w:r>
      <w:r>
        <w:rPr>
          <w:spacing w:val="-3"/>
        </w:rPr>
        <w:t> </w:t>
      </w:r>
      <w:r>
        <w:rPr/>
        <w:t>temperatures</w:t>
      </w:r>
      <w:r>
        <w:rPr>
          <w:spacing w:val="-1"/>
        </w:rPr>
        <w:t> </w:t>
      </w:r>
      <w:r>
        <w:rPr/>
        <w:t>at</w:t>
      </w:r>
      <w:r>
        <w:rPr>
          <w:spacing w:val="-3"/>
        </w:rPr>
        <w:t> </w:t>
      </w:r>
      <w:r>
        <w:rPr/>
        <w:t>higher</w:t>
      </w:r>
      <w:r>
        <w:rPr>
          <w:spacing w:val="-3"/>
        </w:rPr>
        <w:t> </w:t>
      </w:r>
      <w:r>
        <w:rPr/>
        <w:t>elevations (Dalling</w:t>
      </w:r>
      <w:r>
        <w:rPr>
          <w:spacing w:val="-2"/>
        </w:rPr>
        <w:t> </w:t>
      </w:r>
      <w:r>
        <w:rPr/>
        <w:t>et</w:t>
      </w:r>
      <w:r>
        <w:rPr>
          <w:spacing w:val="-3"/>
        </w:rPr>
        <w:t> </w:t>
      </w:r>
      <w:r>
        <w:rPr/>
        <w:t>al.,</w:t>
      </w:r>
      <w:r>
        <w:rPr>
          <w:spacing w:val="-2"/>
        </w:rPr>
        <w:t> </w:t>
      </w:r>
      <w:r>
        <w:rPr/>
        <w:t>2016;</w:t>
      </w:r>
      <w:r>
        <w:rPr>
          <w:spacing w:val="-2"/>
        </w:rPr>
        <w:t> </w:t>
      </w:r>
      <w:r>
        <w:rPr/>
        <w:t>Fisher</w:t>
      </w:r>
      <w:r>
        <w:rPr>
          <w:spacing w:val="-3"/>
        </w:rPr>
        <w:t> </w:t>
      </w:r>
      <w:r>
        <w:rPr/>
        <w:t>et</w:t>
      </w:r>
      <w:r>
        <w:rPr>
          <w:spacing w:val="-3"/>
        </w:rPr>
        <w:t> </w:t>
      </w:r>
      <w:r>
        <w:rPr/>
        <w:t>al.,</w:t>
      </w:r>
      <w:r>
        <w:rPr>
          <w:spacing w:val="-2"/>
        </w:rPr>
        <w:t> </w:t>
      </w:r>
      <w:r>
        <w:rPr/>
        <w:t>2013) and</w:t>
      </w:r>
      <w:r>
        <w:rPr>
          <w:spacing w:val="-3"/>
        </w:rPr>
        <w:t> </w:t>
      </w:r>
      <w:r>
        <w:rPr/>
        <w:t>decreasing P</w:t>
      </w:r>
      <w:r>
        <w:rPr>
          <w:spacing w:val="4"/>
        </w:rPr>
        <w:t> </w:t>
      </w:r>
      <w:r>
        <w:rPr/>
        <w:t>limitation</w:t>
      </w:r>
      <w:r>
        <w:rPr>
          <w:spacing w:val="5"/>
        </w:rPr>
        <w:t> </w:t>
      </w:r>
      <w:r>
        <w:rPr/>
        <w:t>due</w:t>
      </w:r>
      <w:r>
        <w:rPr>
          <w:spacing w:val="6"/>
        </w:rPr>
        <w:t> </w:t>
      </w:r>
      <w:r>
        <w:rPr/>
        <w:t>to</w:t>
      </w:r>
      <w:r>
        <w:rPr>
          <w:spacing w:val="3"/>
        </w:rPr>
        <w:t> </w:t>
      </w:r>
      <w:r>
        <w:rPr/>
        <w:t>less</w:t>
      </w:r>
      <w:r>
        <w:rPr>
          <w:spacing w:val="4"/>
        </w:rPr>
        <w:t> </w:t>
      </w:r>
      <w:r>
        <w:rPr/>
        <w:t>eroded</w:t>
      </w:r>
      <w:r>
        <w:rPr>
          <w:spacing w:val="5"/>
        </w:rPr>
        <w:t> </w:t>
      </w:r>
      <w:r>
        <w:rPr/>
        <w:t>more</w:t>
      </w:r>
      <w:r>
        <w:rPr>
          <w:spacing w:val="4"/>
        </w:rPr>
        <w:t> </w:t>
      </w:r>
      <w:r>
        <w:rPr/>
        <w:t>mineral</w:t>
      </w:r>
      <w:r>
        <w:rPr>
          <w:spacing w:val="5"/>
        </w:rPr>
        <w:t> </w:t>
      </w:r>
      <w:r>
        <w:rPr/>
        <w:t>rich</w:t>
      </w:r>
      <w:r>
        <w:rPr>
          <w:spacing w:val="4"/>
        </w:rPr>
        <w:t> </w:t>
      </w:r>
      <w:r>
        <w:rPr/>
        <w:t>soils</w:t>
      </w:r>
      <w:r>
        <w:rPr>
          <w:spacing w:val="10"/>
        </w:rPr>
        <w:t> </w:t>
      </w:r>
      <w:r>
        <w:rPr/>
        <w:t>(Fisher</w:t>
      </w:r>
      <w:r>
        <w:rPr>
          <w:spacing w:val="5"/>
        </w:rPr>
        <w:t> </w:t>
      </w:r>
      <w:r>
        <w:rPr/>
        <w:t>et</w:t>
      </w:r>
      <w:r>
        <w:rPr>
          <w:spacing w:val="4"/>
        </w:rPr>
        <w:t> </w:t>
      </w:r>
      <w:r>
        <w:rPr/>
        <w:t>al.,</w:t>
      </w:r>
      <w:r>
        <w:rPr>
          <w:spacing w:val="4"/>
        </w:rPr>
        <w:t> </w:t>
      </w:r>
      <w:r>
        <w:rPr/>
        <w:t>2013;</w:t>
      </w:r>
      <w:r>
        <w:rPr>
          <w:spacing w:val="5"/>
        </w:rPr>
        <w:t> </w:t>
      </w:r>
      <w:r>
        <w:rPr/>
        <w:t>Tanner</w:t>
      </w:r>
      <w:r>
        <w:rPr>
          <w:spacing w:val="3"/>
        </w:rPr>
        <w:t> </w:t>
      </w:r>
      <w:r>
        <w:rPr/>
        <w:t>et</w:t>
      </w:r>
      <w:r>
        <w:rPr>
          <w:spacing w:val="5"/>
        </w:rPr>
        <w:t> </w:t>
      </w:r>
      <w:r>
        <w:rPr/>
        <w:t>al.,</w:t>
      </w:r>
      <w:r>
        <w:rPr>
          <w:spacing w:val="5"/>
        </w:rPr>
        <w:t> </w:t>
      </w:r>
      <w:r>
        <w:rPr/>
        <w:t>1998)</w:t>
      </w:r>
      <w:r>
        <w:rPr>
          <w:spacing w:val="11"/>
        </w:rPr>
        <w:t> </w:t>
      </w:r>
      <w:r>
        <w:rPr>
          <w:spacing w:val="-5"/>
        </w:rPr>
        <w:t>was</w:t>
      </w:r>
    </w:p>
    <w:p>
      <w:pPr>
        <w:pStyle w:val="BodyText"/>
        <w:spacing w:after="0" w:line="360" w:lineRule="auto"/>
        <w:sectPr>
          <w:pgSz w:w="12240" w:h="15840"/>
          <w:pgMar w:header="0" w:footer="1012" w:top="1220" w:bottom="1200" w:left="850" w:right="850"/>
        </w:sectPr>
      </w:pPr>
    </w:p>
    <w:p>
      <w:pPr>
        <w:pStyle w:val="BodyText"/>
        <w:spacing w:line="360" w:lineRule="auto" w:before="37"/>
        <w:ind w:right="150"/>
      </w:pPr>
      <w:r>
        <w:rPr/>
        <w:t>supported in parts by the BA analysis as well as the models. Tree BA of N- and P- fertilized plots grew</w:t>
      </w:r>
      <w:r>
        <w:rPr>
          <w:spacing w:val="-3"/>
        </w:rPr>
        <w:t> </w:t>
      </w:r>
      <w:r>
        <w:rPr/>
        <w:t>more</w:t>
      </w:r>
      <w:r>
        <w:rPr>
          <w:spacing w:val="-2"/>
        </w:rPr>
        <w:t> </w:t>
      </w:r>
      <w:r>
        <w:rPr/>
        <w:t>similar</w:t>
      </w:r>
      <w:r>
        <w:rPr>
          <w:spacing w:val="-4"/>
        </w:rPr>
        <w:t> </w:t>
      </w:r>
      <w:r>
        <w:rPr/>
        <w:t>with altitude,</w:t>
      </w:r>
      <w:r>
        <w:rPr>
          <w:spacing w:val="-1"/>
        </w:rPr>
        <w:t> </w:t>
      </w:r>
      <w:r>
        <w:rPr/>
        <w:t>but</w:t>
      </w:r>
      <w:r>
        <w:rPr>
          <w:spacing w:val="-3"/>
        </w:rPr>
        <w:t> </w:t>
      </w:r>
      <w:r>
        <w:rPr/>
        <w:t>N</w:t>
      </w:r>
      <w:r>
        <w:rPr>
          <w:spacing w:val="-2"/>
        </w:rPr>
        <w:t> </w:t>
      </w:r>
      <w:r>
        <w:rPr/>
        <w:t>plots</w:t>
      </w:r>
      <w:r>
        <w:rPr>
          <w:spacing w:val="-1"/>
        </w:rPr>
        <w:t> </w:t>
      </w:r>
      <w:r>
        <w:rPr/>
        <w:t>did</w:t>
      </w:r>
      <w:r>
        <w:rPr>
          <w:spacing w:val="-2"/>
        </w:rPr>
        <w:t> </w:t>
      </w:r>
      <w:r>
        <w:rPr/>
        <w:t>not</w:t>
      </w:r>
      <w:r>
        <w:rPr>
          <w:spacing w:val="-3"/>
        </w:rPr>
        <w:t> </w:t>
      </w:r>
      <w:r>
        <w:rPr/>
        <w:t>overtake</w:t>
      </w:r>
      <w:r>
        <w:rPr>
          <w:spacing w:val="-1"/>
        </w:rPr>
        <w:t> </w:t>
      </w:r>
      <w:r>
        <w:rPr/>
        <w:t>P</w:t>
      </w:r>
      <w:r>
        <w:rPr>
          <w:spacing w:val="-3"/>
        </w:rPr>
        <w:t> </w:t>
      </w:r>
      <w:r>
        <w:rPr/>
        <w:t>plots even</w:t>
      </w:r>
      <w:r>
        <w:rPr>
          <w:spacing w:val="-3"/>
        </w:rPr>
        <w:t> </w:t>
      </w:r>
      <w:r>
        <w:rPr/>
        <w:t>at</w:t>
      </w:r>
      <w:r>
        <w:rPr>
          <w:spacing w:val="-3"/>
        </w:rPr>
        <w:t> </w:t>
      </w:r>
      <w:r>
        <w:rPr/>
        <w:t>the highest</w:t>
      </w:r>
      <w:r>
        <w:rPr>
          <w:spacing w:val="-3"/>
        </w:rPr>
        <w:t> </w:t>
      </w:r>
      <w:r>
        <w:rPr/>
        <w:t>elevation. P treatment seemed to show a greater response than N treatment at lower elevations, but overall plot BA growth was not significantly different. In addition, the models showed a decrease of P treatments impact with altitude, being equal to control plots at 3000m asl (Fig. S3). This is also supported by the N</w:t>
      </w:r>
      <w:r>
        <w:rPr>
          <w:rFonts w:ascii="Segoe UI Emoji" w:hAnsi="Segoe UI Emoji"/>
        </w:rPr>
        <w:t>:</w:t>
      </w:r>
      <w:r>
        <w:rPr/>
        <w:t>P ratio of leaves at the 1000m asl site being above 16, suggesting P limitation, whereas the other two sites fall into an optimal margin of 14-16 (Fisher et al., 2013; Townsend et</w:t>
      </w:r>
      <w:r>
        <w:rPr>
          <w:spacing w:val="40"/>
        </w:rPr>
        <w:t> </w:t>
      </w:r>
      <w:r>
        <w:rPr/>
        <w:t>al., 2007) judged by leaf data of Homeier et al. (2021). Overall, individual P addition treatments had the least impact and therefore exclusive P limitation probably plays a role in only a few species. Contrary to Fisher et al. (2013) findings in the Peruvian Andeans, all elevation sites in south Ecuador are to a varying degree co-limited, as N+P treatments performed best at all elevations (in BA analysis as well as models) and not as expected only in the lower/medium elevation. Long term manipulation experiments in Panama found co-limitation even at low elevations (Wright et al., 2011). In addition, an altitudinal soil analysis in Hawaii (Vitousek et al., 1988) suggests that processes slowing nitrogen cycling might also influence bioavailability of theoretically abundant rock-derived nutrients such as P at higher elevations (Dalling et al., 2016), because P concentrations were even lower at high elevations when compared to lower elevations. Furthermore, the uptake of one nutrient might be limited by the availability of another as it has been concluded in the review of Dalling et al. (2016). For example, N-mineralization was shown</w:t>
      </w:r>
      <w:r>
        <w:rPr>
          <w:spacing w:val="-1"/>
        </w:rPr>
        <w:t> </w:t>
      </w:r>
      <w:r>
        <w:rPr/>
        <w:t>to be highly P dependent (Kitayama et al., 2004) whereas P uptake is driven by N-rich enzymes and allocation to such in P limited environments (Treseder &amp; Vitousek, 2001). Co-limitation is also supported in the plots in south Ecuador by a litter analysis for the 2000m asl elevation plots individually (Homeier et al., 2012) as well as across the altitudinal gradient, showing highest litterfall decreasing with elevation under N+P treatment (Ahlers, 2016). In general, the impacts of nutrient addition seem to increase between the 1000m and the other elevations, judging by the models. Treatments at the 1000m site showed only marginal differences from control plots (Fig. 6 and Fig. S1). Therefore, nutrients might not be the main limiting factors at the 1000m elevation. Other factors such as “neighbourhood effects” and competition for light or other resources (Alvarez-Clare et al., 2013; Fortunel et al., 2016) might influence tree growth and forest composition</w:t>
      </w:r>
      <w:r>
        <w:rPr>
          <w:spacing w:val="4"/>
        </w:rPr>
        <w:t> </w:t>
      </w:r>
      <w:r>
        <w:rPr/>
        <w:t>more</w:t>
      </w:r>
      <w:r>
        <w:rPr>
          <w:spacing w:val="5"/>
        </w:rPr>
        <w:t> </w:t>
      </w:r>
      <w:r>
        <w:rPr/>
        <w:t>strongly</w:t>
      </w:r>
      <w:r>
        <w:rPr>
          <w:spacing w:val="5"/>
        </w:rPr>
        <w:t> </w:t>
      </w:r>
      <w:r>
        <w:rPr/>
        <w:t>than</w:t>
      </w:r>
      <w:r>
        <w:rPr>
          <w:spacing w:val="7"/>
        </w:rPr>
        <w:t> </w:t>
      </w:r>
      <w:r>
        <w:rPr/>
        <w:t>nutrient</w:t>
      </w:r>
      <w:r>
        <w:rPr>
          <w:spacing w:val="4"/>
        </w:rPr>
        <w:t> </w:t>
      </w:r>
      <w:r>
        <w:rPr/>
        <w:t>addition</w:t>
      </w:r>
      <w:r>
        <w:rPr>
          <w:spacing w:val="6"/>
        </w:rPr>
        <w:t> </w:t>
      </w:r>
      <w:r>
        <w:rPr/>
        <w:t>at</w:t>
      </w:r>
      <w:r>
        <w:rPr>
          <w:spacing w:val="5"/>
        </w:rPr>
        <w:t> </w:t>
      </w:r>
      <w:r>
        <w:rPr/>
        <w:t>this</w:t>
      </w:r>
      <w:r>
        <w:rPr>
          <w:spacing w:val="5"/>
        </w:rPr>
        <w:t> </w:t>
      </w:r>
      <w:r>
        <w:rPr/>
        <w:t>elevation.</w:t>
      </w:r>
      <w:r>
        <w:rPr>
          <w:spacing w:val="9"/>
        </w:rPr>
        <w:t> </w:t>
      </w:r>
      <w:r>
        <w:rPr/>
        <w:t>The</w:t>
      </w:r>
      <w:r>
        <w:rPr>
          <w:spacing w:val="5"/>
        </w:rPr>
        <w:t> </w:t>
      </w:r>
      <w:r>
        <w:rPr/>
        <w:t>2000m</w:t>
      </w:r>
      <w:r>
        <w:rPr>
          <w:spacing w:val="8"/>
        </w:rPr>
        <w:t> </w:t>
      </w:r>
      <w:r>
        <w:rPr/>
        <w:t>site</w:t>
      </w:r>
      <w:r>
        <w:rPr>
          <w:spacing w:val="6"/>
        </w:rPr>
        <w:t> </w:t>
      </w:r>
      <w:r>
        <w:rPr/>
        <w:t>is</w:t>
      </w:r>
      <w:r>
        <w:rPr>
          <w:spacing w:val="6"/>
        </w:rPr>
        <w:t> </w:t>
      </w:r>
      <w:r>
        <w:rPr/>
        <w:t>assumed</w:t>
      </w:r>
      <w:r>
        <w:rPr>
          <w:spacing w:val="7"/>
        </w:rPr>
        <w:t> </w:t>
      </w:r>
      <w:r>
        <w:rPr>
          <w:spacing w:val="-5"/>
        </w:rPr>
        <w:t>to</w:t>
      </w:r>
    </w:p>
    <w:p>
      <w:pPr>
        <w:pStyle w:val="BodyText"/>
        <w:spacing w:after="0" w:line="360" w:lineRule="auto"/>
        <w:sectPr>
          <w:pgSz w:w="12240" w:h="15840"/>
          <w:pgMar w:header="0" w:footer="1012" w:top="1220" w:bottom="1200" w:left="850" w:right="850"/>
        </w:sectPr>
      </w:pPr>
    </w:p>
    <w:p>
      <w:pPr>
        <w:pStyle w:val="BodyText"/>
        <w:spacing w:line="360" w:lineRule="auto" w:before="37"/>
        <w:ind w:right="151"/>
      </w:pPr>
      <w:r>
        <w:rPr/>
        <w:t>be limited by P in other studies, e.g., when looking at leaf traits (Siegel, 2019), or co-limited of</w:t>
      </w:r>
      <w:r>
        <w:rPr>
          <w:spacing w:val="40"/>
        </w:rPr>
        <w:t> </w:t>
      </w:r>
      <w:r>
        <w:rPr/>
        <w:t>N+P in a more holistic picture (Báez &amp; Homeier, 2018). In my study, the trees at this elevation showed strong response to N+P addition, as well as in other treatments to a smaller degree, aligning with Báez &amp; Homeiers (2018) findings for this elevation. The differences in growth response to treatments were even more profound (N+P &gt; N &gt; P &gt; C; Fig. S2) but individual N treatment did only show a non-significantly bigger BA growth than P. Judging from this data, the trend of P limitation decreasing and N limitation increasing with elevation is supported. An increasing but varying degree of co-limitation by N and P seems to be present across elevations.</w:t>
      </w:r>
    </w:p>
    <w:p>
      <w:pPr>
        <w:pStyle w:val="Heading2"/>
        <w:spacing w:before="42"/>
        <w:jc w:val="both"/>
      </w:pPr>
      <w:bookmarkStart w:name="_bookmark24" w:id="25"/>
      <w:bookmarkEnd w:id="25"/>
      <w:r>
        <w:rPr/>
      </w:r>
      <w:r>
        <w:rPr>
          <w:color w:val="2E5395"/>
        </w:rPr>
        <w:t>Role</w:t>
      </w:r>
      <w:r>
        <w:rPr>
          <w:color w:val="2E5395"/>
          <w:spacing w:val="-10"/>
        </w:rPr>
        <w:t> </w:t>
      </w:r>
      <w:r>
        <w:rPr>
          <w:color w:val="2E5395"/>
        </w:rPr>
        <w:t>of</w:t>
      </w:r>
      <w:r>
        <w:rPr>
          <w:color w:val="2E5395"/>
          <w:spacing w:val="-7"/>
        </w:rPr>
        <w:t> </w:t>
      </w:r>
      <w:r>
        <w:rPr>
          <w:color w:val="2E5395"/>
        </w:rPr>
        <w:t>Nutrient</w:t>
      </w:r>
      <w:r>
        <w:rPr>
          <w:color w:val="2E5395"/>
          <w:spacing w:val="-8"/>
        </w:rPr>
        <w:t> </w:t>
      </w:r>
      <w:r>
        <w:rPr>
          <w:color w:val="2E5395"/>
        </w:rPr>
        <w:t>Strategies</w:t>
      </w:r>
      <w:r>
        <w:rPr>
          <w:color w:val="2E5395"/>
          <w:spacing w:val="-9"/>
        </w:rPr>
        <w:t> </w:t>
      </w:r>
      <w:r>
        <w:rPr>
          <w:color w:val="2E5395"/>
        </w:rPr>
        <w:t>explained</w:t>
      </w:r>
      <w:r>
        <w:rPr>
          <w:color w:val="2E5395"/>
          <w:spacing w:val="-10"/>
        </w:rPr>
        <w:t> </w:t>
      </w:r>
      <w:r>
        <w:rPr>
          <w:color w:val="2E5395"/>
        </w:rPr>
        <w:t>by</w:t>
      </w:r>
      <w:r>
        <w:rPr>
          <w:color w:val="2E5395"/>
          <w:spacing w:val="-6"/>
        </w:rPr>
        <w:t> </w:t>
      </w:r>
      <w:r>
        <w:rPr>
          <w:color w:val="2E5395"/>
        </w:rPr>
        <w:t>Functional</w:t>
      </w:r>
      <w:r>
        <w:rPr>
          <w:color w:val="2E5395"/>
          <w:spacing w:val="-9"/>
        </w:rPr>
        <w:t> </w:t>
      </w:r>
      <w:r>
        <w:rPr>
          <w:color w:val="2E5395"/>
        </w:rPr>
        <w:t>Traits</w:t>
      </w:r>
      <w:r>
        <w:rPr>
          <w:color w:val="2E5395"/>
          <w:spacing w:val="-9"/>
        </w:rPr>
        <w:t> </w:t>
      </w:r>
      <w:r>
        <w:rPr>
          <w:color w:val="2E5395"/>
        </w:rPr>
        <w:t>concerning</w:t>
      </w:r>
      <w:r>
        <w:rPr>
          <w:color w:val="2E5395"/>
          <w:spacing w:val="-6"/>
        </w:rPr>
        <w:t> </w:t>
      </w:r>
      <w:r>
        <w:rPr>
          <w:color w:val="2E5395"/>
        </w:rPr>
        <w:t>Growth</w:t>
      </w:r>
      <w:r>
        <w:rPr>
          <w:color w:val="2E5395"/>
          <w:spacing w:val="-9"/>
        </w:rPr>
        <w:t> </w:t>
      </w:r>
      <w:r>
        <w:rPr>
          <w:color w:val="2E5395"/>
          <w:spacing w:val="-2"/>
        </w:rPr>
        <w:t>Response</w:t>
      </w:r>
    </w:p>
    <w:p>
      <w:pPr>
        <w:pStyle w:val="BodyText"/>
        <w:spacing w:line="360" w:lineRule="auto" w:before="45"/>
        <w:ind w:right="152" w:firstLine="720"/>
      </w:pPr>
      <w:r>
        <w:rPr/>
        <w:t>Now including the fast-slow spectrum brought forth by Reich (2014), the two different kinds of models (for PC1 and PC2) painted similar trends in the light of the idea of discrepancy in growth response between acquisitive and conservative species characterized by mean functional traits. All models showed clear differences between acquisitive and conservative species. Species characterised by more nutrient acquisitive traits (i.e., SLA, nutrient content) in general showed a positive relation to growth with few exceptions, whereas species characterised by nutrient conservative traits (LT and BT) showed less growth when compared to acquisitive strategies, explained by an inherent trade-off between those traits (Cárate-Tandalla et al., 2018). All models were in line with the hypothesis that acquisitive species excel in nutrient rich environments and grow faster than conservative species (Reich, 2014). Even though the 1000m elevation showed no significant variance between treatments, differences in growth of nutrient conservative versus acquisitive species was found (Fig. 6a). At 2000m site, the differences in treatment response were clearer and acquisitive species showed increased growth responses (Fig. 7a). A shift from P limitation to a more N dominant limitation as discussed before is observed at this site as, concerning nutrient strategies, N and N+P also showed a higher increase in growth in acquisitive species compared to P and control plots. Nutrient conservative species did not benefit from nutrient addition at this elevation contrasting Báez &amp; Homeier (2018) who reported a growth response of nutrient conservative species in P treatments. The increased time frame of the fertilization experiment led to the expected outperformance of acquisitive over conservative species. Major differences between acquisitive and conservative species were observed at the 3000m</w:t>
      </w:r>
      <w:r>
        <w:rPr>
          <w:spacing w:val="47"/>
        </w:rPr>
        <w:t> </w:t>
      </w:r>
      <w:r>
        <w:rPr/>
        <w:t>elevation</w:t>
      </w:r>
      <w:r>
        <w:rPr>
          <w:spacing w:val="48"/>
        </w:rPr>
        <w:t> </w:t>
      </w:r>
      <w:r>
        <w:rPr/>
        <w:t>(Fig.</w:t>
      </w:r>
      <w:r>
        <w:rPr>
          <w:spacing w:val="50"/>
        </w:rPr>
        <w:t> </w:t>
      </w:r>
      <w:r>
        <w:rPr/>
        <w:t>8a).</w:t>
      </w:r>
      <w:r>
        <w:rPr>
          <w:spacing w:val="49"/>
        </w:rPr>
        <w:t> </w:t>
      </w:r>
      <w:r>
        <w:rPr/>
        <w:t>Breaking</w:t>
      </w:r>
      <w:r>
        <w:rPr>
          <w:spacing w:val="49"/>
        </w:rPr>
        <w:t> </w:t>
      </w:r>
      <w:r>
        <w:rPr/>
        <w:t>the</w:t>
      </w:r>
      <w:r>
        <w:rPr>
          <w:spacing w:val="49"/>
        </w:rPr>
        <w:t> </w:t>
      </w:r>
      <w:r>
        <w:rPr/>
        <w:t>trend</w:t>
      </w:r>
      <w:r>
        <w:rPr>
          <w:spacing w:val="48"/>
        </w:rPr>
        <w:t> </w:t>
      </w:r>
      <w:r>
        <w:rPr/>
        <w:t>seen</w:t>
      </w:r>
      <w:r>
        <w:rPr>
          <w:spacing w:val="49"/>
        </w:rPr>
        <w:t> </w:t>
      </w:r>
      <w:r>
        <w:rPr/>
        <w:t>in</w:t>
      </w:r>
      <w:r>
        <w:rPr>
          <w:spacing w:val="49"/>
        </w:rPr>
        <w:t> </w:t>
      </w:r>
      <w:r>
        <w:rPr/>
        <w:t>the</w:t>
      </w:r>
      <w:r>
        <w:rPr>
          <w:spacing w:val="48"/>
        </w:rPr>
        <w:t> </w:t>
      </w:r>
      <w:r>
        <w:rPr/>
        <w:t>other</w:t>
      </w:r>
      <w:r>
        <w:rPr>
          <w:spacing w:val="51"/>
        </w:rPr>
        <w:t> </w:t>
      </w:r>
      <w:r>
        <w:rPr/>
        <w:t>models,</w:t>
      </w:r>
      <w:r>
        <w:rPr>
          <w:spacing w:val="49"/>
        </w:rPr>
        <w:t> </w:t>
      </w:r>
      <w:r>
        <w:rPr/>
        <w:t>conservative</w:t>
      </w:r>
      <w:r>
        <w:rPr>
          <w:spacing w:val="52"/>
        </w:rPr>
        <w:t> </w:t>
      </w:r>
      <w:r>
        <w:rPr>
          <w:spacing w:val="-2"/>
        </w:rPr>
        <w:t>species</w:t>
      </w:r>
    </w:p>
    <w:p>
      <w:pPr>
        <w:pStyle w:val="BodyText"/>
        <w:spacing w:after="0" w:line="360" w:lineRule="auto"/>
        <w:sectPr>
          <w:pgSz w:w="12240" w:h="15840"/>
          <w:pgMar w:header="0" w:footer="1012" w:top="1220" w:bottom="1200" w:left="850" w:right="850"/>
        </w:sectPr>
      </w:pPr>
    </w:p>
    <w:p>
      <w:pPr>
        <w:pStyle w:val="BodyText"/>
        <w:spacing w:line="360" w:lineRule="auto" w:before="37"/>
        <w:ind w:right="152"/>
      </w:pPr>
      <w:r>
        <w:rPr/>
        <w:t>responded positively to N+P treatment with the highest growth response in the model overall being seen</w:t>
      </w:r>
      <w:r>
        <w:rPr>
          <w:spacing w:val="-1"/>
        </w:rPr>
        <w:t> </w:t>
      </w:r>
      <w:r>
        <w:rPr/>
        <w:t>in high</w:t>
      </w:r>
      <w:r>
        <w:rPr>
          <w:spacing w:val="-1"/>
        </w:rPr>
        <w:t> </w:t>
      </w:r>
      <w:r>
        <w:rPr/>
        <w:t>PC1 scores under</w:t>
      </w:r>
      <w:r>
        <w:rPr>
          <w:spacing w:val="-1"/>
        </w:rPr>
        <w:t> </w:t>
      </w:r>
      <w:r>
        <w:rPr/>
        <w:t>N+P</w:t>
      </w:r>
      <w:r>
        <w:rPr>
          <w:spacing w:val="-1"/>
        </w:rPr>
        <w:t> </w:t>
      </w:r>
      <w:r>
        <w:rPr/>
        <w:t>addition. Only</w:t>
      </w:r>
      <w:r>
        <w:rPr>
          <w:spacing w:val="-1"/>
        </w:rPr>
        <w:t> </w:t>
      </w:r>
      <w:r>
        <w:rPr/>
        <w:t>in</w:t>
      </w:r>
      <w:r>
        <w:rPr>
          <w:spacing w:val="-1"/>
        </w:rPr>
        <w:t> </w:t>
      </w:r>
      <w:r>
        <w:rPr/>
        <w:t>individual N treatments did</w:t>
      </w:r>
      <w:r>
        <w:rPr>
          <w:spacing w:val="-1"/>
        </w:rPr>
        <w:t> </w:t>
      </w:r>
      <w:r>
        <w:rPr/>
        <w:t>acquisitive species grow more than conservative species when administered with the same treatment, supporting a strong N limitation but little P limitation of acquisitive species at high elevations. The strong response of conservative species to N+P addition might be due to the highly variable trait-based response as seen for N in comparison to P (Dalling et al., 2016). Whereas Baéz &amp; Homeier (2018) did find responses of nutrient conservative species based on the PC1 score for the 2000m asl site - which was not seen as distinctly in my study (Fig. 6a) – to my knowledge no responses to N+P in conservative species without a response to individual treatments has been recorded prior to this study. This suggests a strong N+P limitation of conservative species with acquisitive species being mainly limited by N alone at the highest elevation. However, the model for this site was one of the worst fitting models with an ΔAIC of 8.55 so the results should be interpreted with care.</w:t>
      </w:r>
    </w:p>
    <w:p>
      <w:pPr>
        <w:pStyle w:val="BodyText"/>
        <w:spacing w:line="360" w:lineRule="auto"/>
        <w:ind w:right="151" w:firstLine="720"/>
        <w:rPr>
          <w:position w:val="2"/>
        </w:rPr>
      </w:pPr>
      <w:r>
        <w:rPr/>
        <w:t>The hypothesis that acquisitive species respond more strongly to nutrient addition was supported by all models including the PC2 axis (Fig. 6b, 7b, 8b). The theory behind this finding is that species with higher hydraulic conductivity and more efficient water transportation, achieved through higher investment into VDia as well as KS, can transport water and nutrients more efficiently (Poorter et al., 2010). Albeit, they trade this fast nutrient acquisition for the protection against embolism under low water supply that dense, small vessels offer (Sedio et al., 2012). Poorter</w:t>
      </w:r>
      <w:r>
        <w:rPr>
          <w:spacing w:val="-2"/>
        </w:rPr>
        <w:t> </w:t>
      </w:r>
      <w:r>
        <w:rPr/>
        <w:t>et</w:t>
      </w:r>
      <w:r>
        <w:rPr>
          <w:spacing w:val="-1"/>
        </w:rPr>
        <w:t> </w:t>
      </w:r>
      <w:r>
        <w:rPr/>
        <w:t>al. (2010) studied rainforest</w:t>
      </w:r>
      <w:r>
        <w:rPr>
          <w:spacing w:val="-1"/>
        </w:rPr>
        <w:t> </w:t>
      </w:r>
      <w:r>
        <w:rPr/>
        <w:t>species and showed the first</w:t>
      </w:r>
      <w:r>
        <w:rPr>
          <w:spacing w:val="-1"/>
        </w:rPr>
        <w:t> </w:t>
      </w:r>
      <w:r>
        <w:rPr/>
        <w:t>in-field example</w:t>
      </w:r>
      <w:r>
        <w:rPr>
          <w:spacing w:val="-1"/>
        </w:rPr>
        <w:t> </w:t>
      </w:r>
      <w:r>
        <w:rPr/>
        <w:t>of</w:t>
      </w:r>
      <w:r>
        <w:rPr>
          <w:spacing w:val="-1"/>
        </w:rPr>
        <w:t> </w:t>
      </w:r>
      <w:r>
        <w:rPr/>
        <w:t>the positive relation between VDia and hydraulic conductivity to growth. The species at the 1000m asl and 3000m asl sites that had a 3</w:t>
      </w:r>
      <w:r>
        <w:rPr>
          <w:vertAlign w:val="superscript"/>
        </w:rPr>
        <w:t>rd</w:t>
      </w:r>
      <w:r>
        <w:rPr>
          <w:vertAlign w:val="baseline"/>
        </w:rPr>
        <w:t> Quarter or higher (0.70 and 0.89, respectively) showed no significantly</w:t>
      </w:r>
      <w:r>
        <w:rPr>
          <w:spacing w:val="-2"/>
          <w:vertAlign w:val="baseline"/>
        </w:rPr>
        <w:t> </w:t>
      </w:r>
      <w:r>
        <w:rPr>
          <w:vertAlign w:val="baseline"/>
        </w:rPr>
        <w:t>differing</w:t>
      </w:r>
      <w:r>
        <w:rPr>
          <w:spacing w:val="-1"/>
          <w:vertAlign w:val="baseline"/>
        </w:rPr>
        <w:t> </w:t>
      </w:r>
      <w:r>
        <w:rPr>
          <w:vertAlign w:val="baseline"/>
        </w:rPr>
        <w:t>mean</w:t>
      </w:r>
      <w:r>
        <w:rPr>
          <w:spacing w:val="-3"/>
          <w:vertAlign w:val="baseline"/>
        </w:rPr>
        <w:t> </w:t>
      </w:r>
      <w:r>
        <w:rPr>
          <w:vertAlign w:val="baseline"/>
        </w:rPr>
        <w:t>PC1</w:t>
      </w:r>
      <w:r>
        <w:rPr>
          <w:spacing w:val="-4"/>
          <w:vertAlign w:val="baseline"/>
        </w:rPr>
        <w:t> </w:t>
      </w:r>
      <w:r>
        <w:rPr>
          <w:vertAlign w:val="baseline"/>
        </w:rPr>
        <w:t>scores</w:t>
      </w:r>
      <w:r>
        <w:rPr>
          <w:spacing w:val="-2"/>
          <w:vertAlign w:val="baseline"/>
        </w:rPr>
        <w:t> </w:t>
      </w:r>
      <w:r>
        <w:rPr>
          <w:vertAlign w:val="baseline"/>
        </w:rPr>
        <w:t>in</w:t>
      </w:r>
      <w:r>
        <w:rPr>
          <w:spacing w:val="-2"/>
          <w:vertAlign w:val="baseline"/>
        </w:rPr>
        <w:t> </w:t>
      </w:r>
      <w:r>
        <w:rPr>
          <w:vertAlign w:val="baseline"/>
        </w:rPr>
        <w:t>comparison</w:t>
      </w:r>
      <w:r>
        <w:rPr>
          <w:spacing w:val="-3"/>
          <w:vertAlign w:val="baseline"/>
        </w:rPr>
        <w:t> </w:t>
      </w:r>
      <w:r>
        <w:rPr>
          <w:vertAlign w:val="baseline"/>
        </w:rPr>
        <w:t>to</w:t>
      </w:r>
      <w:r>
        <w:rPr>
          <w:spacing w:val="-1"/>
          <w:vertAlign w:val="baseline"/>
        </w:rPr>
        <w:t> </w:t>
      </w:r>
      <w:r>
        <w:rPr>
          <w:vertAlign w:val="baseline"/>
        </w:rPr>
        <w:t>all</w:t>
      </w:r>
      <w:r>
        <w:rPr>
          <w:spacing w:val="-2"/>
          <w:vertAlign w:val="baseline"/>
        </w:rPr>
        <w:t> </w:t>
      </w:r>
      <w:r>
        <w:rPr>
          <w:vertAlign w:val="baseline"/>
        </w:rPr>
        <w:t>recorded</w:t>
      </w:r>
      <w:r>
        <w:rPr>
          <w:spacing w:val="-3"/>
          <w:vertAlign w:val="baseline"/>
        </w:rPr>
        <w:t> </w:t>
      </w:r>
      <w:r>
        <w:rPr>
          <w:vertAlign w:val="baseline"/>
        </w:rPr>
        <w:t>species</w:t>
      </w:r>
      <w:r>
        <w:rPr>
          <w:spacing w:val="-2"/>
          <w:vertAlign w:val="baseline"/>
        </w:rPr>
        <w:t> </w:t>
      </w:r>
      <w:r>
        <w:rPr>
          <w:vertAlign w:val="baseline"/>
        </w:rPr>
        <w:t>at</w:t>
      </w:r>
      <w:r>
        <w:rPr>
          <w:spacing w:val="-4"/>
          <w:vertAlign w:val="baseline"/>
        </w:rPr>
        <w:t> </w:t>
      </w:r>
      <w:r>
        <w:rPr>
          <w:vertAlign w:val="baseline"/>
        </w:rPr>
        <w:t>the</w:t>
      </w:r>
      <w:r>
        <w:rPr>
          <w:spacing w:val="-3"/>
          <w:vertAlign w:val="baseline"/>
        </w:rPr>
        <w:t> </w:t>
      </w:r>
      <w:r>
        <w:rPr>
          <w:vertAlign w:val="baseline"/>
        </w:rPr>
        <w:t>same</w:t>
      </w:r>
      <w:r>
        <w:rPr>
          <w:spacing w:val="-2"/>
          <w:vertAlign w:val="baseline"/>
        </w:rPr>
        <w:t> </w:t>
      </w:r>
      <w:r>
        <w:rPr>
          <w:vertAlign w:val="baseline"/>
        </w:rPr>
        <w:t>site</w:t>
      </w:r>
      <w:r>
        <w:rPr>
          <w:spacing w:val="-3"/>
          <w:vertAlign w:val="baseline"/>
        </w:rPr>
        <w:t> </w:t>
      </w:r>
      <w:r>
        <w:rPr>
          <w:vertAlign w:val="baseline"/>
        </w:rPr>
        <w:t>(two-</w:t>
      </w:r>
      <w:r>
        <w:rPr>
          <w:position w:val="2"/>
          <w:vertAlign w:val="baseline"/>
        </w:rPr>
        <w:t>sample</w:t>
      </w:r>
      <w:r>
        <w:rPr>
          <w:spacing w:val="27"/>
          <w:position w:val="2"/>
          <w:vertAlign w:val="baseline"/>
        </w:rPr>
        <w:t> </w:t>
      </w:r>
      <w:r>
        <w:rPr>
          <w:position w:val="2"/>
          <w:vertAlign w:val="baseline"/>
        </w:rPr>
        <w:t>t</w:t>
      </w:r>
      <w:r>
        <w:rPr>
          <w:sz w:val="16"/>
          <w:vertAlign w:val="baseline"/>
        </w:rPr>
        <w:t>1000-PC1</w:t>
      </w:r>
      <w:r>
        <w:rPr>
          <w:position w:val="2"/>
          <w:vertAlign w:val="baseline"/>
        </w:rPr>
        <w:t>(55.796)</w:t>
      </w:r>
      <w:r>
        <w:rPr>
          <w:spacing w:val="25"/>
          <w:position w:val="2"/>
          <w:vertAlign w:val="baseline"/>
        </w:rPr>
        <w:t> </w:t>
      </w:r>
      <w:r>
        <w:rPr>
          <w:position w:val="2"/>
          <w:vertAlign w:val="baseline"/>
        </w:rPr>
        <w:t>=</w:t>
      </w:r>
      <w:r>
        <w:rPr>
          <w:spacing w:val="27"/>
          <w:position w:val="2"/>
          <w:vertAlign w:val="baseline"/>
        </w:rPr>
        <w:t> </w:t>
      </w:r>
      <w:r>
        <w:rPr>
          <w:position w:val="2"/>
          <w:vertAlign w:val="baseline"/>
        </w:rPr>
        <w:t>0.77895,</w:t>
      </w:r>
      <w:r>
        <w:rPr>
          <w:spacing w:val="27"/>
          <w:position w:val="2"/>
          <w:vertAlign w:val="baseline"/>
        </w:rPr>
        <w:t> </w:t>
      </w:r>
      <w:r>
        <w:rPr>
          <w:position w:val="2"/>
          <w:vertAlign w:val="baseline"/>
        </w:rPr>
        <w:t>p</w:t>
      </w:r>
      <w:r>
        <w:rPr>
          <w:spacing w:val="27"/>
          <w:position w:val="2"/>
          <w:vertAlign w:val="baseline"/>
        </w:rPr>
        <w:t> </w:t>
      </w:r>
      <w:r>
        <w:rPr>
          <w:position w:val="2"/>
          <w:vertAlign w:val="baseline"/>
        </w:rPr>
        <w:t>=</w:t>
      </w:r>
      <w:r>
        <w:rPr>
          <w:spacing w:val="27"/>
          <w:position w:val="2"/>
          <w:vertAlign w:val="baseline"/>
        </w:rPr>
        <w:t> </w:t>
      </w:r>
      <w:r>
        <w:rPr>
          <w:position w:val="2"/>
          <w:vertAlign w:val="baseline"/>
        </w:rPr>
        <w:t>0.4393;</w:t>
      </w:r>
      <w:r>
        <w:rPr>
          <w:spacing w:val="26"/>
          <w:position w:val="2"/>
          <w:vertAlign w:val="baseline"/>
        </w:rPr>
        <w:t> </w:t>
      </w:r>
      <w:r>
        <w:rPr>
          <w:position w:val="2"/>
          <w:vertAlign w:val="baseline"/>
        </w:rPr>
        <w:t>two-sample</w:t>
      </w:r>
      <w:r>
        <w:rPr>
          <w:spacing w:val="27"/>
          <w:position w:val="2"/>
          <w:vertAlign w:val="baseline"/>
        </w:rPr>
        <w:t> </w:t>
      </w:r>
      <w:r>
        <w:rPr>
          <w:position w:val="2"/>
          <w:vertAlign w:val="baseline"/>
        </w:rPr>
        <w:t>t</w:t>
      </w:r>
      <w:r>
        <w:rPr>
          <w:sz w:val="16"/>
          <w:vertAlign w:val="baseline"/>
        </w:rPr>
        <w:t>3000-PC1</w:t>
      </w:r>
      <w:r>
        <w:rPr>
          <w:position w:val="2"/>
          <w:vertAlign w:val="baseline"/>
        </w:rPr>
        <w:t>(21.416)</w:t>
      </w:r>
      <w:r>
        <w:rPr>
          <w:spacing w:val="27"/>
          <w:position w:val="2"/>
          <w:vertAlign w:val="baseline"/>
        </w:rPr>
        <w:t> </w:t>
      </w:r>
      <w:r>
        <w:rPr>
          <w:position w:val="2"/>
          <w:vertAlign w:val="baseline"/>
        </w:rPr>
        <w:t>=</w:t>
      </w:r>
      <w:r>
        <w:rPr>
          <w:spacing w:val="27"/>
          <w:position w:val="2"/>
          <w:vertAlign w:val="baseline"/>
        </w:rPr>
        <w:t> </w:t>
      </w:r>
      <w:r>
        <w:rPr>
          <w:position w:val="2"/>
          <w:vertAlign w:val="baseline"/>
        </w:rPr>
        <w:t>-0.12817,</w:t>
      </w:r>
      <w:r>
        <w:rPr>
          <w:spacing w:val="27"/>
          <w:position w:val="2"/>
          <w:vertAlign w:val="baseline"/>
        </w:rPr>
        <w:t> </w:t>
      </w:r>
      <w:r>
        <w:rPr>
          <w:position w:val="2"/>
          <w:vertAlign w:val="baseline"/>
        </w:rPr>
        <w:t>p</w:t>
      </w:r>
      <w:r>
        <w:rPr>
          <w:spacing w:val="27"/>
          <w:position w:val="2"/>
          <w:vertAlign w:val="baseline"/>
        </w:rPr>
        <w:t> </w:t>
      </w:r>
      <w:r>
        <w:rPr>
          <w:position w:val="2"/>
          <w:vertAlign w:val="baseline"/>
        </w:rPr>
        <w:t>=</w:t>
      </w:r>
      <w:r>
        <w:rPr>
          <w:spacing w:val="27"/>
          <w:position w:val="2"/>
          <w:vertAlign w:val="baseline"/>
        </w:rPr>
        <w:t> </w:t>
      </w:r>
      <w:r>
        <w:rPr>
          <w:position w:val="2"/>
          <w:vertAlign w:val="baseline"/>
        </w:rPr>
        <w:t>0.8992).</w:t>
      </w:r>
    </w:p>
    <w:p>
      <w:pPr>
        <w:pStyle w:val="BodyText"/>
        <w:spacing w:line="360" w:lineRule="auto"/>
        <w:ind w:right="152"/>
      </w:pPr>
      <w:r>
        <w:rPr/>
        <w:t>Only at the 2000m asl site, species with a PC2 score in the 1</w:t>
      </w:r>
      <w:r>
        <w:rPr>
          <w:vertAlign w:val="superscript"/>
        </w:rPr>
        <w:t>st</w:t>
      </w:r>
      <w:r>
        <w:rPr>
          <w:vertAlign w:val="baseline"/>
        </w:rPr>
        <w:t> Quarter or lower (- 0.72) showed significantly different mean PC1 scores compared to all species at the 2000m asl site (two-sample </w:t>
      </w:r>
      <w:r>
        <w:rPr>
          <w:position w:val="2"/>
          <w:vertAlign w:val="baseline"/>
        </w:rPr>
        <w:t>t</w:t>
      </w:r>
      <w:r>
        <w:rPr>
          <w:sz w:val="16"/>
          <w:vertAlign w:val="baseline"/>
        </w:rPr>
        <w:t>2000-PC1</w:t>
      </w:r>
      <w:r>
        <w:rPr>
          <w:position w:val="2"/>
          <w:vertAlign w:val="baseline"/>
        </w:rPr>
        <w:t>(87.435) = -3.2571, p = 0.001603). However, they were not associated with more acquisitive </w:t>
      </w:r>
      <w:r>
        <w:rPr>
          <w:vertAlign w:val="baseline"/>
        </w:rPr>
        <w:t>traits concerning the PC1</w:t>
      </w:r>
      <w:r>
        <w:rPr>
          <w:spacing w:val="-2"/>
          <w:vertAlign w:val="baseline"/>
        </w:rPr>
        <w:t> </w:t>
      </w:r>
      <w:r>
        <w:rPr>
          <w:vertAlign w:val="baseline"/>
        </w:rPr>
        <w:t>axis. They rather</w:t>
      </w:r>
      <w:r>
        <w:rPr>
          <w:spacing w:val="-1"/>
          <w:vertAlign w:val="baseline"/>
        </w:rPr>
        <w:t> </w:t>
      </w:r>
      <w:r>
        <w:rPr>
          <w:vertAlign w:val="baseline"/>
        </w:rPr>
        <w:t>showed a</w:t>
      </w:r>
      <w:r>
        <w:rPr>
          <w:spacing w:val="-1"/>
          <w:vertAlign w:val="baseline"/>
        </w:rPr>
        <w:t> </w:t>
      </w:r>
      <w:r>
        <w:rPr>
          <w:vertAlign w:val="baseline"/>
        </w:rPr>
        <w:t>higher</w:t>
      </w:r>
      <w:r>
        <w:rPr>
          <w:spacing w:val="-1"/>
          <w:vertAlign w:val="baseline"/>
        </w:rPr>
        <w:t> </w:t>
      </w:r>
      <w:r>
        <w:rPr>
          <w:vertAlign w:val="baseline"/>
        </w:rPr>
        <w:t>mean</w:t>
      </w:r>
      <w:r>
        <w:rPr>
          <w:spacing w:val="-1"/>
          <w:vertAlign w:val="baseline"/>
        </w:rPr>
        <w:t> </w:t>
      </w:r>
      <w:r>
        <w:rPr>
          <w:vertAlign w:val="baseline"/>
        </w:rPr>
        <w:t>PC1</w:t>
      </w:r>
      <w:r>
        <w:rPr>
          <w:spacing w:val="-2"/>
          <w:vertAlign w:val="baseline"/>
        </w:rPr>
        <w:t> </w:t>
      </w:r>
      <w:r>
        <w:rPr>
          <w:vertAlign w:val="baseline"/>
        </w:rPr>
        <w:t>score, being associated with more conservative nutrient strategies. An interconnected influence of traits on one another has been</w:t>
      </w:r>
      <w:r>
        <w:rPr>
          <w:spacing w:val="-1"/>
          <w:vertAlign w:val="baseline"/>
        </w:rPr>
        <w:t> </w:t>
      </w:r>
      <w:r>
        <w:rPr>
          <w:vertAlign w:val="baseline"/>
        </w:rPr>
        <w:t>seen</w:t>
      </w:r>
      <w:r>
        <w:rPr>
          <w:spacing w:val="-1"/>
          <w:vertAlign w:val="baseline"/>
        </w:rPr>
        <w:t> </w:t>
      </w:r>
      <w:r>
        <w:rPr>
          <w:vertAlign w:val="baseline"/>
        </w:rPr>
        <w:t>for</w:t>
      </w:r>
      <w:r>
        <w:rPr>
          <w:spacing w:val="-2"/>
          <w:vertAlign w:val="baseline"/>
        </w:rPr>
        <w:t> </w:t>
      </w:r>
      <w:r>
        <w:rPr>
          <w:vertAlign w:val="baseline"/>
        </w:rPr>
        <w:t>a</w:t>
      </w:r>
      <w:r>
        <w:rPr>
          <w:spacing w:val="-1"/>
          <w:vertAlign w:val="baseline"/>
        </w:rPr>
        <w:t> </w:t>
      </w:r>
      <w:r>
        <w:rPr>
          <w:vertAlign w:val="baseline"/>
        </w:rPr>
        <w:t>variety of</w:t>
      </w:r>
      <w:r>
        <w:rPr>
          <w:spacing w:val="-1"/>
          <w:vertAlign w:val="baseline"/>
        </w:rPr>
        <w:t> </w:t>
      </w:r>
      <w:r>
        <w:rPr>
          <w:vertAlign w:val="baseline"/>
        </w:rPr>
        <w:t>tree traits (Reich, 2014) and hydraulic conductance</w:t>
      </w:r>
      <w:r>
        <w:rPr>
          <w:spacing w:val="-1"/>
          <w:vertAlign w:val="baseline"/>
        </w:rPr>
        <w:t> </w:t>
      </w:r>
      <w:r>
        <w:rPr>
          <w:vertAlign w:val="baseline"/>
        </w:rPr>
        <w:t>has been observed to</w:t>
      </w:r>
    </w:p>
    <w:p>
      <w:pPr>
        <w:pStyle w:val="BodyText"/>
        <w:spacing w:after="0" w:line="360" w:lineRule="auto"/>
        <w:sectPr>
          <w:pgSz w:w="12240" w:h="15840"/>
          <w:pgMar w:header="0" w:footer="1012" w:top="1220" w:bottom="1200" w:left="850" w:right="850"/>
        </w:sectPr>
      </w:pPr>
    </w:p>
    <w:p>
      <w:pPr>
        <w:pStyle w:val="BodyText"/>
        <w:spacing w:line="360" w:lineRule="auto" w:before="37"/>
        <w:ind w:right="151"/>
      </w:pPr>
      <w:r>
        <w:rPr/>
        <w:t>positively correlate with leaf size (Song et al., 2018). Although, high investment into hydraulic traits such as VDia and KS identified in my study do not correlate with nutrient acquisitive leaf traits it fails to further explain the growth response of high hydraulic investing species. Hydraulic traits also showed the strongest response to N+P addition across the elevation. Due to the differing effects of nutrients on acquisitive species, outcompeting of conservative species under nutrient rich conditions is highly likely (Báez &amp; Homeier, 2018; Werner &amp; Homeier, 2015) as they would be no longer restricted to locally distributed fertile soils. This would lead to a decline in</w:t>
      </w:r>
      <w:r>
        <w:rPr>
          <w:spacing w:val="40"/>
        </w:rPr>
        <w:t> </w:t>
      </w:r>
      <w:r>
        <w:rPr/>
        <w:t>tree diversity and shifts in forest composition. Following this, changes in carbon cycles, physiognomy as well as other ecosystem functions are to be expected. In general, both resource and hydraulic strategies derived from functional traits were a good predictor of growth response</w:t>
      </w:r>
      <w:r>
        <w:rPr>
          <w:spacing w:val="40"/>
        </w:rPr>
        <w:t> </w:t>
      </w:r>
      <w:r>
        <w:rPr/>
        <w:t>to nutrient addition and can help understand nutrient limitation across the elevation gradient.</w:t>
      </w:r>
    </w:p>
    <w:p>
      <w:pPr>
        <w:pStyle w:val="BodyText"/>
        <w:spacing w:line="360" w:lineRule="auto"/>
        <w:ind w:right="151" w:firstLine="720"/>
      </w:pPr>
      <w:r>
        <w:rPr/>
        <w:t>In all models, initial BA was the most significant predictor as judged by the forest plots</w:t>
      </w:r>
      <w:r>
        <w:rPr>
          <w:spacing w:val="40"/>
        </w:rPr>
        <w:t> </w:t>
      </w:r>
      <w:r>
        <w:rPr/>
        <w:t>(Fig. S4-6), most likely as bigger trees tend to show higher growth by nature (Tabata et al., 2015; Homeier, personal communication, July 28, 2021). N treatment appeared more often as a significant predictor than did P treatment, suggesting a bigger effect of N addition compared to P addition. Only in the best fitting model for the well-studied 2000m elevation (Fig. 7b) was PC2 a minor significant, negative predictor in the model. Due to this, the results of the models in light</w:t>
      </w:r>
      <w:r>
        <w:rPr>
          <w:spacing w:val="80"/>
        </w:rPr>
        <w:t> </w:t>
      </w:r>
      <w:r>
        <w:rPr/>
        <w:t>of functional strategy should be interpreted with care, as functional traits do not seem to be as influential on growth under nutrient addition as was expected. If a more holistic picture of traits would be known, for example including root traits into the PCAs, the quality of PC scores as predictors</w:t>
      </w:r>
      <w:r>
        <w:rPr>
          <w:spacing w:val="-1"/>
        </w:rPr>
        <w:t> </w:t>
      </w:r>
      <w:r>
        <w:rPr/>
        <w:t>could likely</w:t>
      </w:r>
      <w:r>
        <w:rPr>
          <w:spacing w:val="-1"/>
        </w:rPr>
        <w:t> </w:t>
      </w:r>
      <w:r>
        <w:rPr/>
        <w:t>be</w:t>
      </w:r>
      <w:r>
        <w:rPr>
          <w:spacing w:val="-1"/>
        </w:rPr>
        <w:t> </w:t>
      </w:r>
      <w:r>
        <w:rPr/>
        <w:t>improved. However, there</w:t>
      </w:r>
      <w:r>
        <w:rPr>
          <w:spacing w:val="-2"/>
        </w:rPr>
        <w:t> </w:t>
      </w:r>
      <w:r>
        <w:rPr/>
        <w:t>are</w:t>
      </w:r>
      <w:r>
        <w:rPr>
          <w:spacing w:val="-2"/>
        </w:rPr>
        <w:t> </w:t>
      </w:r>
      <w:r>
        <w:rPr/>
        <w:t>very</w:t>
      </w:r>
      <w:r>
        <w:rPr>
          <w:spacing w:val="-2"/>
        </w:rPr>
        <w:t> </w:t>
      </w:r>
      <w:r>
        <w:rPr/>
        <w:t>little</w:t>
      </w:r>
      <w:r>
        <w:rPr>
          <w:spacing w:val="-2"/>
        </w:rPr>
        <w:t> </w:t>
      </w:r>
      <w:r>
        <w:rPr/>
        <w:t>studies</w:t>
      </w:r>
      <w:r>
        <w:rPr>
          <w:spacing w:val="-1"/>
        </w:rPr>
        <w:t> </w:t>
      </w:r>
      <w:r>
        <w:rPr/>
        <w:t>on</w:t>
      </w:r>
      <w:r>
        <w:rPr>
          <w:spacing w:val="-2"/>
        </w:rPr>
        <w:t> </w:t>
      </w:r>
      <w:r>
        <w:rPr/>
        <w:t>root</w:t>
      </w:r>
      <w:r>
        <w:rPr>
          <w:spacing w:val="-3"/>
        </w:rPr>
        <w:t> </w:t>
      </w:r>
      <w:r>
        <w:rPr/>
        <w:t>traits (Pierick</w:t>
      </w:r>
      <w:r>
        <w:rPr>
          <w:spacing w:val="-1"/>
        </w:rPr>
        <w:t> </w:t>
      </w:r>
      <w:r>
        <w:rPr/>
        <w:t>et al., 2021) and the root traits gathered during the study period for these three sites did not provide enough data to construct meaningful PCAs. Competition for resources such as light (Fortunel et al., 2016; Homeier, personal communication, July 28, 2021), soil and productivity differences due</w:t>
      </w:r>
      <w:r>
        <w:rPr>
          <w:spacing w:val="40"/>
        </w:rPr>
        <w:t> </w:t>
      </w:r>
      <w:r>
        <w:rPr/>
        <w:t>to varying slope (Wolf</w:t>
      </w:r>
      <w:r>
        <w:rPr>
          <w:spacing w:val="-1"/>
        </w:rPr>
        <w:t> </w:t>
      </w:r>
      <w:r>
        <w:rPr/>
        <w:t>et al., 2011) as well as factors following nutrient addition such as changes in herbivory, which has been shown to be variably with elevation (Bergamnn, 2017; Cárate-Tandalla et al., 2015), also influence the growth response of trees to nutrient addition but are not incorporated into this analysis. Therefore, the extent on how influential these factors are would need to be assessed in another study building upon the models of this bachelor thesis.</w:t>
      </w:r>
    </w:p>
    <w:p>
      <w:pPr>
        <w:pStyle w:val="BodyText"/>
        <w:spacing w:after="0" w:line="360" w:lineRule="auto"/>
        <w:sectPr>
          <w:pgSz w:w="12240" w:h="15840"/>
          <w:pgMar w:header="0" w:footer="1012" w:top="1220" w:bottom="1200" w:left="850" w:right="850"/>
        </w:sectPr>
      </w:pPr>
    </w:p>
    <w:p>
      <w:pPr>
        <w:pStyle w:val="BodyText"/>
        <w:spacing w:line="360" w:lineRule="auto" w:before="37"/>
        <w:ind w:right="153" w:firstLine="720"/>
      </w:pPr>
      <w:r>
        <w:rPr/>
        <w:t>Closing the model</w:t>
      </w:r>
      <w:r>
        <w:rPr>
          <w:spacing w:val="-1"/>
        </w:rPr>
        <w:t> </w:t>
      </w:r>
      <w:r>
        <w:rPr/>
        <w:t>error</w:t>
      </w:r>
      <w:r>
        <w:rPr>
          <w:spacing w:val="-2"/>
        </w:rPr>
        <w:t> </w:t>
      </w:r>
      <w:r>
        <w:rPr/>
        <w:t>discussion, the best</w:t>
      </w:r>
      <w:r>
        <w:rPr>
          <w:spacing w:val="-1"/>
        </w:rPr>
        <w:t> </w:t>
      </w:r>
      <w:r>
        <w:rPr/>
        <w:t>fitting</w:t>
      </w:r>
      <w:r>
        <w:rPr>
          <w:spacing w:val="-1"/>
        </w:rPr>
        <w:t> </w:t>
      </w:r>
      <w:r>
        <w:rPr/>
        <w:t>model (ΔAIC =</w:t>
      </w:r>
      <w:r>
        <w:rPr>
          <w:spacing w:val="-1"/>
        </w:rPr>
        <w:t> </w:t>
      </w:r>
      <w:r>
        <w:rPr/>
        <w:t>0) for</w:t>
      </w:r>
      <w:r>
        <w:rPr>
          <w:spacing w:val="-2"/>
        </w:rPr>
        <w:t> </w:t>
      </w:r>
      <w:r>
        <w:rPr/>
        <w:t>each elevation</w:t>
      </w:r>
      <w:r>
        <w:rPr>
          <w:spacing w:val="-1"/>
        </w:rPr>
        <w:t> </w:t>
      </w:r>
      <w:r>
        <w:rPr/>
        <w:t>did not include a PC axis (with one exception at 2000m asl, Tab. S3). All models used for extracting predictions showed a ΔAIC smaller than 10, two even smaller than 6 and should therefore not be per se rejected (Symonds &amp; Moussalli, 2011). For the models between 10 and 6, there stands no plausible reason to reject them, as they incorporate an important and not randomly varying information (as seen by the similarities in PPCA orientation and trait overlap between sites), that is essential for the hypothesis I was testing for. Therefore, they should not be rejected, and conclusions drawn from them are not inherently flawed, but should be interpreted with care Further studies that try to create an across elevation model and include other predictors such as elevation or use data from an even longer timeframe could help improve the models.</w:t>
      </w:r>
    </w:p>
    <w:p>
      <w:pPr>
        <w:pStyle w:val="Heading2"/>
        <w:spacing w:before="42"/>
      </w:pPr>
      <w:bookmarkStart w:name="_bookmark25" w:id="26"/>
      <w:bookmarkEnd w:id="26"/>
      <w:r>
        <w:rPr/>
      </w:r>
      <w:r>
        <w:rPr>
          <w:color w:val="2E5395"/>
        </w:rPr>
        <w:t>Species-specific</w:t>
      </w:r>
      <w:r>
        <w:rPr>
          <w:color w:val="2E5395"/>
          <w:spacing w:val="-8"/>
        </w:rPr>
        <w:t> </w:t>
      </w:r>
      <w:r>
        <w:rPr>
          <w:color w:val="2E5395"/>
        </w:rPr>
        <w:t>Response</w:t>
      </w:r>
      <w:r>
        <w:rPr>
          <w:color w:val="2E5395"/>
          <w:spacing w:val="-10"/>
        </w:rPr>
        <w:t> </w:t>
      </w:r>
      <w:r>
        <w:rPr>
          <w:color w:val="2E5395"/>
        </w:rPr>
        <w:t>to</w:t>
      </w:r>
      <w:r>
        <w:rPr>
          <w:color w:val="2E5395"/>
          <w:spacing w:val="-5"/>
        </w:rPr>
        <w:t> </w:t>
      </w:r>
      <w:r>
        <w:rPr>
          <w:color w:val="2E5395"/>
        </w:rPr>
        <w:t>Nutrient</w:t>
      </w:r>
      <w:r>
        <w:rPr>
          <w:color w:val="2E5395"/>
          <w:spacing w:val="-8"/>
        </w:rPr>
        <w:t> </w:t>
      </w:r>
      <w:r>
        <w:rPr>
          <w:color w:val="2E5395"/>
        </w:rPr>
        <w:t>Addition</w:t>
      </w:r>
      <w:r>
        <w:rPr>
          <w:color w:val="2E5395"/>
          <w:spacing w:val="-9"/>
        </w:rPr>
        <w:t> </w:t>
      </w:r>
      <w:r>
        <w:rPr>
          <w:color w:val="2E5395"/>
        </w:rPr>
        <w:t>in</w:t>
      </w:r>
      <w:r>
        <w:rPr>
          <w:color w:val="2E5395"/>
          <w:spacing w:val="-9"/>
        </w:rPr>
        <w:t> </w:t>
      </w:r>
      <w:r>
        <w:rPr>
          <w:color w:val="2E5395"/>
        </w:rPr>
        <w:t>the</w:t>
      </w:r>
      <w:r>
        <w:rPr>
          <w:color w:val="2E5395"/>
          <w:spacing w:val="-9"/>
        </w:rPr>
        <w:t> </w:t>
      </w:r>
      <w:r>
        <w:rPr>
          <w:color w:val="2E5395"/>
        </w:rPr>
        <w:t>light</w:t>
      </w:r>
      <w:r>
        <w:rPr>
          <w:color w:val="2E5395"/>
          <w:spacing w:val="-6"/>
        </w:rPr>
        <w:t> </w:t>
      </w:r>
      <w:r>
        <w:rPr>
          <w:color w:val="2E5395"/>
        </w:rPr>
        <w:t>of</w:t>
      </w:r>
      <w:r>
        <w:rPr>
          <w:color w:val="2E5395"/>
          <w:spacing w:val="-6"/>
        </w:rPr>
        <w:t> </w:t>
      </w:r>
      <w:r>
        <w:rPr>
          <w:color w:val="2E5395"/>
        </w:rPr>
        <w:t>Resource</w:t>
      </w:r>
      <w:r>
        <w:rPr>
          <w:color w:val="2E5395"/>
          <w:spacing w:val="-8"/>
        </w:rPr>
        <w:t> </w:t>
      </w:r>
      <w:r>
        <w:rPr>
          <w:color w:val="2E5395"/>
          <w:spacing w:val="-2"/>
        </w:rPr>
        <w:t>Strategies</w:t>
      </w:r>
    </w:p>
    <w:p>
      <w:pPr>
        <w:pStyle w:val="BodyText"/>
        <w:spacing w:line="360" w:lineRule="auto" w:before="47"/>
        <w:ind w:right="151" w:firstLine="720"/>
      </w:pPr>
      <w:r>
        <w:rPr/>
        <w:t>Nutrient response has been shown to be highly species specific (Güsewell et al., 2003) for example, in studies on six common species across the elevation gradient in the TMF in south Ecuador (Cárate-Tandalla et al., 2018). The species-specific responses are driving the diversity in the TMF through different resource utilisation strategies, therefore allowing coexistence (Yáñez-Espinosa et al., 2006). The differing species showed pronounced distinct effects, especially concerning LA promoting increased SLA and LAR in some, but decreased SLA and LAR in other species. Báez &amp; Homeier (2018) also found strong evidence for species-specific responses at the 2000m elevation site. Furthermore, species-specific response has also been found in leaf traits in the NuMEx plots (Siegel, 2019) in addition to the leaves’ N:P ratio being most strongly influenced by species variability in other tropical forest in Brazil and Costa Rica (Townsend et al., 2007). Clearly, species specificity plays a role in the trees’ response to the nutrient addition, which is supported by the NuMEX plots.</w:t>
      </w:r>
    </w:p>
    <w:p>
      <w:pPr>
        <w:pStyle w:val="BodyText"/>
        <w:spacing w:line="360" w:lineRule="auto"/>
        <w:ind w:right="151" w:firstLine="720"/>
      </w:pPr>
      <w:r>
        <w:rPr/>
        <w:t>My study revealed that most of the species at the different sites would benefit from</w:t>
      </w:r>
      <w:r>
        <w:rPr>
          <w:spacing w:val="40"/>
        </w:rPr>
        <w:t> </w:t>
      </w:r>
      <w:r>
        <w:rPr/>
        <w:t>nutrient</w:t>
      </w:r>
      <w:r>
        <w:rPr>
          <w:spacing w:val="-1"/>
        </w:rPr>
        <w:t> </w:t>
      </w:r>
      <w:r>
        <w:rPr/>
        <w:t>addition. 23 out</w:t>
      </w:r>
      <w:r>
        <w:rPr>
          <w:spacing w:val="-1"/>
        </w:rPr>
        <w:t> </w:t>
      </w:r>
      <w:r>
        <w:rPr/>
        <w:t>of</w:t>
      </w:r>
      <w:r>
        <w:rPr>
          <w:spacing w:val="-1"/>
        </w:rPr>
        <w:t> </w:t>
      </w:r>
      <w:r>
        <w:rPr/>
        <w:t>a</w:t>
      </w:r>
      <w:r>
        <w:rPr>
          <w:spacing w:val="-1"/>
        </w:rPr>
        <w:t> </w:t>
      </w:r>
      <w:r>
        <w:rPr/>
        <w:t>total</w:t>
      </w:r>
      <w:r>
        <w:rPr>
          <w:spacing w:val="-1"/>
        </w:rPr>
        <w:t> </w:t>
      </w:r>
      <w:r>
        <w:rPr/>
        <w:t>of 38 species groups (including the groups of</w:t>
      </w:r>
      <w:r>
        <w:rPr>
          <w:spacing w:val="-1"/>
        </w:rPr>
        <w:t> </w:t>
      </w:r>
      <w:r>
        <w:rPr/>
        <w:t>rare species at the 2000m asl and 3000m asl</w:t>
      </w:r>
      <w:r>
        <w:rPr>
          <w:spacing w:val="-1"/>
        </w:rPr>
        <w:t> </w:t>
      </w:r>
      <w:r>
        <w:rPr/>
        <w:t>site) showed an</w:t>
      </w:r>
      <w:r>
        <w:rPr>
          <w:spacing w:val="-1"/>
        </w:rPr>
        <w:t> </w:t>
      </w:r>
      <w:r>
        <w:rPr/>
        <w:t>interpretable</w:t>
      </w:r>
      <w:r>
        <w:rPr>
          <w:spacing w:val="-1"/>
        </w:rPr>
        <w:t> </w:t>
      </w:r>
      <w:r>
        <w:rPr/>
        <w:t>response to</w:t>
      </w:r>
      <w:r>
        <w:rPr>
          <w:spacing w:val="-1"/>
        </w:rPr>
        <w:t> </w:t>
      </w:r>
      <w:r>
        <w:rPr/>
        <w:t>nutrient addition. No negative responses were</w:t>
      </w:r>
      <w:r>
        <w:rPr>
          <w:spacing w:val="-1"/>
        </w:rPr>
        <w:t> </w:t>
      </w:r>
      <w:r>
        <w:rPr/>
        <w:t>detected</w:t>
      </w:r>
      <w:r>
        <w:rPr>
          <w:spacing w:val="-1"/>
        </w:rPr>
        <w:t> </w:t>
      </w:r>
      <w:r>
        <w:rPr/>
        <w:t>but this</w:t>
      </w:r>
      <w:r>
        <w:rPr>
          <w:spacing w:val="-1"/>
        </w:rPr>
        <w:t> </w:t>
      </w:r>
      <w:r>
        <w:rPr/>
        <w:t>does</w:t>
      </w:r>
      <w:r>
        <w:rPr>
          <w:spacing w:val="-1"/>
        </w:rPr>
        <w:t> </w:t>
      </w:r>
      <w:r>
        <w:rPr/>
        <w:t>not</w:t>
      </w:r>
      <w:r>
        <w:rPr>
          <w:spacing w:val="-2"/>
        </w:rPr>
        <w:t> </w:t>
      </w:r>
      <w:r>
        <w:rPr/>
        <w:t>mean</w:t>
      </w:r>
      <w:r>
        <w:rPr>
          <w:spacing w:val="-2"/>
        </w:rPr>
        <w:t> </w:t>
      </w:r>
      <w:r>
        <w:rPr/>
        <w:t>that</w:t>
      </w:r>
      <w:r>
        <w:rPr>
          <w:spacing w:val="-2"/>
        </w:rPr>
        <w:t> </w:t>
      </w:r>
      <w:r>
        <w:rPr/>
        <w:t>no</w:t>
      </w:r>
      <w:r>
        <w:rPr>
          <w:spacing w:val="-2"/>
        </w:rPr>
        <w:t> </w:t>
      </w:r>
      <w:r>
        <w:rPr/>
        <w:t>negative</w:t>
      </w:r>
      <w:r>
        <w:rPr>
          <w:spacing w:val="-1"/>
        </w:rPr>
        <w:t> </w:t>
      </w:r>
      <w:r>
        <w:rPr/>
        <w:t>effects</w:t>
      </w:r>
      <w:r>
        <w:rPr>
          <w:spacing w:val="-1"/>
        </w:rPr>
        <w:t> </w:t>
      </w:r>
      <w:r>
        <w:rPr/>
        <w:t>on forest</w:t>
      </w:r>
      <w:r>
        <w:rPr>
          <w:spacing w:val="-2"/>
        </w:rPr>
        <w:t> </w:t>
      </w:r>
      <w:r>
        <w:rPr/>
        <w:t>composition</w:t>
      </w:r>
      <w:r>
        <w:rPr>
          <w:spacing w:val="-1"/>
        </w:rPr>
        <w:t> </w:t>
      </w:r>
      <w:r>
        <w:rPr/>
        <w:t>are to be expected. Even if nutrient uptake is increased through fertilization, utilisation of such nutrients is still highly dependent on the morphology and physiology of the individual species (Cárate-Tandalla</w:t>
      </w:r>
      <w:r>
        <w:rPr>
          <w:spacing w:val="14"/>
        </w:rPr>
        <w:t> </w:t>
      </w:r>
      <w:r>
        <w:rPr/>
        <w:t>et</w:t>
      </w:r>
      <w:r>
        <w:rPr>
          <w:spacing w:val="16"/>
        </w:rPr>
        <w:t> </w:t>
      </w:r>
      <w:r>
        <w:rPr/>
        <w:t>al.,</w:t>
      </w:r>
      <w:r>
        <w:rPr>
          <w:spacing w:val="18"/>
        </w:rPr>
        <w:t> </w:t>
      </w:r>
      <w:r>
        <w:rPr/>
        <w:t>2018).</w:t>
      </w:r>
      <w:r>
        <w:rPr>
          <w:spacing w:val="17"/>
        </w:rPr>
        <w:t> </w:t>
      </w:r>
      <w:r>
        <w:rPr/>
        <w:t>In</w:t>
      </w:r>
      <w:r>
        <w:rPr>
          <w:spacing w:val="17"/>
        </w:rPr>
        <w:t> </w:t>
      </w:r>
      <w:r>
        <w:rPr/>
        <w:t>addition,</w:t>
      </w:r>
      <w:r>
        <w:rPr>
          <w:spacing w:val="17"/>
        </w:rPr>
        <w:t> </w:t>
      </w:r>
      <w:r>
        <w:rPr/>
        <w:t>the</w:t>
      </w:r>
      <w:r>
        <w:rPr>
          <w:spacing w:val="20"/>
        </w:rPr>
        <w:t> </w:t>
      </w:r>
      <w:r>
        <w:rPr/>
        <w:t>heterogenous</w:t>
      </w:r>
      <w:r>
        <w:rPr>
          <w:spacing w:val="18"/>
        </w:rPr>
        <w:t> </w:t>
      </w:r>
      <w:r>
        <w:rPr/>
        <w:t>nutrient</w:t>
      </w:r>
      <w:r>
        <w:rPr>
          <w:spacing w:val="19"/>
        </w:rPr>
        <w:t> </w:t>
      </w:r>
      <w:r>
        <w:rPr/>
        <w:t>response,</w:t>
      </w:r>
      <w:r>
        <w:rPr>
          <w:spacing w:val="17"/>
        </w:rPr>
        <w:t> </w:t>
      </w:r>
      <w:r>
        <w:rPr/>
        <w:t>also</w:t>
      </w:r>
      <w:r>
        <w:rPr>
          <w:spacing w:val="16"/>
        </w:rPr>
        <w:t> </w:t>
      </w:r>
      <w:r>
        <w:rPr/>
        <w:t>found</w:t>
      </w:r>
      <w:r>
        <w:rPr>
          <w:spacing w:val="16"/>
        </w:rPr>
        <w:t> </w:t>
      </w:r>
      <w:r>
        <w:rPr/>
        <w:t>in</w:t>
      </w:r>
      <w:r>
        <w:rPr>
          <w:spacing w:val="17"/>
        </w:rPr>
        <w:t> </w:t>
      </w:r>
      <w:r>
        <w:rPr>
          <w:spacing w:val="-5"/>
        </w:rPr>
        <w:t>the</w:t>
      </w:r>
    </w:p>
    <w:p>
      <w:pPr>
        <w:pStyle w:val="BodyText"/>
        <w:spacing w:after="0" w:line="360" w:lineRule="auto"/>
        <w:sectPr>
          <w:pgSz w:w="12240" w:h="15840"/>
          <w:pgMar w:header="0" w:footer="1012" w:top="1220" w:bottom="1200" w:left="850" w:right="850"/>
        </w:sectPr>
      </w:pPr>
    </w:p>
    <w:p>
      <w:pPr>
        <w:pStyle w:val="BodyText"/>
        <w:spacing w:line="360" w:lineRule="auto" w:before="37"/>
        <w:ind w:right="151"/>
      </w:pPr>
      <w:bookmarkStart w:name="_bookmark26" w:id="27"/>
      <w:bookmarkEnd w:id="27"/>
      <w:r>
        <w:rPr/>
      </w:r>
      <w:r>
        <w:rPr/>
        <w:t>nutrient</w:t>
      </w:r>
      <w:r>
        <w:rPr>
          <w:spacing w:val="-1"/>
        </w:rPr>
        <w:t> </w:t>
      </w:r>
      <w:r>
        <w:rPr/>
        <w:t>addition</w:t>
      </w:r>
      <w:r>
        <w:rPr>
          <w:spacing w:val="-1"/>
        </w:rPr>
        <w:t> </w:t>
      </w:r>
      <w:r>
        <w:rPr/>
        <w:t>experiment</w:t>
      </w:r>
      <w:r>
        <w:rPr>
          <w:spacing w:val="-1"/>
        </w:rPr>
        <w:t> </w:t>
      </w:r>
      <w:r>
        <w:rPr/>
        <w:t>in</w:t>
      </w:r>
      <w:r>
        <w:rPr>
          <w:spacing w:val="-2"/>
        </w:rPr>
        <w:t> </w:t>
      </w:r>
      <w:r>
        <w:rPr/>
        <w:t>Panama (Wright</w:t>
      </w:r>
      <w:r>
        <w:rPr>
          <w:spacing w:val="-1"/>
        </w:rPr>
        <w:t> </w:t>
      </w:r>
      <w:r>
        <w:rPr/>
        <w:t>et</w:t>
      </w:r>
      <w:r>
        <w:rPr>
          <w:spacing w:val="-1"/>
        </w:rPr>
        <w:t> </w:t>
      </w:r>
      <w:r>
        <w:rPr/>
        <w:t>al., 2011), is shaped by</w:t>
      </w:r>
      <w:r>
        <w:rPr>
          <w:spacing w:val="-1"/>
        </w:rPr>
        <w:t> </w:t>
      </w:r>
      <w:r>
        <w:rPr/>
        <w:t>factors such as tree age, therefore it is hard to quantify the influence of single variables. Species identity nonetheless plays an important role, as Alvarez-Clare et al. (2013) found that a lowland tropical forest was heterogeneously limited by nutrients driven by inter alia species identity. Due to variable species-specific responses, the more acquisitive species such as </w:t>
      </w:r>
      <w:r>
        <w:rPr>
          <w:i/>
        </w:rPr>
        <w:t>Alzatea verticillate </w:t>
      </w:r>
      <w:r>
        <w:rPr/>
        <w:t>(low PC1), </w:t>
      </w:r>
      <w:r>
        <w:rPr>
          <w:i/>
        </w:rPr>
        <w:t>Graffenrieda harlingii </w:t>
      </w:r>
      <w:r>
        <w:rPr/>
        <w:t>(very high PC2 score) or </w:t>
      </w:r>
      <w:r>
        <w:rPr>
          <w:i/>
        </w:rPr>
        <w:t>Clusia alata </w:t>
      </w:r>
      <w:r>
        <w:rPr/>
        <w:t>(low PC1 and very high PC2 score) responding positively to nutrient addition in both models could still displace the not responding conservative species due to out-competition (Suding et al., 2005) or cancelling of nutrient trade-offs that</w:t>
      </w:r>
      <w:r>
        <w:rPr>
          <w:spacing w:val="40"/>
        </w:rPr>
        <w:t> </w:t>
      </w:r>
      <w:r>
        <w:rPr/>
        <w:t>enable species coexistence (Fortunel</w:t>
      </w:r>
      <w:r>
        <w:rPr>
          <w:spacing w:val="-1"/>
        </w:rPr>
        <w:t> </w:t>
      </w:r>
      <w:r>
        <w:rPr/>
        <w:t>et al., 2016; Harpole</w:t>
      </w:r>
      <w:r>
        <w:rPr>
          <w:spacing w:val="-1"/>
        </w:rPr>
        <w:t> </w:t>
      </w:r>
      <w:r>
        <w:rPr/>
        <w:t>et</w:t>
      </w:r>
      <w:r>
        <w:rPr>
          <w:spacing w:val="-1"/>
        </w:rPr>
        <w:t> </w:t>
      </w:r>
      <w:r>
        <w:rPr/>
        <w:t>al., 2016). Contrary</w:t>
      </w:r>
      <w:r>
        <w:rPr>
          <w:spacing w:val="-1"/>
        </w:rPr>
        <w:t> </w:t>
      </w:r>
      <w:r>
        <w:rPr/>
        <w:t>to Báez &amp; Homeier (2018), grouped rare species did</w:t>
      </w:r>
      <w:r>
        <w:rPr>
          <w:spacing w:val="-1"/>
        </w:rPr>
        <w:t> </w:t>
      </w:r>
      <w:r>
        <w:rPr/>
        <w:t>respond positively</w:t>
      </w:r>
      <w:r>
        <w:rPr>
          <w:spacing w:val="-1"/>
        </w:rPr>
        <w:t> </w:t>
      </w:r>
      <w:r>
        <w:rPr/>
        <w:t>to nutrient</w:t>
      </w:r>
      <w:r>
        <w:rPr>
          <w:spacing w:val="-1"/>
        </w:rPr>
        <w:t> </w:t>
      </w:r>
      <w:r>
        <w:rPr/>
        <w:t>addition</w:t>
      </w:r>
      <w:r>
        <w:rPr>
          <w:spacing w:val="-1"/>
        </w:rPr>
        <w:t> </w:t>
      </w:r>
      <w:r>
        <w:rPr/>
        <w:t>at</w:t>
      </w:r>
      <w:r>
        <w:rPr>
          <w:spacing w:val="-1"/>
        </w:rPr>
        <w:t> </w:t>
      </w:r>
      <w:r>
        <w:rPr/>
        <w:t>2000m asl</w:t>
      </w:r>
      <w:r>
        <w:rPr>
          <w:spacing w:val="-1"/>
        </w:rPr>
        <w:t> </w:t>
      </w:r>
      <w:r>
        <w:rPr/>
        <w:t>as well as the 3000m asl site. Rare species play a major role in shaping the forest structure and maintaining</w:t>
      </w:r>
      <w:r>
        <w:rPr>
          <w:spacing w:val="40"/>
        </w:rPr>
        <w:t> </w:t>
      </w:r>
      <w:r>
        <w:rPr/>
        <w:t>plant diversity in this TMF (Báez &amp; Homeier, 2018) as they, across all sites, make up 77% of all species (n = 85) but only account for 22% of all individuals (n = 328). If they on average respond positively to nutrient addition, the expected partly negative impact of nutrient addition on rare species - being a mix of conservative and acquisitive species – and on forest diversity (Báez &amp; Homeier, 2018) seem to be milder after this increased study period. Nonetheless, most nutrient manipulation studies, for example in grasslands worldwide, led to a loss of diversity (Harpole et al., 2016). Especially rare species have been shown to be affected by fertilization in large scale N-fertilization experiments (Suding et al., 2005). In addition, reduced seedling richness has been shown after N addition in the NuMEx sites (Cárate-Tandalla et al., 2015). All these findings hint to strong effects on adult trees as well as seedlings, directly impacting forest structure in the TMF due to species-specific differences in growth response and utilisation of resources.</w:t>
      </w:r>
    </w:p>
    <w:p>
      <w:pPr>
        <w:pStyle w:val="BodyText"/>
        <w:spacing w:after="0" w:line="360" w:lineRule="auto"/>
        <w:sectPr>
          <w:pgSz w:w="12240" w:h="15840"/>
          <w:pgMar w:header="0" w:footer="1012" w:top="1220" w:bottom="1200" w:left="850" w:right="850"/>
        </w:sectPr>
      </w:pPr>
    </w:p>
    <w:p>
      <w:pPr>
        <w:pStyle w:val="Heading1"/>
      </w:pPr>
      <w:r>
        <w:rPr>
          <w:color w:val="2E5395"/>
          <w:spacing w:val="-2"/>
        </w:rPr>
        <w:t>Conclusion</w:t>
      </w:r>
    </w:p>
    <w:p>
      <w:pPr>
        <w:pStyle w:val="BodyText"/>
        <w:spacing w:line="360" w:lineRule="auto" w:before="58"/>
        <w:ind w:right="151" w:firstLine="566"/>
      </w:pPr>
      <w:r>
        <w:rPr/>
        <w:t>The montane tropical rainforest in southern Ecuador, with its high biodiversity and</w:t>
      </w:r>
      <w:r>
        <w:rPr>
          <w:spacing w:val="40"/>
        </w:rPr>
        <w:t> </w:t>
      </w:r>
      <w:r>
        <w:rPr/>
        <w:t>potential nutrient limitation, showed responses to nutrient addition, as was expected from the prior analysis of Báez &amp; Homeier (2018). Tree growth differed across elevation sites but overall N+P addition performed best, looking at trait level growth as well as ecosystem productivity</w:t>
      </w:r>
      <w:r>
        <w:rPr>
          <w:spacing w:val="40"/>
        </w:rPr>
        <w:t> </w:t>
      </w:r>
      <w:r>
        <w:rPr/>
        <w:t>inside plots, suggesting that co-limitation of N and P varies with elevation. N addition showed a slight increase in productivity effects with increased altitude, whereas individual P treatment showed the opposite trend, supporting a gradient from stronger P limitation due to weathered soils at lower elevations and stronger N limitation at higher elevations due to slower turnover. Acquisitive species showed increased growth and increased growth response to nutrient addition. Species-specific response was diverse but no negative responses to nutrient addition were observed. Several species had clear positive responses to nutrient addition, with the highest number of species showing growth responses at the 3000m asl site. Individual species also responded in general most positively to N+P addition. The results stress the importance of research into these highly diverse and still poorly understood ecosystems, highlighting that potential community shifts could occur due to anthropogenic nutrient alterations.</w:t>
      </w:r>
    </w:p>
    <w:p>
      <w:pPr>
        <w:pStyle w:val="BodyText"/>
        <w:spacing w:after="0" w:line="360" w:lineRule="auto"/>
        <w:sectPr>
          <w:pgSz w:w="12240" w:h="15840"/>
          <w:pgMar w:header="0" w:footer="1012" w:top="1240" w:bottom="1200" w:left="850" w:right="850"/>
        </w:sectPr>
      </w:pPr>
    </w:p>
    <w:p>
      <w:pPr>
        <w:pStyle w:val="Heading1"/>
      </w:pPr>
      <w:bookmarkStart w:name="_bookmark27" w:id="28"/>
      <w:bookmarkEnd w:id="28"/>
      <w:r>
        <w:rPr/>
      </w:r>
      <w:r>
        <w:rPr>
          <w:color w:val="2E5395"/>
          <w:spacing w:val="-2"/>
        </w:rPr>
        <w:t>Bibliography</w:t>
      </w:r>
    </w:p>
    <w:p>
      <w:pPr>
        <w:spacing w:before="58"/>
        <w:ind w:left="638" w:right="0" w:hanging="481"/>
        <w:jc w:val="left"/>
        <w:rPr>
          <w:sz w:val="22"/>
        </w:rPr>
      </w:pPr>
      <w:r>
        <w:rPr>
          <w:sz w:val="22"/>
        </w:rPr>
        <w:t>Ahlers, J.-P. (2016). </w:t>
      </w:r>
      <w:r>
        <w:rPr>
          <w:i/>
          <w:sz w:val="22"/>
        </w:rPr>
        <w:t>Variabilität der Feinstreuquantität und -qualität sowie die Auswirkungen einer kontinuierlichen</w:t>
      </w:r>
      <w:r>
        <w:rPr>
          <w:i/>
          <w:spacing w:val="-4"/>
          <w:sz w:val="22"/>
        </w:rPr>
        <w:t> </w:t>
      </w:r>
      <w:r>
        <w:rPr>
          <w:i/>
          <w:sz w:val="22"/>
        </w:rPr>
        <w:t>N</w:t>
      </w:r>
      <w:r>
        <w:rPr>
          <w:i/>
          <w:spacing w:val="-5"/>
          <w:sz w:val="22"/>
        </w:rPr>
        <w:t> </w:t>
      </w:r>
      <w:r>
        <w:rPr>
          <w:i/>
          <w:sz w:val="22"/>
        </w:rPr>
        <w:t>und</w:t>
      </w:r>
      <w:r>
        <w:rPr>
          <w:i/>
          <w:spacing w:val="-4"/>
          <w:sz w:val="22"/>
        </w:rPr>
        <w:t> </w:t>
      </w:r>
      <w:r>
        <w:rPr>
          <w:i/>
          <w:sz w:val="22"/>
        </w:rPr>
        <w:t>P</w:t>
      </w:r>
      <w:r>
        <w:rPr>
          <w:i/>
          <w:spacing w:val="-5"/>
          <w:sz w:val="22"/>
        </w:rPr>
        <w:t> </w:t>
      </w:r>
      <w:r>
        <w:rPr>
          <w:i/>
          <w:sz w:val="22"/>
        </w:rPr>
        <w:t>Düngung</w:t>
      </w:r>
      <w:r>
        <w:rPr>
          <w:i/>
          <w:spacing w:val="-3"/>
          <w:sz w:val="22"/>
        </w:rPr>
        <w:t> </w:t>
      </w:r>
      <w:r>
        <w:rPr>
          <w:i/>
          <w:sz w:val="22"/>
        </w:rPr>
        <w:t>entlang</w:t>
      </w:r>
      <w:r>
        <w:rPr>
          <w:i/>
          <w:spacing w:val="-2"/>
          <w:sz w:val="22"/>
        </w:rPr>
        <w:t> </w:t>
      </w:r>
      <w:r>
        <w:rPr>
          <w:i/>
          <w:sz w:val="22"/>
        </w:rPr>
        <w:t>eines</w:t>
      </w:r>
      <w:r>
        <w:rPr>
          <w:i/>
          <w:spacing w:val="-5"/>
          <w:sz w:val="22"/>
        </w:rPr>
        <w:t> </w:t>
      </w:r>
      <w:r>
        <w:rPr>
          <w:i/>
          <w:sz w:val="22"/>
        </w:rPr>
        <w:t>Höhengradienten</w:t>
      </w:r>
      <w:r>
        <w:rPr>
          <w:i/>
          <w:spacing w:val="-4"/>
          <w:sz w:val="22"/>
        </w:rPr>
        <w:t> </w:t>
      </w:r>
      <w:r>
        <w:rPr>
          <w:i/>
          <w:sz w:val="22"/>
        </w:rPr>
        <w:t>im</w:t>
      </w:r>
      <w:r>
        <w:rPr>
          <w:i/>
          <w:spacing w:val="-2"/>
          <w:sz w:val="22"/>
        </w:rPr>
        <w:t> </w:t>
      </w:r>
      <w:r>
        <w:rPr>
          <w:i/>
          <w:sz w:val="22"/>
        </w:rPr>
        <w:t>tropischen</w:t>
      </w:r>
      <w:r>
        <w:rPr>
          <w:i/>
          <w:spacing w:val="-4"/>
          <w:sz w:val="22"/>
        </w:rPr>
        <w:t> </w:t>
      </w:r>
      <w:r>
        <w:rPr>
          <w:i/>
          <w:sz w:val="22"/>
        </w:rPr>
        <w:t>Bergregenwald Südecuadors</w:t>
      </w:r>
      <w:r>
        <w:rPr>
          <w:sz w:val="22"/>
        </w:rPr>
        <w:t>. Georg-August University.</w:t>
      </w:r>
    </w:p>
    <w:p>
      <w:pPr>
        <w:spacing w:before="159"/>
        <w:ind w:left="638" w:right="353" w:hanging="481"/>
        <w:jc w:val="left"/>
        <w:rPr>
          <w:sz w:val="22"/>
        </w:rPr>
      </w:pPr>
      <w:r>
        <w:rPr>
          <w:sz w:val="22"/>
        </w:rPr>
        <w:t>Alvarez-Clare,</w:t>
      </w:r>
      <w:r>
        <w:rPr>
          <w:spacing w:val="-2"/>
          <w:sz w:val="22"/>
        </w:rPr>
        <w:t> </w:t>
      </w:r>
      <w:r>
        <w:rPr>
          <w:sz w:val="22"/>
        </w:rPr>
        <w:t>S.,</w:t>
      </w:r>
      <w:r>
        <w:rPr>
          <w:spacing w:val="-1"/>
          <w:sz w:val="22"/>
        </w:rPr>
        <w:t> </w:t>
      </w:r>
      <w:r>
        <w:rPr>
          <w:sz w:val="22"/>
        </w:rPr>
        <w:t>Mack,</w:t>
      </w:r>
      <w:r>
        <w:rPr>
          <w:spacing w:val="-4"/>
          <w:sz w:val="22"/>
        </w:rPr>
        <w:t> </w:t>
      </w:r>
      <w:r>
        <w:rPr>
          <w:sz w:val="22"/>
        </w:rPr>
        <w:t>M.</w:t>
      </w:r>
      <w:r>
        <w:rPr>
          <w:spacing w:val="-2"/>
          <w:sz w:val="22"/>
        </w:rPr>
        <w:t> </w:t>
      </w:r>
      <w:r>
        <w:rPr>
          <w:sz w:val="22"/>
        </w:rPr>
        <w:t>C.,</w:t>
      </w:r>
      <w:r>
        <w:rPr>
          <w:spacing w:val="-1"/>
          <w:sz w:val="22"/>
        </w:rPr>
        <w:t> </w:t>
      </w:r>
      <w:r>
        <w:rPr>
          <w:sz w:val="22"/>
        </w:rPr>
        <w:t>&amp;</w:t>
      </w:r>
      <w:r>
        <w:rPr>
          <w:spacing w:val="-3"/>
          <w:sz w:val="22"/>
        </w:rPr>
        <w:t> </w:t>
      </w:r>
      <w:r>
        <w:rPr>
          <w:sz w:val="22"/>
        </w:rPr>
        <w:t>Brooks,</w:t>
      </w:r>
      <w:r>
        <w:rPr>
          <w:spacing w:val="-2"/>
          <w:sz w:val="22"/>
        </w:rPr>
        <w:t> </w:t>
      </w:r>
      <w:r>
        <w:rPr>
          <w:sz w:val="22"/>
        </w:rPr>
        <w:t>M.</w:t>
      </w:r>
      <w:r>
        <w:rPr>
          <w:spacing w:val="-1"/>
          <w:sz w:val="22"/>
        </w:rPr>
        <w:t> </w:t>
      </w:r>
      <w:r>
        <w:rPr>
          <w:sz w:val="22"/>
        </w:rPr>
        <w:t>(2013).</w:t>
      </w:r>
      <w:r>
        <w:rPr>
          <w:spacing w:val="-1"/>
          <w:sz w:val="22"/>
        </w:rPr>
        <w:t> </w:t>
      </w:r>
      <w:r>
        <w:rPr>
          <w:sz w:val="22"/>
        </w:rPr>
        <w:t>A</w:t>
      </w:r>
      <w:r>
        <w:rPr>
          <w:spacing w:val="-2"/>
          <w:sz w:val="22"/>
        </w:rPr>
        <w:t> </w:t>
      </w:r>
      <w:r>
        <w:rPr>
          <w:sz w:val="22"/>
        </w:rPr>
        <w:t>direct</w:t>
      </w:r>
      <w:r>
        <w:rPr>
          <w:spacing w:val="-4"/>
          <w:sz w:val="22"/>
        </w:rPr>
        <w:t> </w:t>
      </w:r>
      <w:r>
        <w:rPr>
          <w:sz w:val="22"/>
        </w:rPr>
        <w:t>test</w:t>
      </w:r>
      <w:r>
        <w:rPr>
          <w:spacing w:val="-4"/>
          <w:sz w:val="22"/>
        </w:rPr>
        <w:t> </w:t>
      </w:r>
      <w:r>
        <w:rPr>
          <w:sz w:val="22"/>
        </w:rPr>
        <w:t>of</w:t>
      </w:r>
      <w:r>
        <w:rPr>
          <w:spacing w:val="-1"/>
          <w:sz w:val="22"/>
        </w:rPr>
        <w:t> </w:t>
      </w:r>
      <w:r>
        <w:rPr>
          <w:sz w:val="22"/>
        </w:rPr>
        <w:t>nitrogen</w:t>
      </w:r>
      <w:r>
        <w:rPr>
          <w:spacing w:val="-1"/>
          <w:sz w:val="22"/>
        </w:rPr>
        <w:t> </w:t>
      </w:r>
      <w:r>
        <w:rPr>
          <w:sz w:val="22"/>
        </w:rPr>
        <w:t>and</w:t>
      </w:r>
      <w:r>
        <w:rPr>
          <w:spacing w:val="-5"/>
          <w:sz w:val="22"/>
        </w:rPr>
        <w:t> </w:t>
      </w:r>
      <w:r>
        <w:rPr>
          <w:sz w:val="22"/>
        </w:rPr>
        <w:t>phosphorus</w:t>
      </w:r>
      <w:r>
        <w:rPr>
          <w:spacing w:val="-3"/>
          <w:sz w:val="22"/>
        </w:rPr>
        <w:t> </w:t>
      </w:r>
      <w:r>
        <w:rPr>
          <w:sz w:val="22"/>
        </w:rPr>
        <w:t>limitation</w:t>
      </w:r>
      <w:r>
        <w:rPr>
          <w:spacing w:val="-4"/>
          <w:sz w:val="22"/>
        </w:rPr>
        <w:t> </w:t>
      </w:r>
      <w:r>
        <w:rPr>
          <w:sz w:val="22"/>
        </w:rPr>
        <w:t>to net primary productivity in a lowland tropical wet forest. </w:t>
      </w:r>
      <w:r>
        <w:rPr>
          <w:i/>
          <w:sz w:val="22"/>
        </w:rPr>
        <w:t>Ecology</w:t>
      </w:r>
      <w:r>
        <w:rPr>
          <w:sz w:val="22"/>
        </w:rPr>
        <w:t>, </w:t>
      </w:r>
      <w:r>
        <w:rPr>
          <w:i/>
          <w:sz w:val="22"/>
        </w:rPr>
        <w:t>94</w:t>
      </w:r>
      <w:r>
        <w:rPr>
          <w:sz w:val="22"/>
        </w:rPr>
        <w:t>(7), 1540–1551. </w:t>
      </w:r>
      <w:hyperlink r:id="rId21">
        <w:r>
          <w:rPr>
            <w:spacing w:val="-2"/>
            <w:sz w:val="22"/>
          </w:rPr>
          <w:t>https://doi.org/10.1890/12-2128.1</w:t>
        </w:r>
      </w:hyperlink>
    </w:p>
    <w:p>
      <w:pPr>
        <w:spacing w:line="240" w:lineRule="auto" w:before="162"/>
        <w:ind w:left="638" w:right="0" w:hanging="481"/>
        <w:jc w:val="left"/>
        <w:rPr>
          <w:sz w:val="22"/>
        </w:rPr>
      </w:pPr>
      <w:r>
        <w:rPr>
          <w:sz w:val="22"/>
        </w:rPr>
        <w:t>Báez, S., &amp; Homeier, J. (2018). Functional traits determine tree growth and ecosystem productivity of a tropical</w:t>
      </w:r>
      <w:r>
        <w:rPr>
          <w:spacing w:val="-4"/>
          <w:sz w:val="22"/>
        </w:rPr>
        <w:t> </w:t>
      </w:r>
      <w:r>
        <w:rPr>
          <w:sz w:val="22"/>
        </w:rPr>
        <w:t>montane</w:t>
      </w:r>
      <w:r>
        <w:rPr>
          <w:spacing w:val="-4"/>
          <w:sz w:val="22"/>
        </w:rPr>
        <w:t> </w:t>
      </w:r>
      <w:r>
        <w:rPr>
          <w:sz w:val="22"/>
        </w:rPr>
        <w:t>forest:</w:t>
      </w:r>
      <w:r>
        <w:rPr>
          <w:spacing w:val="-3"/>
          <w:sz w:val="22"/>
        </w:rPr>
        <w:t> </w:t>
      </w:r>
      <w:r>
        <w:rPr>
          <w:sz w:val="22"/>
        </w:rPr>
        <w:t>Insights</w:t>
      </w:r>
      <w:r>
        <w:rPr>
          <w:spacing w:val="-5"/>
          <w:sz w:val="22"/>
        </w:rPr>
        <w:t> </w:t>
      </w:r>
      <w:r>
        <w:rPr>
          <w:sz w:val="22"/>
        </w:rPr>
        <w:t>from</w:t>
      </w:r>
      <w:r>
        <w:rPr>
          <w:spacing w:val="-4"/>
          <w:sz w:val="22"/>
        </w:rPr>
        <w:t> </w:t>
      </w:r>
      <w:r>
        <w:rPr>
          <w:sz w:val="22"/>
        </w:rPr>
        <w:t>a</w:t>
      </w:r>
      <w:r>
        <w:rPr>
          <w:spacing w:val="-5"/>
          <w:sz w:val="22"/>
        </w:rPr>
        <w:t> </w:t>
      </w:r>
      <w:r>
        <w:rPr>
          <w:sz w:val="22"/>
        </w:rPr>
        <w:t>long-term</w:t>
      </w:r>
      <w:r>
        <w:rPr>
          <w:spacing w:val="-6"/>
          <w:sz w:val="22"/>
        </w:rPr>
        <w:t> </w:t>
      </w:r>
      <w:r>
        <w:rPr>
          <w:sz w:val="22"/>
        </w:rPr>
        <w:t>nutrient</w:t>
      </w:r>
      <w:r>
        <w:rPr>
          <w:spacing w:val="-6"/>
          <w:sz w:val="22"/>
        </w:rPr>
        <w:t> </w:t>
      </w:r>
      <w:r>
        <w:rPr>
          <w:sz w:val="22"/>
        </w:rPr>
        <w:t>manipulation</w:t>
      </w:r>
      <w:r>
        <w:rPr>
          <w:spacing w:val="-3"/>
          <w:sz w:val="22"/>
        </w:rPr>
        <w:t> </w:t>
      </w:r>
      <w:r>
        <w:rPr>
          <w:sz w:val="22"/>
        </w:rPr>
        <w:t>experiment. </w:t>
      </w:r>
      <w:r>
        <w:rPr>
          <w:i/>
          <w:sz w:val="22"/>
        </w:rPr>
        <w:t>Global</w:t>
      </w:r>
      <w:r>
        <w:rPr>
          <w:i/>
          <w:spacing w:val="-5"/>
          <w:sz w:val="22"/>
        </w:rPr>
        <w:t> </w:t>
      </w:r>
      <w:r>
        <w:rPr>
          <w:i/>
          <w:sz w:val="22"/>
        </w:rPr>
        <w:t>Change Biology</w:t>
      </w:r>
      <w:r>
        <w:rPr>
          <w:sz w:val="22"/>
        </w:rPr>
        <w:t>, </w:t>
      </w:r>
      <w:r>
        <w:rPr>
          <w:i/>
          <w:sz w:val="22"/>
        </w:rPr>
        <w:t>24</w:t>
      </w:r>
      <w:r>
        <w:rPr>
          <w:sz w:val="22"/>
        </w:rPr>
        <w:t>(1), 399–409. </w:t>
      </w:r>
      <w:hyperlink r:id="rId22">
        <w:r>
          <w:rPr>
            <w:sz w:val="22"/>
          </w:rPr>
          <w:t>https://doi.org/10.1111/gcb.13905</w:t>
        </w:r>
      </w:hyperlink>
    </w:p>
    <w:p>
      <w:pPr>
        <w:spacing w:before="159"/>
        <w:ind w:left="638" w:right="186" w:hanging="481"/>
        <w:jc w:val="both"/>
        <w:rPr>
          <w:sz w:val="22"/>
        </w:rPr>
      </w:pPr>
      <w:r>
        <w:rPr>
          <w:sz w:val="22"/>
        </w:rPr>
        <w:t>Baraloto,</w:t>
      </w:r>
      <w:r>
        <w:rPr>
          <w:spacing w:val="-3"/>
          <w:sz w:val="22"/>
        </w:rPr>
        <w:t> </w:t>
      </w:r>
      <w:r>
        <w:rPr>
          <w:sz w:val="22"/>
        </w:rPr>
        <w:t>C., Hardy, O.</w:t>
      </w:r>
      <w:r>
        <w:rPr>
          <w:spacing w:val="-3"/>
          <w:sz w:val="22"/>
        </w:rPr>
        <w:t> </w:t>
      </w:r>
      <w:r>
        <w:rPr>
          <w:sz w:val="22"/>
        </w:rPr>
        <w:t>J.,</w:t>
      </w:r>
      <w:r>
        <w:rPr>
          <w:spacing w:val="-3"/>
          <w:sz w:val="22"/>
        </w:rPr>
        <w:t> </w:t>
      </w:r>
      <w:r>
        <w:rPr>
          <w:sz w:val="22"/>
        </w:rPr>
        <w:t>Paine, C. E. T., Dexter,</w:t>
      </w:r>
      <w:r>
        <w:rPr>
          <w:spacing w:val="-3"/>
          <w:sz w:val="22"/>
        </w:rPr>
        <w:t> </w:t>
      </w:r>
      <w:r>
        <w:rPr>
          <w:sz w:val="22"/>
        </w:rPr>
        <w:t>K.</w:t>
      </w:r>
      <w:r>
        <w:rPr>
          <w:spacing w:val="-3"/>
          <w:sz w:val="22"/>
        </w:rPr>
        <w:t> </w:t>
      </w:r>
      <w:r>
        <w:rPr>
          <w:sz w:val="22"/>
        </w:rPr>
        <w:t>G., Cruaud,</w:t>
      </w:r>
      <w:r>
        <w:rPr>
          <w:spacing w:val="-1"/>
          <w:sz w:val="22"/>
        </w:rPr>
        <w:t> </w:t>
      </w:r>
      <w:r>
        <w:rPr>
          <w:sz w:val="22"/>
        </w:rPr>
        <w:t>C.,</w:t>
      </w:r>
      <w:r>
        <w:rPr>
          <w:spacing w:val="-3"/>
          <w:sz w:val="22"/>
        </w:rPr>
        <w:t> </w:t>
      </w:r>
      <w:r>
        <w:rPr>
          <w:sz w:val="22"/>
        </w:rPr>
        <w:t>Dunning,</w:t>
      </w:r>
      <w:r>
        <w:rPr>
          <w:spacing w:val="-2"/>
          <w:sz w:val="22"/>
        </w:rPr>
        <w:t> </w:t>
      </w:r>
      <w:r>
        <w:rPr>
          <w:sz w:val="22"/>
        </w:rPr>
        <w:t>L.</w:t>
      </w:r>
      <w:r>
        <w:rPr>
          <w:spacing w:val="-1"/>
          <w:sz w:val="22"/>
        </w:rPr>
        <w:t> </w:t>
      </w:r>
      <w:r>
        <w:rPr>
          <w:sz w:val="22"/>
        </w:rPr>
        <w:t>T., …</w:t>
      </w:r>
      <w:r>
        <w:rPr>
          <w:spacing w:val="-5"/>
          <w:sz w:val="22"/>
        </w:rPr>
        <w:t> </w:t>
      </w:r>
      <w:r>
        <w:rPr>
          <w:sz w:val="22"/>
        </w:rPr>
        <w:t>Chave,</w:t>
      </w:r>
      <w:r>
        <w:rPr>
          <w:spacing w:val="-1"/>
          <w:sz w:val="22"/>
        </w:rPr>
        <w:t> </w:t>
      </w:r>
      <w:r>
        <w:rPr>
          <w:sz w:val="22"/>
        </w:rPr>
        <w:t>J. (2012).</w:t>
      </w:r>
      <w:r>
        <w:rPr>
          <w:spacing w:val="-3"/>
          <w:sz w:val="22"/>
        </w:rPr>
        <w:t> </w:t>
      </w:r>
      <w:r>
        <w:rPr>
          <w:sz w:val="22"/>
        </w:rPr>
        <w:t>Using functional</w:t>
      </w:r>
      <w:r>
        <w:rPr>
          <w:spacing w:val="-2"/>
          <w:sz w:val="22"/>
        </w:rPr>
        <w:t> </w:t>
      </w:r>
      <w:r>
        <w:rPr>
          <w:sz w:val="22"/>
        </w:rPr>
        <w:t>traits</w:t>
      </w:r>
      <w:r>
        <w:rPr>
          <w:spacing w:val="-3"/>
          <w:sz w:val="22"/>
        </w:rPr>
        <w:t> </w:t>
      </w:r>
      <w:r>
        <w:rPr>
          <w:sz w:val="22"/>
        </w:rPr>
        <w:t>and</w:t>
      </w:r>
      <w:r>
        <w:rPr>
          <w:spacing w:val="-5"/>
          <w:sz w:val="22"/>
        </w:rPr>
        <w:t> </w:t>
      </w:r>
      <w:r>
        <w:rPr>
          <w:sz w:val="22"/>
        </w:rPr>
        <w:t>phylogenetic</w:t>
      </w:r>
      <w:r>
        <w:rPr>
          <w:spacing w:val="-6"/>
          <w:sz w:val="22"/>
        </w:rPr>
        <w:t> </w:t>
      </w:r>
      <w:r>
        <w:rPr>
          <w:sz w:val="22"/>
        </w:rPr>
        <w:t>trees</w:t>
      </w:r>
      <w:r>
        <w:rPr>
          <w:spacing w:val="-3"/>
          <w:sz w:val="22"/>
        </w:rPr>
        <w:t> </w:t>
      </w:r>
      <w:r>
        <w:rPr>
          <w:sz w:val="22"/>
        </w:rPr>
        <w:t>to</w:t>
      </w:r>
      <w:r>
        <w:rPr>
          <w:spacing w:val="-2"/>
          <w:sz w:val="22"/>
        </w:rPr>
        <w:t> </w:t>
      </w:r>
      <w:r>
        <w:rPr>
          <w:sz w:val="22"/>
        </w:rPr>
        <w:t>examine</w:t>
      </w:r>
      <w:r>
        <w:rPr>
          <w:spacing w:val="-5"/>
          <w:sz w:val="22"/>
        </w:rPr>
        <w:t> </w:t>
      </w:r>
      <w:r>
        <w:rPr>
          <w:sz w:val="22"/>
        </w:rPr>
        <w:t>the</w:t>
      </w:r>
      <w:r>
        <w:rPr>
          <w:spacing w:val="-2"/>
          <w:sz w:val="22"/>
        </w:rPr>
        <w:t> </w:t>
      </w:r>
      <w:r>
        <w:rPr>
          <w:sz w:val="22"/>
        </w:rPr>
        <w:t>assembly</w:t>
      </w:r>
      <w:r>
        <w:rPr>
          <w:spacing w:val="-5"/>
          <w:sz w:val="22"/>
        </w:rPr>
        <w:t> </w:t>
      </w:r>
      <w:r>
        <w:rPr>
          <w:sz w:val="22"/>
        </w:rPr>
        <w:t>of</w:t>
      </w:r>
      <w:r>
        <w:rPr>
          <w:spacing w:val="-3"/>
          <w:sz w:val="22"/>
        </w:rPr>
        <w:t> </w:t>
      </w:r>
      <w:r>
        <w:rPr>
          <w:sz w:val="22"/>
        </w:rPr>
        <w:t>tropical</w:t>
      </w:r>
      <w:r>
        <w:rPr>
          <w:spacing w:val="-5"/>
          <w:sz w:val="22"/>
        </w:rPr>
        <w:t> </w:t>
      </w:r>
      <w:r>
        <w:rPr>
          <w:sz w:val="22"/>
        </w:rPr>
        <w:t>tree</w:t>
      </w:r>
      <w:r>
        <w:rPr>
          <w:spacing w:val="-2"/>
          <w:sz w:val="22"/>
        </w:rPr>
        <w:t> </w:t>
      </w:r>
      <w:r>
        <w:rPr>
          <w:sz w:val="22"/>
        </w:rPr>
        <w:t>communities. </w:t>
      </w:r>
      <w:r>
        <w:rPr>
          <w:i/>
          <w:sz w:val="22"/>
        </w:rPr>
        <w:t>Journal of Ecology</w:t>
      </w:r>
      <w:r>
        <w:rPr>
          <w:sz w:val="22"/>
        </w:rPr>
        <w:t>, </w:t>
      </w:r>
      <w:r>
        <w:rPr>
          <w:i/>
          <w:sz w:val="22"/>
        </w:rPr>
        <w:t>100</w:t>
      </w:r>
      <w:r>
        <w:rPr>
          <w:sz w:val="22"/>
        </w:rPr>
        <w:t>(3), 690–701. </w:t>
      </w:r>
      <w:hyperlink r:id="rId23">
        <w:r>
          <w:rPr>
            <w:sz w:val="22"/>
          </w:rPr>
          <w:t>https://doi.org/10.1111/j.1365-2745.2012.01966.x</w:t>
        </w:r>
      </w:hyperlink>
    </w:p>
    <w:p>
      <w:pPr>
        <w:spacing w:before="160"/>
        <w:ind w:left="638" w:right="421" w:hanging="481"/>
        <w:jc w:val="left"/>
        <w:rPr>
          <w:sz w:val="22"/>
        </w:rPr>
      </w:pPr>
      <w:r>
        <w:rPr>
          <w:sz w:val="22"/>
        </w:rPr>
        <w:t>Baraloto, C., Timothy Paine, C. E., Patiño, S., Bonal, D., Hérault, B., &amp; Chave, J. (2010). Functional trait variation</w:t>
      </w:r>
      <w:r>
        <w:rPr>
          <w:spacing w:val="-3"/>
          <w:sz w:val="22"/>
        </w:rPr>
        <w:t> </w:t>
      </w:r>
      <w:r>
        <w:rPr>
          <w:sz w:val="22"/>
        </w:rPr>
        <w:t>and</w:t>
      </w:r>
      <w:r>
        <w:rPr>
          <w:spacing w:val="-4"/>
          <w:sz w:val="22"/>
        </w:rPr>
        <w:t> </w:t>
      </w:r>
      <w:r>
        <w:rPr>
          <w:sz w:val="22"/>
        </w:rPr>
        <w:t>sampling</w:t>
      </w:r>
      <w:r>
        <w:rPr>
          <w:spacing w:val="-4"/>
          <w:sz w:val="22"/>
        </w:rPr>
        <w:t> </w:t>
      </w:r>
      <w:r>
        <w:rPr>
          <w:sz w:val="22"/>
        </w:rPr>
        <w:t>strategies</w:t>
      </w:r>
      <w:r>
        <w:rPr>
          <w:spacing w:val="-4"/>
          <w:sz w:val="22"/>
        </w:rPr>
        <w:t> </w:t>
      </w:r>
      <w:r>
        <w:rPr>
          <w:sz w:val="22"/>
        </w:rPr>
        <w:t>in</w:t>
      </w:r>
      <w:r>
        <w:rPr>
          <w:spacing w:val="-3"/>
          <w:sz w:val="22"/>
        </w:rPr>
        <w:t> </w:t>
      </w:r>
      <w:r>
        <w:rPr>
          <w:sz w:val="22"/>
        </w:rPr>
        <w:t>species-rich</w:t>
      </w:r>
      <w:r>
        <w:rPr>
          <w:spacing w:val="-5"/>
          <w:sz w:val="22"/>
        </w:rPr>
        <w:t> </w:t>
      </w:r>
      <w:r>
        <w:rPr>
          <w:sz w:val="22"/>
        </w:rPr>
        <w:t>plant</w:t>
      </w:r>
      <w:r>
        <w:rPr>
          <w:spacing w:val="-3"/>
          <w:sz w:val="22"/>
        </w:rPr>
        <w:t> </w:t>
      </w:r>
      <w:r>
        <w:rPr>
          <w:sz w:val="22"/>
        </w:rPr>
        <w:t>communities.</w:t>
      </w:r>
      <w:r>
        <w:rPr>
          <w:spacing w:val="-5"/>
          <w:sz w:val="22"/>
        </w:rPr>
        <w:t> </w:t>
      </w:r>
      <w:r>
        <w:rPr>
          <w:i/>
          <w:sz w:val="22"/>
        </w:rPr>
        <w:t>Functional</w:t>
      </w:r>
      <w:r>
        <w:rPr>
          <w:i/>
          <w:spacing w:val="-3"/>
          <w:sz w:val="22"/>
        </w:rPr>
        <w:t> </w:t>
      </w:r>
      <w:r>
        <w:rPr>
          <w:i/>
          <w:sz w:val="22"/>
        </w:rPr>
        <w:t>Ecology</w:t>
      </w:r>
      <w:r>
        <w:rPr>
          <w:sz w:val="22"/>
        </w:rPr>
        <w:t>,</w:t>
      </w:r>
      <w:r>
        <w:rPr>
          <w:spacing w:val="-3"/>
          <w:sz w:val="22"/>
        </w:rPr>
        <w:t> </w:t>
      </w:r>
      <w:r>
        <w:rPr>
          <w:i/>
          <w:sz w:val="22"/>
        </w:rPr>
        <w:t>24</w:t>
      </w:r>
      <w:r>
        <w:rPr>
          <w:sz w:val="22"/>
        </w:rPr>
        <w:t>(1),</w:t>
      </w:r>
      <w:r>
        <w:rPr>
          <w:spacing w:val="-6"/>
          <w:sz w:val="22"/>
        </w:rPr>
        <w:t> </w:t>
      </w:r>
      <w:r>
        <w:rPr>
          <w:sz w:val="22"/>
        </w:rPr>
        <w:t>208–</w:t>
      </w:r>
    </w:p>
    <w:p>
      <w:pPr>
        <w:spacing w:before="0"/>
        <w:ind w:left="638" w:right="0" w:firstLine="0"/>
        <w:jc w:val="left"/>
        <w:rPr>
          <w:sz w:val="22"/>
        </w:rPr>
      </w:pPr>
      <w:r>
        <w:rPr>
          <w:spacing w:val="-2"/>
          <w:sz w:val="22"/>
        </w:rPr>
        <w:t>216.</w:t>
      </w:r>
      <w:r>
        <w:rPr>
          <w:spacing w:val="43"/>
          <w:sz w:val="22"/>
        </w:rPr>
        <w:t> </w:t>
      </w:r>
      <w:hyperlink r:id="rId24">
        <w:r>
          <w:rPr>
            <w:spacing w:val="-2"/>
            <w:sz w:val="22"/>
          </w:rPr>
          <w:t>https://doi.org/10.1111/j.1365-2435.2009.01600.x</w:t>
        </w:r>
      </w:hyperlink>
    </w:p>
    <w:p>
      <w:pPr>
        <w:spacing w:before="161"/>
        <w:ind w:left="638" w:right="0" w:hanging="481"/>
        <w:jc w:val="left"/>
        <w:rPr>
          <w:sz w:val="22"/>
        </w:rPr>
      </w:pPr>
      <w:r>
        <w:rPr>
          <w:sz w:val="22"/>
        </w:rPr>
        <w:t>Barthlott,</w:t>
      </w:r>
      <w:r>
        <w:rPr>
          <w:spacing w:val="-4"/>
          <w:sz w:val="22"/>
        </w:rPr>
        <w:t> </w:t>
      </w:r>
      <w:r>
        <w:rPr>
          <w:sz w:val="22"/>
        </w:rPr>
        <w:t>W.,</w:t>
      </w:r>
      <w:r>
        <w:rPr>
          <w:spacing w:val="-1"/>
          <w:sz w:val="22"/>
        </w:rPr>
        <w:t> </w:t>
      </w:r>
      <w:r>
        <w:rPr>
          <w:sz w:val="22"/>
        </w:rPr>
        <w:t>Hostert,</w:t>
      </w:r>
      <w:r>
        <w:rPr>
          <w:spacing w:val="-4"/>
          <w:sz w:val="22"/>
        </w:rPr>
        <w:t> </w:t>
      </w:r>
      <w:r>
        <w:rPr>
          <w:sz w:val="22"/>
        </w:rPr>
        <w:t>A.,</w:t>
      </w:r>
      <w:r>
        <w:rPr>
          <w:spacing w:val="-1"/>
          <w:sz w:val="22"/>
        </w:rPr>
        <w:t> </w:t>
      </w:r>
      <w:r>
        <w:rPr>
          <w:sz w:val="22"/>
        </w:rPr>
        <w:t>Kier,</w:t>
      </w:r>
      <w:r>
        <w:rPr>
          <w:spacing w:val="-1"/>
          <w:sz w:val="22"/>
        </w:rPr>
        <w:t> </w:t>
      </w:r>
      <w:r>
        <w:rPr>
          <w:sz w:val="22"/>
        </w:rPr>
        <w:t>G.,</w:t>
      </w:r>
      <w:r>
        <w:rPr>
          <w:spacing w:val="-4"/>
          <w:sz w:val="22"/>
        </w:rPr>
        <w:t> </w:t>
      </w:r>
      <w:r>
        <w:rPr>
          <w:sz w:val="22"/>
        </w:rPr>
        <w:t>Küper,</w:t>
      </w:r>
      <w:r>
        <w:rPr>
          <w:spacing w:val="-4"/>
          <w:sz w:val="22"/>
        </w:rPr>
        <w:t> </w:t>
      </w:r>
      <w:r>
        <w:rPr>
          <w:sz w:val="22"/>
        </w:rPr>
        <w:t>W.,</w:t>
      </w:r>
      <w:r>
        <w:rPr>
          <w:spacing w:val="-1"/>
          <w:sz w:val="22"/>
        </w:rPr>
        <w:t> </w:t>
      </w:r>
      <w:r>
        <w:rPr>
          <w:sz w:val="22"/>
        </w:rPr>
        <w:t>Kreft,</w:t>
      </w:r>
      <w:r>
        <w:rPr>
          <w:spacing w:val="-4"/>
          <w:sz w:val="22"/>
        </w:rPr>
        <w:t> </w:t>
      </w:r>
      <w:r>
        <w:rPr>
          <w:sz w:val="22"/>
        </w:rPr>
        <w:t>H.,</w:t>
      </w:r>
      <w:r>
        <w:rPr>
          <w:spacing w:val="-1"/>
          <w:sz w:val="22"/>
        </w:rPr>
        <w:t> </w:t>
      </w:r>
      <w:r>
        <w:rPr>
          <w:sz w:val="22"/>
        </w:rPr>
        <w:t>Mutke,</w:t>
      </w:r>
      <w:r>
        <w:rPr>
          <w:spacing w:val="-1"/>
          <w:sz w:val="22"/>
        </w:rPr>
        <w:t> </w:t>
      </w:r>
      <w:r>
        <w:rPr>
          <w:sz w:val="22"/>
        </w:rPr>
        <w:t>J., …</w:t>
      </w:r>
      <w:r>
        <w:rPr>
          <w:spacing w:val="-3"/>
          <w:sz w:val="22"/>
        </w:rPr>
        <w:t> </w:t>
      </w:r>
      <w:r>
        <w:rPr>
          <w:sz w:val="22"/>
        </w:rPr>
        <w:t>Sommer,</w:t>
      </w:r>
      <w:r>
        <w:rPr>
          <w:spacing w:val="-2"/>
          <w:sz w:val="22"/>
        </w:rPr>
        <w:t> </w:t>
      </w:r>
      <w:r>
        <w:rPr>
          <w:sz w:val="22"/>
        </w:rPr>
        <w:t>J.</w:t>
      </w:r>
      <w:r>
        <w:rPr>
          <w:spacing w:val="-4"/>
          <w:sz w:val="22"/>
        </w:rPr>
        <w:t> </w:t>
      </w:r>
      <w:r>
        <w:rPr>
          <w:sz w:val="22"/>
        </w:rPr>
        <w:t>H.</w:t>
      </w:r>
      <w:r>
        <w:rPr>
          <w:spacing w:val="-4"/>
          <w:sz w:val="22"/>
        </w:rPr>
        <w:t> </w:t>
      </w:r>
      <w:r>
        <w:rPr>
          <w:sz w:val="22"/>
        </w:rPr>
        <w:t>(2007).</w:t>
      </w:r>
      <w:r>
        <w:rPr>
          <w:spacing w:val="-4"/>
          <w:sz w:val="22"/>
        </w:rPr>
        <w:t> </w:t>
      </w:r>
      <w:r>
        <w:rPr>
          <w:sz w:val="22"/>
        </w:rPr>
        <w:t>Geographic patterns of vascular plant diversity at continental to global scales. </w:t>
      </w:r>
      <w:r>
        <w:rPr>
          <w:i/>
          <w:sz w:val="22"/>
        </w:rPr>
        <w:t>Erdkunde</w:t>
      </w:r>
      <w:r>
        <w:rPr>
          <w:sz w:val="22"/>
        </w:rPr>
        <w:t>, </w:t>
      </w:r>
      <w:r>
        <w:rPr>
          <w:i/>
          <w:sz w:val="22"/>
        </w:rPr>
        <w:t>61</w:t>
      </w:r>
      <w:r>
        <w:rPr>
          <w:sz w:val="22"/>
        </w:rPr>
        <w:t>(4), 305–315. </w:t>
      </w:r>
      <w:hyperlink r:id="rId25">
        <w:r>
          <w:rPr>
            <w:spacing w:val="-2"/>
            <w:sz w:val="22"/>
          </w:rPr>
          <w:t>https://doi.org/10.3112/erdkunde.2007.04.01</w:t>
        </w:r>
      </w:hyperlink>
    </w:p>
    <w:p>
      <w:pPr>
        <w:spacing w:before="159"/>
        <w:ind w:left="157" w:right="0" w:firstLine="0"/>
        <w:jc w:val="left"/>
        <w:rPr>
          <w:sz w:val="22"/>
        </w:rPr>
      </w:pPr>
      <w:r>
        <w:rPr>
          <w:sz w:val="22"/>
        </w:rPr>
        <w:t>Bates,</w:t>
      </w:r>
      <w:r>
        <w:rPr>
          <w:spacing w:val="-8"/>
          <w:sz w:val="22"/>
        </w:rPr>
        <w:t> </w:t>
      </w:r>
      <w:r>
        <w:rPr>
          <w:sz w:val="22"/>
        </w:rPr>
        <w:t>D.,</w:t>
      </w:r>
      <w:r>
        <w:rPr>
          <w:spacing w:val="-4"/>
          <w:sz w:val="22"/>
        </w:rPr>
        <w:t> </w:t>
      </w:r>
      <w:r>
        <w:rPr>
          <w:sz w:val="22"/>
        </w:rPr>
        <w:t>Mächler,</w:t>
      </w:r>
      <w:r>
        <w:rPr>
          <w:spacing w:val="-4"/>
          <w:sz w:val="22"/>
        </w:rPr>
        <w:t> </w:t>
      </w:r>
      <w:r>
        <w:rPr>
          <w:sz w:val="22"/>
        </w:rPr>
        <w:t>M.,</w:t>
      </w:r>
      <w:r>
        <w:rPr>
          <w:spacing w:val="-3"/>
          <w:sz w:val="22"/>
        </w:rPr>
        <w:t> </w:t>
      </w:r>
      <w:r>
        <w:rPr>
          <w:sz w:val="22"/>
        </w:rPr>
        <w:t>Bolker,</w:t>
      </w:r>
      <w:r>
        <w:rPr>
          <w:spacing w:val="-4"/>
          <w:sz w:val="22"/>
        </w:rPr>
        <w:t> </w:t>
      </w:r>
      <w:r>
        <w:rPr>
          <w:sz w:val="22"/>
        </w:rPr>
        <w:t>B.,</w:t>
      </w:r>
      <w:r>
        <w:rPr>
          <w:spacing w:val="-3"/>
          <w:sz w:val="22"/>
        </w:rPr>
        <w:t> </w:t>
      </w:r>
      <w:r>
        <w:rPr>
          <w:sz w:val="22"/>
        </w:rPr>
        <w:t>&amp;</w:t>
      </w:r>
      <w:r>
        <w:rPr>
          <w:spacing w:val="-6"/>
          <w:sz w:val="22"/>
        </w:rPr>
        <w:t> </w:t>
      </w:r>
      <w:r>
        <w:rPr>
          <w:sz w:val="22"/>
        </w:rPr>
        <w:t>Walker,</w:t>
      </w:r>
      <w:r>
        <w:rPr>
          <w:spacing w:val="-3"/>
          <w:sz w:val="22"/>
        </w:rPr>
        <w:t> </w:t>
      </w:r>
      <w:r>
        <w:rPr>
          <w:sz w:val="22"/>
        </w:rPr>
        <w:t>S.</w:t>
      </w:r>
      <w:r>
        <w:rPr>
          <w:spacing w:val="-3"/>
          <w:sz w:val="22"/>
        </w:rPr>
        <w:t> </w:t>
      </w:r>
      <w:r>
        <w:rPr>
          <w:sz w:val="22"/>
        </w:rPr>
        <w:t>(2015).</w:t>
      </w:r>
      <w:r>
        <w:rPr>
          <w:spacing w:val="-6"/>
          <w:sz w:val="22"/>
        </w:rPr>
        <w:t> </w:t>
      </w:r>
      <w:r>
        <w:rPr>
          <w:sz w:val="22"/>
        </w:rPr>
        <w:t>Fitting</w:t>
      </w:r>
      <w:r>
        <w:rPr>
          <w:spacing w:val="-6"/>
          <w:sz w:val="22"/>
        </w:rPr>
        <w:t> </w:t>
      </w:r>
      <w:r>
        <w:rPr>
          <w:sz w:val="22"/>
        </w:rPr>
        <w:t>Linear</w:t>
      </w:r>
      <w:r>
        <w:rPr>
          <w:spacing w:val="-5"/>
          <w:sz w:val="22"/>
        </w:rPr>
        <w:t> </w:t>
      </w:r>
      <w:r>
        <w:rPr>
          <w:sz w:val="22"/>
        </w:rPr>
        <w:t>Mixed-Effects</w:t>
      </w:r>
      <w:r>
        <w:rPr>
          <w:spacing w:val="-5"/>
          <w:sz w:val="22"/>
        </w:rPr>
        <w:t> </w:t>
      </w:r>
      <w:r>
        <w:rPr>
          <w:sz w:val="22"/>
        </w:rPr>
        <w:t>Models</w:t>
      </w:r>
      <w:r>
        <w:rPr>
          <w:spacing w:val="-4"/>
          <w:sz w:val="22"/>
        </w:rPr>
        <w:t> </w:t>
      </w:r>
      <w:r>
        <w:rPr>
          <w:sz w:val="22"/>
        </w:rPr>
        <w:t>Using</w:t>
      </w:r>
      <w:r>
        <w:rPr>
          <w:spacing w:val="-4"/>
          <w:sz w:val="22"/>
        </w:rPr>
        <w:t> </w:t>
      </w:r>
      <w:r>
        <w:rPr>
          <w:spacing w:val="-2"/>
          <w:sz w:val="22"/>
        </w:rPr>
        <w:t>lme4.</w:t>
      </w:r>
    </w:p>
    <w:p>
      <w:pPr>
        <w:spacing w:before="1"/>
        <w:ind w:left="638" w:right="0" w:firstLine="0"/>
        <w:jc w:val="left"/>
        <w:rPr>
          <w:sz w:val="22"/>
        </w:rPr>
      </w:pPr>
      <w:r>
        <w:rPr>
          <w:i/>
          <w:sz w:val="22"/>
        </w:rPr>
        <w:t>Journal</w:t>
      </w:r>
      <w:r>
        <w:rPr>
          <w:i/>
          <w:spacing w:val="-5"/>
          <w:sz w:val="22"/>
        </w:rPr>
        <w:t> </w:t>
      </w:r>
      <w:r>
        <w:rPr>
          <w:i/>
          <w:sz w:val="22"/>
        </w:rPr>
        <w:t>of</w:t>
      </w:r>
      <w:r>
        <w:rPr>
          <w:i/>
          <w:spacing w:val="-6"/>
          <w:sz w:val="22"/>
        </w:rPr>
        <w:t> </w:t>
      </w:r>
      <w:r>
        <w:rPr>
          <w:i/>
          <w:sz w:val="22"/>
        </w:rPr>
        <w:t>Statistical</w:t>
      </w:r>
      <w:r>
        <w:rPr>
          <w:i/>
          <w:spacing w:val="-5"/>
          <w:sz w:val="22"/>
        </w:rPr>
        <w:t> </w:t>
      </w:r>
      <w:r>
        <w:rPr>
          <w:i/>
          <w:sz w:val="22"/>
        </w:rPr>
        <w:t>Software</w:t>
      </w:r>
      <w:r>
        <w:rPr>
          <w:sz w:val="22"/>
        </w:rPr>
        <w:t>,</w:t>
      </w:r>
      <w:r>
        <w:rPr>
          <w:spacing w:val="-6"/>
          <w:sz w:val="22"/>
        </w:rPr>
        <w:t> </w:t>
      </w:r>
      <w:r>
        <w:rPr>
          <w:i/>
          <w:sz w:val="22"/>
        </w:rPr>
        <w:t>67</w:t>
      </w:r>
      <w:r>
        <w:rPr>
          <w:sz w:val="22"/>
        </w:rPr>
        <w:t>(1),</w:t>
      </w:r>
      <w:r>
        <w:rPr>
          <w:spacing w:val="-3"/>
          <w:sz w:val="22"/>
        </w:rPr>
        <w:t> </w:t>
      </w:r>
      <w:r>
        <w:rPr>
          <w:sz w:val="22"/>
        </w:rPr>
        <w:t>1–48.</w:t>
      </w:r>
      <w:r>
        <w:rPr>
          <w:spacing w:val="-2"/>
          <w:sz w:val="22"/>
        </w:rPr>
        <w:t> </w:t>
      </w:r>
      <w:hyperlink r:id="rId26">
        <w:r>
          <w:rPr>
            <w:spacing w:val="-2"/>
            <w:sz w:val="22"/>
          </w:rPr>
          <w:t>https://doi.org/10.18637/jss.v067.i01</w:t>
        </w:r>
      </w:hyperlink>
    </w:p>
    <w:p>
      <w:pPr>
        <w:spacing w:before="158"/>
        <w:ind w:left="638" w:right="158" w:hanging="481"/>
        <w:jc w:val="left"/>
        <w:rPr>
          <w:sz w:val="22"/>
        </w:rPr>
      </w:pPr>
      <w:r>
        <w:rPr>
          <w:sz w:val="22"/>
        </w:rPr>
        <w:t>Beck,</w:t>
      </w:r>
      <w:r>
        <w:rPr>
          <w:spacing w:val="-3"/>
          <w:sz w:val="22"/>
        </w:rPr>
        <w:t> </w:t>
      </w:r>
      <w:r>
        <w:rPr>
          <w:sz w:val="22"/>
        </w:rPr>
        <w:t>E.,</w:t>
      </w:r>
      <w:r>
        <w:rPr>
          <w:spacing w:val="-2"/>
          <w:sz w:val="22"/>
        </w:rPr>
        <w:t> </w:t>
      </w:r>
      <w:r>
        <w:rPr>
          <w:sz w:val="22"/>
        </w:rPr>
        <w:t>Makeschin,</w:t>
      </w:r>
      <w:r>
        <w:rPr>
          <w:spacing w:val="-4"/>
          <w:sz w:val="22"/>
        </w:rPr>
        <w:t> </w:t>
      </w:r>
      <w:r>
        <w:rPr>
          <w:sz w:val="22"/>
        </w:rPr>
        <w:t>F.,</w:t>
      </w:r>
      <w:r>
        <w:rPr>
          <w:spacing w:val="-4"/>
          <w:sz w:val="22"/>
        </w:rPr>
        <w:t> </w:t>
      </w:r>
      <w:r>
        <w:rPr>
          <w:sz w:val="22"/>
        </w:rPr>
        <w:t>Haubrich,</w:t>
      </w:r>
      <w:r>
        <w:rPr>
          <w:spacing w:val="-2"/>
          <w:sz w:val="22"/>
        </w:rPr>
        <w:t> </w:t>
      </w:r>
      <w:r>
        <w:rPr>
          <w:sz w:val="22"/>
        </w:rPr>
        <w:t>F.,</w:t>
      </w:r>
      <w:r>
        <w:rPr>
          <w:spacing w:val="-2"/>
          <w:sz w:val="22"/>
        </w:rPr>
        <w:t> </w:t>
      </w:r>
      <w:r>
        <w:rPr>
          <w:sz w:val="22"/>
        </w:rPr>
        <w:t>Richter,</w:t>
      </w:r>
      <w:r>
        <w:rPr>
          <w:spacing w:val="-2"/>
          <w:sz w:val="22"/>
        </w:rPr>
        <w:t> </w:t>
      </w:r>
      <w:r>
        <w:rPr>
          <w:sz w:val="22"/>
        </w:rPr>
        <w:t>M.,</w:t>
      </w:r>
      <w:r>
        <w:rPr>
          <w:spacing w:val="-4"/>
          <w:sz w:val="22"/>
        </w:rPr>
        <w:t> </w:t>
      </w:r>
      <w:r>
        <w:rPr>
          <w:sz w:val="22"/>
        </w:rPr>
        <w:t>Bendix,</w:t>
      </w:r>
      <w:r>
        <w:rPr>
          <w:spacing w:val="-4"/>
          <w:sz w:val="22"/>
        </w:rPr>
        <w:t> </w:t>
      </w:r>
      <w:r>
        <w:rPr>
          <w:sz w:val="22"/>
        </w:rPr>
        <w:t>J.,</w:t>
      </w:r>
      <w:r>
        <w:rPr>
          <w:spacing w:val="-2"/>
          <w:sz w:val="22"/>
        </w:rPr>
        <w:t> </w:t>
      </w:r>
      <w:r>
        <w:rPr>
          <w:sz w:val="22"/>
        </w:rPr>
        <w:t>&amp;</w:t>
      </w:r>
      <w:r>
        <w:rPr>
          <w:spacing w:val="-3"/>
          <w:sz w:val="22"/>
        </w:rPr>
        <w:t> </w:t>
      </w:r>
      <w:r>
        <w:rPr>
          <w:sz w:val="22"/>
        </w:rPr>
        <w:t>Valerezo,</w:t>
      </w:r>
      <w:r>
        <w:rPr>
          <w:spacing w:val="-2"/>
          <w:sz w:val="22"/>
        </w:rPr>
        <w:t> </w:t>
      </w:r>
      <w:r>
        <w:rPr>
          <w:sz w:val="22"/>
        </w:rPr>
        <w:t>C.</w:t>
      </w:r>
      <w:r>
        <w:rPr>
          <w:spacing w:val="-4"/>
          <w:sz w:val="22"/>
        </w:rPr>
        <w:t> </w:t>
      </w:r>
      <w:r>
        <w:rPr>
          <w:sz w:val="22"/>
        </w:rPr>
        <w:t>(2008).</w:t>
      </w:r>
      <w:r>
        <w:rPr>
          <w:spacing w:val="-2"/>
          <w:sz w:val="22"/>
        </w:rPr>
        <w:t> </w:t>
      </w:r>
      <w:r>
        <w:rPr>
          <w:sz w:val="22"/>
        </w:rPr>
        <w:t>The</w:t>
      </w:r>
      <w:r>
        <w:rPr>
          <w:spacing w:val="-3"/>
          <w:sz w:val="22"/>
        </w:rPr>
        <w:t> </w:t>
      </w:r>
      <w:r>
        <w:rPr>
          <w:sz w:val="22"/>
        </w:rPr>
        <w:t>Ecosystem</w:t>
      </w:r>
      <w:r>
        <w:rPr>
          <w:spacing w:val="-2"/>
          <w:sz w:val="22"/>
        </w:rPr>
        <w:t> </w:t>
      </w:r>
      <w:r>
        <w:rPr>
          <w:sz w:val="22"/>
        </w:rPr>
        <w:t>(Reserva Biológica San Francisco). In </w:t>
      </w:r>
      <w:r>
        <w:rPr>
          <w:i/>
          <w:sz w:val="22"/>
        </w:rPr>
        <w:t>Gradients in a Tropical Mountain Ecosystem of Ecuador </w:t>
      </w:r>
      <w:r>
        <w:rPr>
          <w:sz w:val="22"/>
        </w:rPr>
        <w:t>(pp. 1–13). </w:t>
      </w:r>
      <w:hyperlink r:id="rId27">
        <w:r>
          <w:rPr>
            <w:spacing w:val="-2"/>
            <w:sz w:val="22"/>
          </w:rPr>
          <w:t>https://doi.org/10.1007/978-3-540-73526-7_1</w:t>
        </w:r>
      </w:hyperlink>
    </w:p>
    <w:p>
      <w:pPr>
        <w:spacing w:before="162"/>
        <w:ind w:left="638" w:right="211" w:hanging="481"/>
        <w:jc w:val="left"/>
        <w:rPr>
          <w:sz w:val="22"/>
        </w:rPr>
      </w:pPr>
      <w:r>
        <w:rPr>
          <w:sz w:val="22"/>
        </w:rPr>
        <w:t>Beck,</w:t>
      </w:r>
      <w:r>
        <w:rPr>
          <w:spacing w:val="-2"/>
          <w:sz w:val="22"/>
        </w:rPr>
        <w:t> </w:t>
      </w:r>
      <w:r>
        <w:rPr>
          <w:sz w:val="22"/>
        </w:rPr>
        <w:t>E.,</w:t>
      </w:r>
      <w:r>
        <w:rPr>
          <w:spacing w:val="-2"/>
          <w:sz w:val="22"/>
        </w:rPr>
        <w:t> </w:t>
      </w:r>
      <w:r>
        <w:rPr>
          <w:sz w:val="22"/>
        </w:rPr>
        <w:t>&amp;</w:t>
      </w:r>
      <w:r>
        <w:rPr>
          <w:spacing w:val="-3"/>
          <w:sz w:val="22"/>
        </w:rPr>
        <w:t> </w:t>
      </w:r>
      <w:r>
        <w:rPr>
          <w:sz w:val="22"/>
        </w:rPr>
        <w:t>Richter,</w:t>
      </w:r>
      <w:r>
        <w:rPr>
          <w:spacing w:val="-2"/>
          <w:sz w:val="22"/>
        </w:rPr>
        <w:t> </w:t>
      </w:r>
      <w:r>
        <w:rPr>
          <w:sz w:val="22"/>
        </w:rPr>
        <w:t>M.</w:t>
      </w:r>
      <w:r>
        <w:rPr>
          <w:spacing w:val="-2"/>
          <w:sz w:val="22"/>
        </w:rPr>
        <w:t> </w:t>
      </w:r>
      <w:r>
        <w:rPr>
          <w:sz w:val="22"/>
        </w:rPr>
        <w:t>(2008).</w:t>
      </w:r>
      <w:r>
        <w:rPr>
          <w:spacing w:val="-2"/>
          <w:sz w:val="22"/>
        </w:rPr>
        <w:t> </w:t>
      </w:r>
      <w:r>
        <w:rPr>
          <w:sz w:val="22"/>
        </w:rPr>
        <w:t>Ecological</w:t>
      </w:r>
      <w:r>
        <w:rPr>
          <w:spacing w:val="-2"/>
          <w:sz w:val="22"/>
        </w:rPr>
        <w:t> </w:t>
      </w:r>
      <w:r>
        <w:rPr>
          <w:sz w:val="22"/>
        </w:rPr>
        <w:t>aspects</w:t>
      </w:r>
      <w:r>
        <w:rPr>
          <w:spacing w:val="-3"/>
          <w:sz w:val="22"/>
        </w:rPr>
        <w:t> </w:t>
      </w:r>
      <w:r>
        <w:rPr>
          <w:sz w:val="22"/>
        </w:rPr>
        <w:t>of</w:t>
      </w:r>
      <w:r>
        <w:rPr>
          <w:spacing w:val="-2"/>
          <w:sz w:val="22"/>
        </w:rPr>
        <w:t> </w:t>
      </w:r>
      <w:r>
        <w:rPr>
          <w:sz w:val="22"/>
        </w:rPr>
        <w:t>a</w:t>
      </w:r>
      <w:r>
        <w:rPr>
          <w:spacing w:val="-3"/>
          <w:sz w:val="22"/>
        </w:rPr>
        <w:t> </w:t>
      </w:r>
      <w:r>
        <w:rPr>
          <w:sz w:val="22"/>
        </w:rPr>
        <w:t>biodiversity</w:t>
      </w:r>
      <w:r>
        <w:rPr>
          <w:spacing w:val="-3"/>
          <w:sz w:val="22"/>
        </w:rPr>
        <w:t> </w:t>
      </w:r>
      <w:r>
        <w:rPr>
          <w:sz w:val="22"/>
        </w:rPr>
        <w:t>hotspot</w:t>
      </w:r>
      <w:r>
        <w:rPr>
          <w:spacing w:val="-2"/>
          <w:sz w:val="22"/>
        </w:rPr>
        <w:t> </w:t>
      </w:r>
      <w:r>
        <w:rPr>
          <w:sz w:val="22"/>
        </w:rPr>
        <w:t>in</w:t>
      </w:r>
      <w:r>
        <w:rPr>
          <w:spacing w:val="-4"/>
          <w:sz w:val="22"/>
        </w:rPr>
        <w:t> </w:t>
      </w:r>
      <w:r>
        <w:rPr>
          <w:sz w:val="22"/>
        </w:rPr>
        <w:t>the</w:t>
      </w:r>
      <w:r>
        <w:rPr>
          <w:spacing w:val="-2"/>
          <w:sz w:val="22"/>
        </w:rPr>
        <w:t> </w:t>
      </w:r>
      <w:r>
        <w:rPr>
          <w:sz w:val="22"/>
        </w:rPr>
        <w:t>Andes</w:t>
      </w:r>
      <w:r>
        <w:rPr>
          <w:spacing w:val="-6"/>
          <w:sz w:val="22"/>
        </w:rPr>
        <w:t> </w:t>
      </w:r>
      <w:r>
        <w:rPr>
          <w:sz w:val="22"/>
        </w:rPr>
        <w:t>of</w:t>
      </w:r>
      <w:r>
        <w:rPr>
          <w:spacing w:val="-2"/>
          <w:sz w:val="22"/>
        </w:rPr>
        <w:t> </w:t>
      </w:r>
      <w:r>
        <w:rPr>
          <w:sz w:val="22"/>
        </w:rPr>
        <w:t>southern Ecuador. </w:t>
      </w:r>
      <w:r>
        <w:rPr>
          <w:i/>
          <w:sz w:val="22"/>
        </w:rPr>
        <w:t>Biodiversity and Ecology Series</w:t>
      </w:r>
      <w:r>
        <w:rPr>
          <w:sz w:val="22"/>
        </w:rPr>
        <w:t>, </w:t>
      </w:r>
      <w:r>
        <w:rPr>
          <w:i/>
          <w:sz w:val="22"/>
        </w:rPr>
        <w:t>2</w:t>
      </w:r>
      <w:r>
        <w:rPr>
          <w:sz w:val="22"/>
        </w:rPr>
        <w:t>, 195–217.</w:t>
      </w:r>
    </w:p>
    <w:p>
      <w:pPr>
        <w:spacing w:before="159"/>
        <w:ind w:left="638" w:right="211" w:hanging="481"/>
        <w:jc w:val="left"/>
        <w:rPr>
          <w:sz w:val="22"/>
        </w:rPr>
      </w:pPr>
      <w:r>
        <w:rPr>
          <w:sz w:val="22"/>
        </w:rPr>
        <w:t>Bendix, J., Beck, E., Bräuning, A., Makeschin, F., Mosandl, R., Scheu, S., &amp; Wilcke, W. (2013). Ecosystem Services,</w:t>
      </w:r>
      <w:r>
        <w:rPr>
          <w:spacing w:val="-2"/>
          <w:sz w:val="22"/>
        </w:rPr>
        <w:t> </w:t>
      </w:r>
      <w:r>
        <w:rPr>
          <w:sz w:val="22"/>
        </w:rPr>
        <w:t>Biodiversity</w:t>
      </w:r>
      <w:r>
        <w:rPr>
          <w:spacing w:val="-4"/>
          <w:sz w:val="22"/>
        </w:rPr>
        <w:t> </w:t>
      </w:r>
      <w:r>
        <w:rPr>
          <w:sz w:val="22"/>
        </w:rPr>
        <w:t>and</w:t>
      </w:r>
      <w:r>
        <w:rPr>
          <w:spacing w:val="-6"/>
          <w:sz w:val="22"/>
        </w:rPr>
        <w:t> </w:t>
      </w:r>
      <w:r>
        <w:rPr>
          <w:sz w:val="22"/>
        </w:rPr>
        <w:t>Enviromental</w:t>
      </w:r>
      <w:r>
        <w:rPr>
          <w:spacing w:val="-3"/>
          <w:sz w:val="22"/>
        </w:rPr>
        <w:t> </w:t>
      </w:r>
      <w:r>
        <w:rPr>
          <w:sz w:val="22"/>
        </w:rPr>
        <w:t>Change</w:t>
      </w:r>
      <w:r>
        <w:rPr>
          <w:spacing w:val="-3"/>
          <w:sz w:val="22"/>
        </w:rPr>
        <w:t> </w:t>
      </w:r>
      <w:r>
        <w:rPr>
          <w:sz w:val="22"/>
        </w:rPr>
        <w:t>in</w:t>
      </w:r>
      <w:r>
        <w:rPr>
          <w:spacing w:val="-5"/>
          <w:sz w:val="22"/>
        </w:rPr>
        <w:t> </w:t>
      </w:r>
      <w:r>
        <w:rPr>
          <w:sz w:val="22"/>
        </w:rPr>
        <w:t>a</w:t>
      </w:r>
      <w:r>
        <w:rPr>
          <w:spacing w:val="-3"/>
          <w:sz w:val="22"/>
        </w:rPr>
        <w:t> </w:t>
      </w:r>
      <w:r>
        <w:rPr>
          <w:sz w:val="22"/>
        </w:rPr>
        <w:t>Tropical</w:t>
      </w:r>
      <w:r>
        <w:rPr>
          <w:spacing w:val="-3"/>
          <w:sz w:val="22"/>
        </w:rPr>
        <w:t> </w:t>
      </w:r>
      <w:r>
        <w:rPr>
          <w:sz w:val="22"/>
        </w:rPr>
        <w:t>Mountain</w:t>
      </w:r>
      <w:r>
        <w:rPr>
          <w:spacing w:val="-2"/>
          <w:sz w:val="22"/>
        </w:rPr>
        <w:t> </w:t>
      </w:r>
      <w:r>
        <w:rPr>
          <w:sz w:val="22"/>
        </w:rPr>
        <w:t>Ecosystem</w:t>
      </w:r>
      <w:r>
        <w:rPr>
          <w:spacing w:val="-5"/>
          <w:sz w:val="22"/>
        </w:rPr>
        <w:t> </w:t>
      </w:r>
      <w:r>
        <w:rPr>
          <w:sz w:val="22"/>
        </w:rPr>
        <w:t>of</w:t>
      </w:r>
      <w:r>
        <w:rPr>
          <w:spacing w:val="-2"/>
          <w:sz w:val="22"/>
        </w:rPr>
        <w:t> </w:t>
      </w:r>
      <w:r>
        <w:rPr>
          <w:sz w:val="22"/>
        </w:rPr>
        <w:t>South</w:t>
      </w:r>
      <w:r>
        <w:rPr>
          <w:spacing w:val="-4"/>
          <w:sz w:val="22"/>
        </w:rPr>
        <w:t> </w:t>
      </w:r>
      <w:r>
        <w:rPr>
          <w:sz w:val="22"/>
        </w:rPr>
        <w:t>Ecuador. In </w:t>
      </w:r>
      <w:r>
        <w:rPr>
          <w:i/>
          <w:sz w:val="22"/>
        </w:rPr>
        <w:t>Ecosystem Services, Biodiversity and Enviromental Change in a Tropical Mountain Ecosystem of South Ecuador</w:t>
      </w:r>
      <w:r>
        <w:rPr>
          <w:sz w:val="22"/>
        </w:rPr>
        <w:t>. </w:t>
      </w:r>
      <w:hyperlink r:id="rId28">
        <w:r>
          <w:rPr>
            <w:sz w:val="22"/>
          </w:rPr>
          <w:t>https://doi.org/10.1007/978-3-642-38137-9_23</w:t>
        </w:r>
      </w:hyperlink>
    </w:p>
    <w:p>
      <w:pPr>
        <w:spacing w:line="240" w:lineRule="auto" w:before="162"/>
        <w:ind w:left="638" w:right="0" w:hanging="481"/>
        <w:jc w:val="left"/>
        <w:rPr>
          <w:sz w:val="22"/>
        </w:rPr>
      </w:pPr>
      <w:r>
        <w:rPr>
          <w:sz w:val="22"/>
        </w:rPr>
        <w:t>Bendix,</w:t>
      </w:r>
      <w:r>
        <w:rPr>
          <w:spacing w:val="-2"/>
          <w:sz w:val="22"/>
        </w:rPr>
        <w:t> </w:t>
      </w:r>
      <w:r>
        <w:rPr>
          <w:sz w:val="22"/>
        </w:rPr>
        <w:t>J.,</w:t>
      </w:r>
      <w:r>
        <w:rPr>
          <w:spacing w:val="-5"/>
          <w:sz w:val="22"/>
        </w:rPr>
        <w:t> </w:t>
      </w:r>
      <w:r>
        <w:rPr>
          <w:sz w:val="22"/>
        </w:rPr>
        <w:t>Paladines,</w:t>
      </w:r>
      <w:r>
        <w:rPr>
          <w:spacing w:val="-2"/>
          <w:sz w:val="22"/>
        </w:rPr>
        <w:t> </w:t>
      </w:r>
      <w:r>
        <w:rPr>
          <w:sz w:val="22"/>
        </w:rPr>
        <w:t>B.,</w:t>
      </w:r>
      <w:r>
        <w:rPr>
          <w:spacing w:val="-5"/>
          <w:sz w:val="22"/>
        </w:rPr>
        <w:t> </w:t>
      </w:r>
      <w:r>
        <w:rPr>
          <w:sz w:val="22"/>
        </w:rPr>
        <w:t>Ribadeneira-Sarmiento,</w:t>
      </w:r>
      <w:r>
        <w:rPr>
          <w:spacing w:val="-5"/>
          <w:sz w:val="22"/>
        </w:rPr>
        <w:t> </w:t>
      </w:r>
      <w:r>
        <w:rPr>
          <w:sz w:val="22"/>
        </w:rPr>
        <w:t>M.,</w:t>
      </w:r>
      <w:r>
        <w:rPr>
          <w:spacing w:val="-2"/>
          <w:sz w:val="22"/>
        </w:rPr>
        <w:t> </w:t>
      </w:r>
      <w:r>
        <w:rPr>
          <w:sz w:val="22"/>
        </w:rPr>
        <w:t>Romero,</w:t>
      </w:r>
      <w:r>
        <w:rPr>
          <w:spacing w:val="-2"/>
          <w:sz w:val="22"/>
        </w:rPr>
        <w:t> </w:t>
      </w:r>
      <w:r>
        <w:rPr>
          <w:sz w:val="22"/>
        </w:rPr>
        <w:t>L.</w:t>
      </w:r>
      <w:r>
        <w:rPr>
          <w:spacing w:val="-2"/>
          <w:sz w:val="22"/>
        </w:rPr>
        <w:t> </w:t>
      </w:r>
      <w:r>
        <w:rPr>
          <w:sz w:val="22"/>
        </w:rPr>
        <w:t>M.,</w:t>
      </w:r>
      <w:r>
        <w:rPr>
          <w:spacing w:val="-2"/>
          <w:sz w:val="22"/>
        </w:rPr>
        <w:t> </w:t>
      </w:r>
      <w:r>
        <w:rPr>
          <w:sz w:val="22"/>
        </w:rPr>
        <w:t>Valarezo,</w:t>
      </w:r>
      <w:r>
        <w:rPr>
          <w:spacing w:val="-2"/>
          <w:sz w:val="22"/>
        </w:rPr>
        <w:t> </w:t>
      </w:r>
      <w:r>
        <w:rPr>
          <w:sz w:val="22"/>
        </w:rPr>
        <w:t>C.,</w:t>
      </w:r>
      <w:r>
        <w:rPr>
          <w:spacing w:val="-2"/>
          <w:sz w:val="22"/>
        </w:rPr>
        <w:t> </w:t>
      </w:r>
      <w:r>
        <w:rPr>
          <w:sz w:val="22"/>
        </w:rPr>
        <w:t>&amp;</w:t>
      </w:r>
      <w:r>
        <w:rPr>
          <w:spacing w:val="-7"/>
          <w:sz w:val="22"/>
        </w:rPr>
        <w:t> </w:t>
      </w:r>
      <w:r>
        <w:rPr>
          <w:sz w:val="22"/>
        </w:rPr>
        <w:t>Beck,</w:t>
      </w:r>
      <w:r>
        <w:rPr>
          <w:spacing w:val="-3"/>
          <w:sz w:val="22"/>
        </w:rPr>
        <w:t> </w:t>
      </w:r>
      <w:r>
        <w:rPr>
          <w:sz w:val="22"/>
        </w:rPr>
        <w:t>E.</w:t>
      </w:r>
      <w:r>
        <w:rPr>
          <w:spacing w:val="-2"/>
          <w:sz w:val="22"/>
        </w:rPr>
        <w:t> </w:t>
      </w:r>
      <w:r>
        <w:rPr>
          <w:sz w:val="22"/>
        </w:rPr>
        <w:t>(2013).</w:t>
      </w:r>
      <w:r>
        <w:rPr>
          <w:spacing w:val="-5"/>
          <w:sz w:val="22"/>
        </w:rPr>
        <w:t> </w:t>
      </w:r>
      <w:r>
        <w:rPr>
          <w:sz w:val="22"/>
        </w:rPr>
        <w:t>Benefit sharing by research, education and knowledge transfer – a success story of biodiversity research in southern Ecuador. In </w:t>
      </w:r>
      <w:r>
        <w:rPr>
          <w:i/>
          <w:sz w:val="22"/>
        </w:rPr>
        <w:t>Tracking key trends in biodiversity science and policy</w:t>
      </w:r>
      <w:r>
        <w:rPr>
          <w:sz w:val="22"/>
        </w:rPr>
        <w:t>. Retrieved from </w:t>
      </w:r>
      <w:hyperlink r:id="rId29">
        <w:r>
          <w:rPr>
            <w:spacing w:val="-2"/>
            <w:sz w:val="22"/>
          </w:rPr>
          <w:t>www.TropicalMountainForest.org</w:t>
        </w:r>
      </w:hyperlink>
    </w:p>
    <w:p>
      <w:pPr>
        <w:spacing w:before="160"/>
        <w:ind w:left="638" w:right="0" w:hanging="481"/>
        <w:jc w:val="left"/>
        <w:rPr>
          <w:sz w:val="22"/>
        </w:rPr>
      </w:pPr>
      <w:r>
        <w:rPr>
          <w:sz w:val="22"/>
        </w:rPr>
        <w:t>Bergamnn,</w:t>
      </w:r>
      <w:r>
        <w:rPr>
          <w:spacing w:val="-1"/>
          <w:sz w:val="22"/>
        </w:rPr>
        <w:t> </w:t>
      </w:r>
      <w:r>
        <w:rPr>
          <w:sz w:val="22"/>
        </w:rPr>
        <w:t>A.</w:t>
      </w:r>
      <w:r>
        <w:rPr>
          <w:spacing w:val="-1"/>
          <w:sz w:val="22"/>
        </w:rPr>
        <w:t> </w:t>
      </w:r>
      <w:r>
        <w:rPr>
          <w:sz w:val="22"/>
        </w:rPr>
        <w:t>(2017). </w:t>
      </w:r>
      <w:r>
        <w:rPr>
          <w:i/>
          <w:sz w:val="22"/>
        </w:rPr>
        <w:t>Der</w:t>
      </w:r>
      <w:r>
        <w:rPr>
          <w:i/>
          <w:spacing w:val="-3"/>
          <w:sz w:val="22"/>
        </w:rPr>
        <w:t> </w:t>
      </w:r>
      <w:r>
        <w:rPr>
          <w:i/>
          <w:sz w:val="22"/>
        </w:rPr>
        <w:t>Einfluss</w:t>
      </w:r>
      <w:r>
        <w:rPr>
          <w:i/>
          <w:spacing w:val="-3"/>
          <w:sz w:val="22"/>
        </w:rPr>
        <w:t> </w:t>
      </w:r>
      <w:r>
        <w:rPr>
          <w:i/>
          <w:sz w:val="22"/>
        </w:rPr>
        <w:t>von</w:t>
      </w:r>
      <w:r>
        <w:rPr>
          <w:i/>
          <w:spacing w:val="-3"/>
          <w:sz w:val="22"/>
        </w:rPr>
        <w:t> </w:t>
      </w:r>
      <w:r>
        <w:rPr>
          <w:i/>
          <w:sz w:val="22"/>
        </w:rPr>
        <w:t>N</w:t>
      </w:r>
      <w:r>
        <w:rPr>
          <w:i/>
          <w:spacing w:val="-4"/>
          <w:sz w:val="22"/>
        </w:rPr>
        <w:t> </w:t>
      </w:r>
      <w:r>
        <w:rPr>
          <w:i/>
          <w:sz w:val="22"/>
        </w:rPr>
        <w:t>und/oder</w:t>
      </w:r>
      <w:r>
        <w:rPr>
          <w:i/>
          <w:spacing w:val="-3"/>
          <w:sz w:val="22"/>
        </w:rPr>
        <w:t> </w:t>
      </w:r>
      <w:r>
        <w:rPr>
          <w:i/>
          <w:sz w:val="22"/>
        </w:rPr>
        <w:t>P</w:t>
      </w:r>
      <w:r>
        <w:rPr>
          <w:i/>
          <w:spacing w:val="-4"/>
          <w:sz w:val="22"/>
        </w:rPr>
        <w:t> </w:t>
      </w:r>
      <w:r>
        <w:rPr>
          <w:i/>
          <w:sz w:val="22"/>
        </w:rPr>
        <w:t>Düngung</w:t>
      </w:r>
      <w:r>
        <w:rPr>
          <w:i/>
          <w:spacing w:val="-4"/>
          <w:sz w:val="22"/>
        </w:rPr>
        <w:t> </w:t>
      </w:r>
      <w:r>
        <w:rPr>
          <w:i/>
          <w:sz w:val="22"/>
        </w:rPr>
        <w:t>auf</w:t>
      </w:r>
      <w:r>
        <w:rPr>
          <w:i/>
          <w:spacing w:val="-4"/>
          <w:sz w:val="22"/>
        </w:rPr>
        <w:t> </w:t>
      </w:r>
      <w:r>
        <w:rPr>
          <w:i/>
          <w:sz w:val="22"/>
        </w:rPr>
        <w:t>die</w:t>
      </w:r>
      <w:r>
        <w:rPr>
          <w:i/>
          <w:spacing w:val="-4"/>
          <w:sz w:val="22"/>
        </w:rPr>
        <w:t> </w:t>
      </w:r>
      <w:r>
        <w:rPr>
          <w:i/>
          <w:sz w:val="22"/>
        </w:rPr>
        <w:t>Herbivorie</w:t>
      </w:r>
      <w:r>
        <w:rPr>
          <w:i/>
          <w:spacing w:val="-2"/>
          <w:sz w:val="22"/>
        </w:rPr>
        <w:t> </w:t>
      </w:r>
      <w:r>
        <w:rPr>
          <w:i/>
          <w:sz w:val="22"/>
        </w:rPr>
        <w:t>im</w:t>
      </w:r>
      <w:r>
        <w:rPr>
          <w:i/>
          <w:spacing w:val="-1"/>
          <w:sz w:val="22"/>
        </w:rPr>
        <w:t> </w:t>
      </w:r>
      <w:r>
        <w:rPr>
          <w:i/>
          <w:sz w:val="22"/>
        </w:rPr>
        <w:t>tropischen</w:t>
      </w:r>
      <w:r>
        <w:rPr>
          <w:i/>
          <w:spacing w:val="-3"/>
          <w:sz w:val="22"/>
        </w:rPr>
        <w:t> </w:t>
      </w:r>
      <w:r>
        <w:rPr>
          <w:i/>
          <w:sz w:val="22"/>
        </w:rPr>
        <w:t>Bergwald Ecuadors</w:t>
      </w:r>
      <w:r>
        <w:rPr>
          <w:sz w:val="22"/>
        </w:rPr>
        <w:t>. University Göttingen.</w:t>
      </w:r>
    </w:p>
    <w:p>
      <w:pPr>
        <w:spacing w:before="159"/>
        <w:ind w:left="638" w:right="225" w:hanging="481"/>
        <w:jc w:val="left"/>
        <w:rPr>
          <w:sz w:val="22"/>
        </w:rPr>
      </w:pPr>
      <w:r>
        <w:rPr>
          <w:sz w:val="22"/>
        </w:rPr>
        <w:t>Blonder, B., &amp; Harris, D. J. (2019). </w:t>
      </w:r>
      <w:r>
        <w:rPr>
          <w:i/>
          <w:sz w:val="22"/>
        </w:rPr>
        <w:t>hypervolume: High Dimensional Geometry and Set Operations Using Kernel</w:t>
      </w:r>
      <w:r>
        <w:rPr>
          <w:i/>
          <w:spacing w:val="-3"/>
          <w:sz w:val="22"/>
        </w:rPr>
        <w:t> </w:t>
      </w:r>
      <w:r>
        <w:rPr>
          <w:i/>
          <w:sz w:val="22"/>
        </w:rPr>
        <w:t>Density</w:t>
      </w:r>
      <w:r>
        <w:rPr>
          <w:i/>
          <w:spacing w:val="-6"/>
          <w:sz w:val="22"/>
        </w:rPr>
        <w:t> </w:t>
      </w:r>
      <w:r>
        <w:rPr>
          <w:i/>
          <w:sz w:val="22"/>
        </w:rPr>
        <w:t>Estimation,</w:t>
      </w:r>
      <w:r>
        <w:rPr>
          <w:i/>
          <w:spacing w:val="-2"/>
          <w:sz w:val="22"/>
        </w:rPr>
        <w:t> </w:t>
      </w:r>
      <w:r>
        <w:rPr>
          <w:i/>
          <w:sz w:val="22"/>
        </w:rPr>
        <w:t>Support</w:t>
      </w:r>
      <w:r>
        <w:rPr>
          <w:i/>
          <w:spacing w:val="-3"/>
          <w:sz w:val="22"/>
        </w:rPr>
        <w:t> </w:t>
      </w:r>
      <w:r>
        <w:rPr>
          <w:i/>
          <w:sz w:val="22"/>
        </w:rPr>
        <w:t>Vector</w:t>
      </w:r>
      <w:r>
        <w:rPr>
          <w:i/>
          <w:spacing w:val="-2"/>
          <w:sz w:val="22"/>
        </w:rPr>
        <w:t> </w:t>
      </w:r>
      <w:r>
        <w:rPr>
          <w:i/>
          <w:sz w:val="22"/>
        </w:rPr>
        <w:t>Machines,</w:t>
      </w:r>
      <w:r>
        <w:rPr>
          <w:i/>
          <w:spacing w:val="-2"/>
          <w:sz w:val="22"/>
        </w:rPr>
        <w:t> </w:t>
      </w:r>
      <w:r>
        <w:rPr>
          <w:i/>
          <w:sz w:val="22"/>
        </w:rPr>
        <w:t>and</w:t>
      </w:r>
      <w:r>
        <w:rPr>
          <w:i/>
          <w:spacing w:val="-4"/>
          <w:sz w:val="22"/>
        </w:rPr>
        <w:t> </w:t>
      </w:r>
      <w:r>
        <w:rPr>
          <w:i/>
          <w:sz w:val="22"/>
        </w:rPr>
        <w:t>Convex</w:t>
      </w:r>
      <w:r>
        <w:rPr>
          <w:i/>
          <w:spacing w:val="-5"/>
          <w:sz w:val="22"/>
        </w:rPr>
        <w:t> </w:t>
      </w:r>
      <w:r>
        <w:rPr>
          <w:i/>
          <w:sz w:val="22"/>
        </w:rPr>
        <w:t>Hulls</w:t>
      </w:r>
      <w:r>
        <w:rPr>
          <w:sz w:val="22"/>
        </w:rPr>
        <w:t>.</w:t>
      </w:r>
      <w:r>
        <w:rPr>
          <w:spacing w:val="-2"/>
          <w:sz w:val="22"/>
        </w:rPr>
        <w:t> </w:t>
      </w:r>
      <w:r>
        <w:rPr>
          <w:sz w:val="22"/>
        </w:rPr>
        <w:t>Retrieved</w:t>
      </w:r>
      <w:r>
        <w:rPr>
          <w:spacing w:val="-4"/>
          <w:sz w:val="22"/>
        </w:rPr>
        <w:t> </w:t>
      </w:r>
      <w:r>
        <w:rPr>
          <w:sz w:val="22"/>
        </w:rPr>
        <w:t>from</w:t>
      </w:r>
      <w:r>
        <w:rPr>
          <w:spacing w:val="-3"/>
          <w:sz w:val="22"/>
        </w:rPr>
        <w:t> </w:t>
      </w:r>
      <w:hyperlink r:id="rId30">
        <w:r>
          <w:rPr>
            <w:sz w:val="22"/>
          </w:rPr>
          <w:t>https://cran.r-</w:t>
        </w:r>
        <w:r>
          <w:rPr>
            <w:spacing w:val="-2"/>
            <w:sz w:val="22"/>
          </w:rPr>
          <w:t>project.org/package=hypervolume</w:t>
        </w:r>
      </w:hyperlink>
    </w:p>
    <w:p>
      <w:pPr>
        <w:spacing w:after="0"/>
        <w:jc w:val="left"/>
        <w:rPr>
          <w:sz w:val="22"/>
        </w:rPr>
        <w:sectPr>
          <w:pgSz w:w="12240" w:h="15840"/>
          <w:pgMar w:header="0" w:footer="1012" w:top="1240" w:bottom="1200" w:left="850" w:right="850"/>
        </w:sectPr>
      </w:pPr>
    </w:p>
    <w:p>
      <w:pPr>
        <w:spacing w:before="37"/>
        <w:ind w:left="638" w:right="211" w:hanging="481"/>
        <w:jc w:val="left"/>
        <w:rPr>
          <w:sz w:val="22"/>
        </w:rPr>
      </w:pPr>
      <w:r>
        <w:rPr>
          <w:sz w:val="22"/>
        </w:rPr>
        <w:t>Blonder,</w:t>
      </w:r>
      <w:r>
        <w:rPr>
          <w:spacing w:val="-2"/>
          <w:sz w:val="22"/>
        </w:rPr>
        <w:t> </w:t>
      </w:r>
      <w:r>
        <w:rPr>
          <w:sz w:val="22"/>
        </w:rPr>
        <w:t>B.,</w:t>
      </w:r>
      <w:r>
        <w:rPr>
          <w:spacing w:val="-2"/>
          <w:sz w:val="22"/>
        </w:rPr>
        <w:t> </w:t>
      </w:r>
      <w:r>
        <w:rPr>
          <w:sz w:val="22"/>
        </w:rPr>
        <w:t>Lamanna,</w:t>
      </w:r>
      <w:r>
        <w:rPr>
          <w:spacing w:val="-2"/>
          <w:sz w:val="22"/>
        </w:rPr>
        <w:t> </w:t>
      </w:r>
      <w:r>
        <w:rPr>
          <w:sz w:val="22"/>
        </w:rPr>
        <w:t>C.,</w:t>
      </w:r>
      <w:r>
        <w:rPr>
          <w:spacing w:val="-5"/>
          <w:sz w:val="22"/>
        </w:rPr>
        <w:t> </w:t>
      </w:r>
      <w:r>
        <w:rPr>
          <w:sz w:val="22"/>
        </w:rPr>
        <w:t>Violle,</w:t>
      </w:r>
      <w:r>
        <w:rPr>
          <w:spacing w:val="-3"/>
          <w:sz w:val="22"/>
        </w:rPr>
        <w:t> </w:t>
      </w:r>
      <w:r>
        <w:rPr>
          <w:sz w:val="22"/>
        </w:rPr>
        <w:t>C.,</w:t>
      </w:r>
      <w:r>
        <w:rPr>
          <w:spacing w:val="-2"/>
          <w:sz w:val="22"/>
        </w:rPr>
        <w:t> </w:t>
      </w:r>
      <w:r>
        <w:rPr>
          <w:sz w:val="22"/>
        </w:rPr>
        <w:t>&amp;</w:t>
      </w:r>
      <w:r>
        <w:rPr>
          <w:spacing w:val="-4"/>
          <w:sz w:val="22"/>
        </w:rPr>
        <w:t> </w:t>
      </w:r>
      <w:r>
        <w:rPr>
          <w:sz w:val="22"/>
        </w:rPr>
        <w:t>Enquist,</w:t>
      </w:r>
      <w:r>
        <w:rPr>
          <w:spacing w:val="-2"/>
          <w:sz w:val="22"/>
        </w:rPr>
        <w:t> </w:t>
      </w:r>
      <w:r>
        <w:rPr>
          <w:sz w:val="22"/>
        </w:rPr>
        <w:t>B.</w:t>
      </w:r>
      <w:r>
        <w:rPr>
          <w:spacing w:val="-2"/>
          <w:sz w:val="22"/>
        </w:rPr>
        <w:t> </w:t>
      </w:r>
      <w:r>
        <w:rPr>
          <w:sz w:val="22"/>
        </w:rPr>
        <w:t>J.</w:t>
      </w:r>
      <w:r>
        <w:rPr>
          <w:spacing w:val="-5"/>
          <w:sz w:val="22"/>
        </w:rPr>
        <w:t> </w:t>
      </w:r>
      <w:r>
        <w:rPr>
          <w:sz w:val="22"/>
        </w:rPr>
        <w:t>(2014).</w:t>
      </w:r>
      <w:r>
        <w:rPr>
          <w:spacing w:val="-2"/>
          <w:sz w:val="22"/>
        </w:rPr>
        <w:t> </w:t>
      </w:r>
      <w:r>
        <w:rPr>
          <w:sz w:val="22"/>
        </w:rPr>
        <w:t>The</w:t>
      </w:r>
      <w:r>
        <w:rPr>
          <w:spacing w:val="-3"/>
          <w:sz w:val="22"/>
        </w:rPr>
        <w:t> </w:t>
      </w:r>
      <w:r>
        <w:rPr>
          <w:sz w:val="22"/>
        </w:rPr>
        <w:t>n -dimensional</w:t>
      </w:r>
      <w:r>
        <w:rPr>
          <w:spacing w:val="-3"/>
          <w:sz w:val="22"/>
        </w:rPr>
        <w:t> </w:t>
      </w:r>
      <w:r>
        <w:rPr>
          <w:sz w:val="22"/>
        </w:rPr>
        <w:t>hypervolume.</w:t>
      </w:r>
      <w:r>
        <w:rPr>
          <w:spacing w:val="-1"/>
          <w:sz w:val="22"/>
        </w:rPr>
        <w:t> </w:t>
      </w:r>
      <w:r>
        <w:rPr>
          <w:i/>
          <w:sz w:val="22"/>
        </w:rPr>
        <w:t>Global Ecology and Biogeography</w:t>
      </w:r>
      <w:r>
        <w:rPr>
          <w:sz w:val="22"/>
        </w:rPr>
        <w:t>, </w:t>
      </w:r>
      <w:r>
        <w:rPr>
          <w:i/>
          <w:sz w:val="22"/>
        </w:rPr>
        <w:t>23</w:t>
      </w:r>
      <w:r>
        <w:rPr>
          <w:sz w:val="22"/>
        </w:rPr>
        <w:t>(5), 595–609. </w:t>
      </w:r>
      <w:hyperlink r:id="rId31">
        <w:r>
          <w:rPr>
            <w:sz w:val="22"/>
          </w:rPr>
          <w:t>https://doi.org/10.1111/geb.12146</w:t>
        </w:r>
      </w:hyperlink>
    </w:p>
    <w:p>
      <w:pPr>
        <w:spacing w:before="159"/>
        <w:ind w:left="638" w:right="211" w:hanging="481"/>
        <w:jc w:val="left"/>
        <w:rPr>
          <w:sz w:val="22"/>
        </w:rPr>
      </w:pPr>
      <w:r>
        <w:rPr>
          <w:sz w:val="22"/>
        </w:rPr>
        <w:t>Bouwman, L., Goldewijk, K. K., Van Der Hoek, K. W., Beusen, A. H. W., Van Vuuren, D. P., Willems, J., … Stehfest,</w:t>
      </w:r>
      <w:r>
        <w:rPr>
          <w:spacing w:val="-2"/>
          <w:sz w:val="22"/>
        </w:rPr>
        <w:t> </w:t>
      </w:r>
      <w:r>
        <w:rPr>
          <w:sz w:val="22"/>
        </w:rPr>
        <w:t>E.</w:t>
      </w:r>
      <w:r>
        <w:rPr>
          <w:spacing w:val="-2"/>
          <w:sz w:val="22"/>
        </w:rPr>
        <w:t> </w:t>
      </w:r>
      <w:r>
        <w:rPr>
          <w:sz w:val="22"/>
        </w:rPr>
        <w:t>(2013).</w:t>
      </w:r>
      <w:r>
        <w:rPr>
          <w:spacing w:val="-2"/>
          <w:sz w:val="22"/>
        </w:rPr>
        <w:t> </w:t>
      </w:r>
      <w:r>
        <w:rPr>
          <w:sz w:val="22"/>
        </w:rPr>
        <w:t>Exploring</w:t>
      </w:r>
      <w:r>
        <w:rPr>
          <w:spacing w:val="-5"/>
          <w:sz w:val="22"/>
        </w:rPr>
        <w:t> </w:t>
      </w:r>
      <w:r>
        <w:rPr>
          <w:sz w:val="22"/>
        </w:rPr>
        <w:t>global</w:t>
      </w:r>
      <w:r>
        <w:rPr>
          <w:spacing w:val="-3"/>
          <w:sz w:val="22"/>
        </w:rPr>
        <w:t> </w:t>
      </w:r>
      <w:r>
        <w:rPr>
          <w:sz w:val="22"/>
        </w:rPr>
        <w:t>changes</w:t>
      </w:r>
      <w:r>
        <w:rPr>
          <w:spacing w:val="-3"/>
          <w:sz w:val="22"/>
        </w:rPr>
        <w:t> </w:t>
      </w:r>
      <w:r>
        <w:rPr>
          <w:sz w:val="22"/>
        </w:rPr>
        <w:t>in</w:t>
      </w:r>
      <w:r>
        <w:rPr>
          <w:spacing w:val="-2"/>
          <w:sz w:val="22"/>
        </w:rPr>
        <w:t> </w:t>
      </w:r>
      <w:r>
        <w:rPr>
          <w:sz w:val="22"/>
        </w:rPr>
        <w:t>nitrogen</w:t>
      </w:r>
      <w:r>
        <w:rPr>
          <w:spacing w:val="-2"/>
          <w:sz w:val="22"/>
        </w:rPr>
        <w:t> </w:t>
      </w:r>
      <w:r>
        <w:rPr>
          <w:sz w:val="22"/>
        </w:rPr>
        <w:t>and</w:t>
      </w:r>
      <w:r>
        <w:rPr>
          <w:spacing w:val="-6"/>
          <w:sz w:val="22"/>
        </w:rPr>
        <w:t> </w:t>
      </w:r>
      <w:r>
        <w:rPr>
          <w:sz w:val="22"/>
        </w:rPr>
        <w:t>phosphorus</w:t>
      </w:r>
      <w:r>
        <w:rPr>
          <w:spacing w:val="-4"/>
          <w:sz w:val="22"/>
        </w:rPr>
        <w:t> </w:t>
      </w:r>
      <w:r>
        <w:rPr>
          <w:sz w:val="22"/>
        </w:rPr>
        <w:t>cycles</w:t>
      </w:r>
      <w:r>
        <w:rPr>
          <w:spacing w:val="-3"/>
          <w:sz w:val="22"/>
        </w:rPr>
        <w:t> </w:t>
      </w:r>
      <w:r>
        <w:rPr>
          <w:sz w:val="22"/>
        </w:rPr>
        <w:t>in</w:t>
      </w:r>
      <w:r>
        <w:rPr>
          <w:spacing w:val="-2"/>
          <w:sz w:val="22"/>
        </w:rPr>
        <w:t> </w:t>
      </w:r>
      <w:r>
        <w:rPr>
          <w:sz w:val="22"/>
        </w:rPr>
        <w:t>agriculture</w:t>
      </w:r>
      <w:r>
        <w:rPr>
          <w:spacing w:val="-4"/>
          <w:sz w:val="22"/>
        </w:rPr>
        <w:t> </w:t>
      </w:r>
      <w:r>
        <w:rPr>
          <w:sz w:val="22"/>
        </w:rPr>
        <w:t>induced by</w:t>
      </w:r>
      <w:r>
        <w:rPr>
          <w:spacing w:val="-4"/>
          <w:sz w:val="22"/>
        </w:rPr>
        <w:t> </w:t>
      </w:r>
      <w:r>
        <w:rPr>
          <w:sz w:val="22"/>
        </w:rPr>
        <w:t>livestock</w:t>
      </w:r>
      <w:r>
        <w:rPr>
          <w:spacing w:val="-4"/>
          <w:sz w:val="22"/>
        </w:rPr>
        <w:t> </w:t>
      </w:r>
      <w:r>
        <w:rPr>
          <w:sz w:val="22"/>
        </w:rPr>
        <w:t>production</w:t>
      </w:r>
      <w:r>
        <w:rPr>
          <w:spacing w:val="-2"/>
          <w:sz w:val="22"/>
        </w:rPr>
        <w:t> </w:t>
      </w:r>
      <w:r>
        <w:rPr>
          <w:sz w:val="22"/>
        </w:rPr>
        <w:t>over</w:t>
      </w:r>
      <w:r>
        <w:rPr>
          <w:spacing w:val="-4"/>
          <w:sz w:val="22"/>
        </w:rPr>
        <w:t> </w:t>
      </w:r>
      <w:r>
        <w:rPr>
          <w:sz w:val="22"/>
        </w:rPr>
        <w:t>the</w:t>
      </w:r>
      <w:r>
        <w:rPr>
          <w:spacing w:val="-3"/>
          <w:sz w:val="22"/>
        </w:rPr>
        <w:t> </w:t>
      </w:r>
      <w:r>
        <w:rPr>
          <w:sz w:val="22"/>
        </w:rPr>
        <w:t>1900-2050</w:t>
      </w:r>
      <w:r>
        <w:rPr>
          <w:spacing w:val="-5"/>
          <w:sz w:val="22"/>
        </w:rPr>
        <w:t> </w:t>
      </w:r>
      <w:r>
        <w:rPr>
          <w:sz w:val="22"/>
        </w:rPr>
        <w:t>period.</w:t>
      </w:r>
      <w:r>
        <w:rPr>
          <w:spacing w:val="-3"/>
          <w:sz w:val="22"/>
        </w:rPr>
        <w:t> </w:t>
      </w:r>
      <w:r>
        <w:rPr>
          <w:i/>
          <w:sz w:val="22"/>
        </w:rPr>
        <w:t>Proceedings</w:t>
      </w:r>
      <w:r>
        <w:rPr>
          <w:i/>
          <w:spacing w:val="-3"/>
          <w:sz w:val="22"/>
        </w:rPr>
        <w:t> </w:t>
      </w:r>
      <w:r>
        <w:rPr>
          <w:i/>
          <w:sz w:val="22"/>
        </w:rPr>
        <w:t>of</w:t>
      </w:r>
      <w:r>
        <w:rPr>
          <w:i/>
          <w:spacing w:val="-2"/>
          <w:sz w:val="22"/>
        </w:rPr>
        <w:t> </w:t>
      </w:r>
      <w:r>
        <w:rPr>
          <w:i/>
          <w:sz w:val="22"/>
        </w:rPr>
        <w:t>the</w:t>
      </w:r>
      <w:r>
        <w:rPr>
          <w:i/>
          <w:spacing w:val="-4"/>
          <w:sz w:val="22"/>
        </w:rPr>
        <w:t> </w:t>
      </w:r>
      <w:r>
        <w:rPr>
          <w:i/>
          <w:sz w:val="22"/>
        </w:rPr>
        <w:t>National</w:t>
      </w:r>
      <w:r>
        <w:rPr>
          <w:i/>
          <w:spacing w:val="-2"/>
          <w:sz w:val="22"/>
        </w:rPr>
        <w:t> </w:t>
      </w:r>
      <w:r>
        <w:rPr>
          <w:i/>
          <w:sz w:val="22"/>
        </w:rPr>
        <w:t>Academy</w:t>
      </w:r>
      <w:r>
        <w:rPr>
          <w:i/>
          <w:spacing w:val="-3"/>
          <w:sz w:val="22"/>
        </w:rPr>
        <w:t> </w:t>
      </w:r>
      <w:r>
        <w:rPr>
          <w:i/>
          <w:sz w:val="22"/>
        </w:rPr>
        <w:t>of</w:t>
      </w:r>
      <w:r>
        <w:rPr>
          <w:i/>
          <w:spacing w:val="-2"/>
          <w:sz w:val="22"/>
        </w:rPr>
        <w:t> </w:t>
      </w:r>
      <w:r>
        <w:rPr>
          <w:i/>
          <w:sz w:val="22"/>
        </w:rPr>
        <w:t>Sciences</w:t>
      </w:r>
      <w:r>
        <w:rPr>
          <w:i/>
          <w:spacing w:val="-3"/>
          <w:sz w:val="22"/>
        </w:rPr>
        <w:t> </w:t>
      </w:r>
      <w:r>
        <w:rPr>
          <w:i/>
          <w:sz w:val="22"/>
        </w:rPr>
        <w:t>of the United States of America</w:t>
      </w:r>
      <w:r>
        <w:rPr>
          <w:sz w:val="22"/>
        </w:rPr>
        <w:t>, </w:t>
      </w:r>
      <w:r>
        <w:rPr>
          <w:i/>
          <w:sz w:val="22"/>
        </w:rPr>
        <w:t>110</w:t>
      </w:r>
      <w:r>
        <w:rPr>
          <w:sz w:val="22"/>
        </w:rPr>
        <w:t>(52), 20882–20887. </w:t>
      </w:r>
      <w:hyperlink r:id="rId32">
        <w:r>
          <w:rPr>
            <w:sz w:val="22"/>
          </w:rPr>
          <w:t>https://doi.org/10.1073/pnas.1012878108</w:t>
        </w:r>
      </w:hyperlink>
    </w:p>
    <w:p>
      <w:pPr>
        <w:spacing w:before="159"/>
        <w:ind w:left="638" w:right="0" w:hanging="481"/>
        <w:jc w:val="left"/>
        <w:rPr>
          <w:sz w:val="22"/>
        </w:rPr>
      </w:pPr>
      <w:r>
        <w:rPr>
          <w:sz w:val="22"/>
        </w:rPr>
        <w:t>Boy,</w:t>
      </w:r>
      <w:r>
        <w:rPr>
          <w:spacing w:val="-3"/>
          <w:sz w:val="22"/>
        </w:rPr>
        <w:t> </w:t>
      </w:r>
      <w:r>
        <w:rPr>
          <w:sz w:val="22"/>
        </w:rPr>
        <w:t>J.,</w:t>
      </w:r>
      <w:r>
        <w:rPr>
          <w:spacing w:val="-2"/>
          <w:sz w:val="22"/>
        </w:rPr>
        <w:t> </w:t>
      </w:r>
      <w:r>
        <w:rPr>
          <w:sz w:val="22"/>
        </w:rPr>
        <w:t>Rollenbeck,</w:t>
      </w:r>
      <w:r>
        <w:rPr>
          <w:spacing w:val="-2"/>
          <w:sz w:val="22"/>
        </w:rPr>
        <w:t> </w:t>
      </w:r>
      <w:r>
        <w:rPr>
          <w:sz w:val="22"/>
        </w:rPr>
        <w:t>R.,</w:t>
      </w:r>
      <w:r>
        <w:rPr>
          <w:spacing w:val="-2"/>
          <w:sz w:val="22"/>
        </w:rPr>
        <w:t> </w:t>
      </w:r>
      <w:r>
        <w:rPr>
          <w:sz w:val="22"/>
        </w:rPr>
        <w:t>Valarezo,</w:t>
      </w:r>
      <w:r>
        <w:rPr>
          <w:spacing w:val="-2"/>
          <w:sz w:val="22"/>
        </w:rPr>
        <w:t> </w:t>
      </w:r>
      <w:r>
        <w:rPr>
          <w:sz w:val="22"/>
        </w:rPr>
        <w:t>C.,</w:t>
      </w:r>
      <w:r>
        <w:rPr>
          <w:spacing w:val="-2"/>
          <w:sz w:val="22"/>
        </w:rPr>
        <w:t> </w:t>
      </w:r>
      <w:r>
        <w:rPr>
          <w:sz w:val="22"/>
        </w:rPr>
        <w:t>&amp;</w:t>
      </w:r>
      <w:r>
        <w:rPr>
          <w:spacing w:val="-4"/>
          <w:sz w:val="22"/>
        </w:rPr>
        <w:t> </w:t>
      </w:r>
      <w:r>
        <w:rPr>
          <w:sz w:val="22"/>
        </w:rPr>
        <w:t>Wilcke,</w:t>
      </w:r>
      <w:r>
        <w:rPr>
          <w:spacing w:val="-2"/>
          <w:sz w:val="22"/>
        </w:rPr>
        <w:t> </w:t>
      </w:r>
      <w:r>
        <w:rPr>
          <w:sz w:val="22"/>
        </w:rPr>
        <w:t>W.</w:t>
      </w:r>
      <w:r>
        <w:rPr>
          <w:spacing w:val="-2"/>
          <w:sz w:val="22"/>
        </w:rPr>
        <w:t> </w:t>
      </w:r>
      <w:r>
        <w:rPr>
          <w:sz w:val="22"/>
        </w:rPr>
        <w:t>(2008).</w:t>
      </w:r>
      <w:r>
        <w:rPr>
          <w:spacing w:val="-5"/>
          <w:sz w:val="22"/>
        </w:rPr>
        <w:t> </w:t>
      </w:r>
      <w:r>
        <w:rPr>
          <w:sz w:val="22"/>
        </w:rPr>
        <w:t>Amazonian</w:t>
      </w:r>
      <w:r>
        <w:rPr>
          <w:spacing w:val="-2"/>
          <w:sz w:val="22"/>
        </w:rPr>
        <w:t> </w:t>
      </w:r>
      <w:r>
        <w:rPr>
          <w:sz w:val="22"/>
        </w:rPr>
        <w:t>biomass</w:t>
      </w:r>
      <w:r>
        <w:rPr>
          <w:spacing w:val="-5"/>
          <w:sz w:val="22"/>
        </w:rPr>
        <w:t> </w:t>
      </w:r>
      <w:r>
        <w:rPr>
          <w:sz w:val="22"/>
        </w:rPr>
        <w:t>burning-derived</w:t>
      </w:r>
      <w:r>
        <w:rPr>
          <w:spacing w:val="-4"/>
          <w:sz w:val="22"/>
        </w:rPr>
        <w:t> </w:t>
      </w:r>
      <w:r>
        <w:rPr>
          <w:sz w:val="22"/>
        </w:rPr>
        <w:t>acid</w:t>
      </w:r>
      <w:r>
        <w:rPr>
          <w:spacing w:val="-4"/>
          <w:sz w:val="22"/>
        </w:rPr>
        <w:t> </w:t>
      </w:r>
      <w:r>
        <w:rPr>
          <w:sz w:val="22"/>
        </w:rPr>
        <w:t>and nutrient</w:t>
      </w:r>
      <w:r>
        <w:rPr>
          <w:spacing w:val="-6"/>
          <w:sz w:val="22"/>
        </w:rPr>
        <w:t> </w:t>
      </w:r>
      <w:r>
        <w:rPr>
          <w:sz w:val="22"/>
        </w:rPr>
        <w:t>deposition</w:t>
      </w:r>
      <w:r>
        <w:rPr>
          <w:spacing w:val="-3"/>
          <w:sz w:val="22"/>
        </w:rPr>
        <w:t> </w:t>
      </w:r>
      <w:r>
        <w:rPr>
          <w:sz w:val="22"/>
        </w:rPr>
        <w:t>in</w:t>
      </w:r>
      <w:r>
        <w:rPr>
          <w:spacing w:val="-6"/>
          <w:sz w:val="22"/>
        </w:rPr>
        <w:t> </w:t>
      </w:r>
      <w:r>
        <w:rPr>
          <w:sz w:val="22"/>
        </w:rPr>
        <w:t>the</w:t>
      </w:r>
      <w:r>
        <w:rPr>
          <w:spacing w:val="-4"/>
          <w:sz w:val="22"/>
        </w:rPr>
        <w:t> </w:t>
      </w:r>
      <w:r>
        <w:rPr>
          <w:sz w:val="22"/>
        </w:rPr>
        <w:t>north</w:t>
      </w:r>
      <w:r>
        <w:rPr>
          <w:spacing w:val="-5"/>
          <w:sz w:val="22"/>
        </w:rPr>
        <w:t> </w:t>
      </w:r>
      <w:r>
        <w:rPr>
          <w:sz w:val="22"/>
        </w:rPr>
        <w:t>Andean</w:t>
      </w:r>
      <w:r>
        <w:rPr>
          <w:spacing w:val="-5"/>
          <w:sz w:val="22"/>
        </w:rPr>
        <w:t> </w:t>
      </w:r>
      <w:r>
        <w:rPr>
          <w:sz w:val="22"/>
        </w:rPr>
        <w:t>montane</w:t>
      </w:r>
      <w:r>
        <w:rPr>
          <w:spacing w:val="-7"/>
          <w:sz w:val="22"/>
        </w:rPr>
        <w:t> </w:t>
      </w:r>
      <w:r>
        <w:rPr>
          <w:sz w:val="22"/>
        </w:rPr>
        <w:t>forest</w:t>
      </w:r>
      <w:r>
        <w:rPr>
          <w:spacing w:val="-3"/>
          <w:sz w:val="22"/>
        </w:rPr>
        <w:t> </w:t>
      </w:r>
      <w:r>
        <w:rPr>
          <w:sz w:val="22"/>
        </w:rPr>
        <w:t>of</w:t>
      </w:r>
      <w:r>
        <w:rPr>
          <w:spacing w:val="-4"/>
          <w:sz w:val="22"/>
        </w:rPr>
        <w:t> </w:t>
      </w:r>
      <w:r>
        <w:rPr>
          <w:sz w:val="22"/>
        </w:rPr>
        <w:t>Ecuador.</w:t>
      </w:r>
      <w:r>
        <w:rPr>
          <w:spacing w:val="2"/>
          <w:sz w:val="22"/>
        </w:rPr>
        <w:t> </w:t>
      </w:r>
      <w:r>
        <w:rPr>
          <w:i/>
          <w:sz w:val="22"/>
        </w:rPr>
        <w:t>Global</w:t>
      </w:r>
      <w:r>
        <w:rPr>
          <w:i/>
          <w:spacing w:val="-6"/>
          <w:sz w:val="22"/>
        </w:rPr>
        <w:t> </w:t>
      </w:r>
      <w:r>
        <w:rPr>
          <w:i/>
          <w:sz w:val="22"/>
        </w:rPr>
        <w:t>Biogeochemical</w:t>
      </w:r>
      <w:r>
        <w:rPr>
          <w:i/>
          <w:spacing w:val="-2"/>
          <w:sz w:val="22"/>
        </w:rPr>
        <w:t> Cycles</w:t>
      </w:r>
      <w:r>
        <w:rPr>
          <w:spacing w:val="-2"/>
          <w:sz w:val="22"/>
        </w:rPr>
        <w:t>,</w:t>
      </w:r>
    </w:p>
    <w:p>
      <w:pPr>
        <w:spacing w:before="1"/>
        <w:ind w:left="638" w:right="0" w:firstLine="0"/>
        <w:jc w:val="left"/>
        <w:rPr>
          <w:sz w:val="22"/>
        </w:rPr>
      </w:pPr>
      <w:r>
        <w:rPr>
          <w:i/>
          <w:sz w:val="22"/>
        </w:rPr>
        <w:t>22</w:t>
      </w:r>
      <w:r>
        <w:rPr>
          <w:sz w:val="22"/>
        </w:rPr>
        <w:t>(4).</w:t>
      </w:r>
      <w:r>
        <w:rPr>
          <w:spacing w:val="-1"/>
          <w:sz w:val="22"/>
        </w:rPr>
        <w:t> </w:t>
      </w:r>
      <w:hyperlink r:id="rId33">
        <w:r>
          <w:rPr>
            <w:spacing w:val="-2"/>
            <w:sz w:val="22"/>
          </w:rPr>
          <w:t>https://doi.org/10.1029/2007GB003158</w:t>
        </w:r>
      </w:hyperlink>
    </w:p>
    <w:p>
      <w:pPr>
        <w:spacing w:before="161"/>
        <w:ind w:left="638" w:right="0" w:hanging="481"/>
        <w:jc w:val="left"/>
        <w:rPr>
          <w:sz w:val="22"/>
        </w:rPr>
      </w:pPr>
      <w:r>
        <w:rPr>
          <w:sz w:val="22"/>
        </w:rPr>
        <w:t>Brummitt,</w:t>
      </w:r>
      <w:r>
        <w:rPr>
          <w:spacing w:val="-2"/>
          <w:sz w:val="22"/>
        </w:rPr>
        <w:t> </w:t>
      </w:r>
      <w:r>
        <w:rPr>
          <w:sz w:val="22"/>
        </w:rPr>
        <w:t>N.,</w:t>
      </w:r>
      <w:r>
        <w:rPr>
          <w:spacing w:val="-2"/>
          <w:sz w:val="22"/>
        </w:rPr>
        <w:t> </w:t>
      </w:r>
      <w:r>
        <w:rPr>
          <w:sz w:val="22"/>
        </w:rPr>
        <w:t>&amp;</w:t>
      </w:r>
      <w:r>
        <w:rPr>
          <w:spacing w:val="-4"/>
          <w:sz w:val="22"/>
        </w:rPr>
        <w:t> </w:t>
      </w:r>
      <w:r>
        <w:rPr>
          <w:sz w:val="22"/>
        </w:rPr>
        <w:t>Lughadha,</w:t>
      </w:r>
      <w:r>
        <w:rPr>
          <w:spacing w:val="-3"/>
          <w:sz w:val="22"/>
        </w:rPr>
        <w:t> </w:t>
      </w:r>
      <w:r>
        <w:rPr>
          <w:sz w:val="22"/>
        </w:rPr>
        <w:t>E.</w:t>
      </w:r>
      <w:r>
        <w:rPr>
          <w:spacing w:val="-2"/>
          <w:sz w:val="22"/>
        </w:rPr>
        <w:t> </w:t>
      </w:r>
      <w:r>
        <w:rPr>
          <w:sz w:val="22"/>
        </w:rPr>
        <w:t>N.</w:t>
      </w:r>
      <w:r>
        <w:rPr>
          <w:spacing w:val="-2"/>
          <w:sz w:val="22"/>
        </w:rPr>
        <w:t> </w:t>
      </w:r>
      <w:r>
        <w:rPr>
          <w:sz w:val="22"/>
        </w:rPr>
        <w:t>(2003).</w:t>
      </w:r>
      <w:r>
        <w:rPr>
          <w:spacing w:val="-2"/>
          <w:sz w:val="22"/>
        </w:rPr>
        <w:t> </w:t>
      </w:r>
      <w:r>
        <w:rPr>
          <w:sz w:val="22"/>
        </w:rPr>
        <w:t>Biodiversity:</w:t>
      </w:r>
      <w:r>
        <w:rPr>
          <w:spacing w:val="-5"/>
          <w:sz w:val="22"/>
        </w:rPr>
        <w:t> </w:t>
      </w:r>
      <w:r>
        <w:rPr>
          <w:sz w:val="22"/>
        </w:rPr>
        <w:t>Where’s</w:t>
      </w:r>
      <w:r>
        <w:rPr>
          <w:spacing w:val="-4"/>
          <w:sz w:val="22"/>
        </w:rPr>
        <w:t> </w:t>
      </w:r>
      <w:r>
        <w:rPr>
          <w:sz w:val="22"/>
        </w:rPr>
        <w:t>Hot</w:t>
      </w:r>
      <w:r>
        <w:rPr>
          <w:spacing w:val="-2"/>
          <w:sz w:val="22"/>
        </w:rPr>
        <w:t> </w:t>
      </w:r>
      <w:r>
        <w:rPr>
          <w:sz w:val="22"/>
        </w:rPr>
        <w:t>and</w:t>
      </w:r>
      <w:r>
        <w:rPr>
          <w:spacing w:val="-4"/>
          <w:sz w:val="22"/>
        </w:rPr>
        <w:t> </w:t>
      </w:r>
      <w:r>
        <w:rPr>
          <w:sz w:val="22"/>
        </w:rPr>
        <w:t>Where’s</w:t>
      </w:r>
      <w:r>
        <w:rPr>
          <w:spacing w:val="-4"/>
          <w:sz w:val="22"/>
        </w:rPr>
        <w:t> </w:t>
      </w:r>
      <w:r>
        <w:rPr>
          <w:sz w:val="22"/>
        </w:rPr>
        <w:t>Not.</w:t>
      </w:r>
      <w:r>
        <w:rPr>
          <w:spacing w:val="-2"/>
          <w:sz w:val="22"/>
        </w:rPr>
        <w:t> </w:t>
      </w:r>
      <w:r>
        <w:rPr>
          <w:i/>
          <w:sz w:val="22"/>
        </w:rPr>
        <w:t>Conservation</w:t>
      </w:r>
      <w:r>
        <w:rPr>
          <w:i/>
          <w:spacing w:val="-4"/>
          <w:sz w:val="22"/>
        </w:rPr>
        <w:t> </w:t>
      </w:r>
      <w:r>
        <w:rPr>
          <w:i/>
          <w:sz w:val="22"/>
        </w:rPr>
        <w:t>Biology</w:t>
      </w:r>
      <w:r>
        <w:rPr>
          <w:sz w:val="22"/>
        </w:rPr>
        <w:t>, </w:t>
      </w:r>
      <w:r>
        <w:rPr>
          <w:i/>
          <w:sz w:val="22"/>
        </w:rPr>
        <w:t>17</w:t>
      </w:r>
      <w:r>
        <w:rPr>
          <w:sz w:val="22"/>
        </w:rPr>
        <w:t>(5), 1442–1448. Retrieved from </w:t>
      </w:r>
      <w:hyperlink r:id="rId34">
        <w:r>
          <w:rPr>
            <w:sz w:val="22"/>
          </w:rPr>
          <w:t>http://www.jstor.org/stable/3588969</w:t>
        </w:r>
      </w:hyperlink>
    </w:p>
    <w:p>
      <w:pPr>
        <w:spacing w:before="159"/>
        <w:ind w:left="638" w:right="211" w:hanging="481"/>
        <w:jc w:val="left"/>
        <w:rPr>
          <w:sz w:val="22"/>
        </w:rPr>
      </w:pPr>
      <w:r>
        <w:rPr>
          <w:sz w:val="22"/>
        </w:rPr>
        <w:t>Cárate-Tandalla,</w:t>
      </w:r>
      <w:r>
        <w:rPr>
          <w:spacing w:val="-5"/>
          <w:sz w:val="22"/>
        </w:rPr>
        <w:t> </w:t>
      </w:r>
      <w:r>
        <w:rPr>
          <w:sz w:val="22"/>
        </w:rPr>
        <w:t>D.,</w:t>
      </w:r>
      <w:r>
        <w:rPr>
          <w:spacing w:val="-2"/>
          <w:sz w:val="22"/>
        </w:rPr>
        <w:t> </w:t>
      </w:r>
      <w:r>
        <w:rPr>
          <w:sz w:val="22"/>
        </w:rPr>
        <w:t>Camenzind,</w:t>
      </w:r>
      <w:r>
        <w:rPr>
          <w:spacing w:val="-2"/>
          <w:sz w:val="22"/>
        </w:rPr>
        <w:t> </w:t>
      </w:r>
      <w:r>
        <w:rPr>
          <w:sz w:val="22"/>
        </w:rPr>
        <w:t>T.,</w:t>
      </w:r>
      <w:r>
        <w:rPr>
          <w:spacing w:val="-2"/>
          <w:sz w:val="22"/>
        </w:rPr>
        <w:t> </w:t>
      </w:r>
      <w:r>
        <w:rPr>
          <w:sz w:val="22"/>
        </w:rPr>
        <w:t>Leuschner,</w:t>
      </w:r>
      <w:r>
        <w:rPr>
          <w:spacing w:val="-5"/>
          <w:sz w:val="22"/>
        </w:rPr>
        <w:t> </w:t>
      </w:r>
      <w:r>
        <w:rPr>
          <w:sz w:val="22"/>
        </w:rPr>
        <w:t>C.,</w:t>
      </w:r>
      <w:r>
        <w:rPr>
          <w:spacing w:val="-5"/>
          <w:sz w:val="22"/>
        </w:rPr>
        <w:t> </w:t>
      </w:r>
      <w:r>
        <w:rPr>
          <w:sz w:val="22"/>
        </w:rPr>
        <w:t>&amp;</w:t>
      </w:r>
      <w:r>
        <w:rPr>
          <w:spacing w:val="-4"/>
          <w:sz w:val="22"/>
        </w:rPr>
        <w:t> </w:t>
      </w:r>
      <w:r>
        <w:rPr>
          <w:sz w:val="22"/>
        </w:rPr>
        <w:t>Homeier,</w:t>
      </w:r>
      <w:r>
        <w:rPr>
          <w:spacing w:val="-2"/>
          <w:sz w:val="22"/>
        </w:rPr>
        <w:t> </w:t>
      </w:r>
      <w:r>
        <w:rPr>
          <w:sz w:val="22"/>
        </w:rPr>
        <w:t>J.</w:t>
      </w:r>
      <w:r>
        <w:rPr>
          <w:spacing w:val="-2"/>
          <w:sz w:val="22"/>
        </w:rPr>
        <w:t> </w:t>
      </w:r>
      <w:r>
        <w:rPr>
          <w:sz w:val="22"/>
        </w:rPr>
        <w:t>(2018).</w:t>
      </w:r>
      <w:r>
        <w:rPr>
          <w:spacing w:val="-5"/>
          <w:sz w:val="22"/>
        </w:rPr>
        <w:t> </w:t>
      </w:r>
      <w:r>
        <w:rPr>
          <w:sz w:val="22"/>
        </w:rPr>
        <w:t>Contrasting</w:t>
      </w:r>
      <w:r>
        <w:rPr>
          <w:spacing w:val="-3"/>
          <w:sz w:val="22"/>
        </w:rPr>
        <w:t> </w:t>
      </w:r>
      <w:r>
        <w:rPr>
          <w:sz w:val="22"/>
        </w:rPr>
        <w:t>species</w:t>
      </w:r>
      <w:r>
        <w:rPr>
          <w:spacing w:val="-4"/>
          <w:sz w:val="22"/>
        </w:rPr>
        <w:t> </w:t>
      </w:r>
      <w:r>
        <w:rPr>
          <w:sz w:val="22"/>
        </w:rPr>
        <w:t>responses</w:t>
      </w:r>
      <w:r>
        <w:rPr>
          <w:spacing w:val="-4"/>
          <w:sz w:val="22"/>
        </w:rPr>
        <w:t> </w:t>
      </w:r>
      <w:r>
        <w:rPr>
          <w:sz w:val="22"/>
        </w:rPr>
        <w:t>to continued nitrogen and phosphorus addition in tropical montane forest tree seedlings. </w:t>
      </w:r>
      <w:r>
        <w:rPr>
          <w:i/>
          <w:sz w:val="22"/>
        </w:rPr>
        <w:t>Biotropica</w:t>
      </w:r>
      <w:r>
        <w:rPr>
          <w:sz w:val="22"/>
        </w:rPr>
        <w:t>, </w:t>
      </w:r>
      <w:r>
        <w:rPr>
          <w:i/>
          <w:sz w:val="22"/>
        </w:rPr>
        <w:t>50</w:t>
      </w:r>
      <w:r>
        <w:rPr>
          <w:sz w:val="22"/>
        </w:rPr>
        <w:t>(2), 234–245. </w:t>
      </w:r>
      <w:hyperlink r:id="rId35">
        <w:r>
          <w:rPr>
            <w:sz w:val="22"/>
          </w:rPr>
          <w:t>https://doi.org/10.1111/btp.12518</w:t>
        </w:r>
      </w:hyperlink>
    </w:p>
    <w:p>
      <w:pPr>
        <w:spacing w:line="237" w:lineRule="auto" w:before="164"/>
        <w:ind w:left="638" w:right="361" w:hanging="481"/>
        <w:jc w:val="left"/>
        <w:rPr>
          <w:sz w:val="22"/>
        </w:rPr>
      </w:pPr>
      <w:r>
        <w:rPr>
          <w:sz w:val="22"/>
        </w:rPr>
        <w:t>Cárate-Tandalla, D., Leuschner, C., &amp; Homeier, J. (2015). Performance of seedlings of a shade-tolerant tropical</w:t>
      </w:r>
      <w:r>
        <w:rPr>
          <w:spacing w:val="-3"/>
          <w:sz w:val="22"/>
        </w:rPr>
        <w:t> </w:t>
      </w:r>
      <w:r>
        <w:rPr>
          <w:sz w:val="22"/>
        </w:rPr>
        <w:t>tree</w:t>
      </w:r>
      <w:r>
        <w:rPr>
          <w:spacing w:val="-3"/>
          <w:sz w:val="22"/>
        </w:rPr>
        <w:t> </w:t>
      </w:r>
      <w:r>
        <w:rPr>
          <w:sz w:val="22"/>
        </w:rPr>
        <w:t>species</w:t>
      </w:r>
      <w:r>
        <w:rPr>
          <w:spacing w:val="-4"/>
          <w:sz w:val="22"/>
        </w:rPr>
        <w:t> </w:t>
      </w:r>
      <w:r>
        <w:rPr>
          <w:sz w:val="22"/>
        </w:rPr>
        <w:t>after</w:t>
      </w:r>
      <w:r>
        <w:rPr>
          <w:spacing w:val="-6"/>
          <w:sz w:val="22"/>
        </w:rPr>
        <w:t> </w:t>
      </w:r>
      <w:r>
        <w:rPr>
          <w:sz w:val="22"/>
        </w:rPr>
        <w:t>moderate</w:t>
      </w:r>
      <w:r>
        <w:rPr>
          <w:spacing w:val="-3"/>
          <w:sz w:val="22"/>
        </w:rPr>
        <w:t> </w:t>
      </w:r>
      <w:r>
        <w:rPr>
          <w:sz w:val="22"/>
        </w:rPr>
        <w:t>addition</w:t>
      </w:r>
      <w:r>
        <w:rPr>
          <w:spacing w:val="-5"/>
          <w:sz w:val="22"/>
        </w:rPr>
        <w:t> </w:t>
      </w:r>
      <w:r>
        <w:rPr>
          <w:sz w:val="22"/>
        </w:rPr>
        <w:t>of</w:t>
      </w:r>
      <w:r>
        <w:rPr>
          <w:spacing w:val="-2"/>
          <w:sz w:val="22"/>
        </w:rPr>
        <w:t> </w:t>
      </w:r>
      <w:r>
        <w:rPr>
          <w:sz w:val="22"/>
        </w:rPr>
        <w:t>N</w:t>
      </w:r>
      <w:r>
        <w:rPr>
          <w:spacing w:val="-1"/>
          <w:sz w:val="22"/>
        </w:rPr>
        <w:t> </w:t>
      </w:r>
      <w:r>
        <w:rPr>
          <w:sz w:val="22"/>
        </w:rPr>
        <w:t>and</w:t>
      </w:r>
      <w:r>
        <w:rPr>
          <w:spacing w:val="-3"/>
          <w:sz w:val="22"/>
        </w:rPr>
        <w:t> </w:t>
      </w:r>
      <w:r>
        <w:rPr>
          <w:sz w:val="22"/>
        </w:rPr>
        <w:t>P.</w:t>
      </w:r>
      <w:r>
        <w:rPr>
          <w:spacing w:val="-2"/>
          <w:sz w:val="22"/>
        </w:rPr>
        <w:t> </w:t>
      </w:r>
      <w:r>
        <w:rPr>
          <w:i/>
          <w:sz w:val="22"/>
        </w:rPr>
        <w:t>Frontiers</w:t>
      </w:r>
      <w:r>
        <w:rPr>
          <w:i/>
          <w:spacing w:val="-2"/>
          <w:sz w:val="22"/>
        </w:rPr>
        <w:t> </w:t>
      </w:r>
      <w:r>
        <w:rPr>
          <w:i/>
          <w:sz w:val="22"/>
        </w:rPr>
        <w:t>in</w:t>
      </w:r>
      <w:r>
        <w:rPr>
          <w:i/>
          <w:spacing w:val="-3"/>
          <w:sz w:val="22"/>
        </w:rPr>
        <w:t> </w:t>
      </w:r>
      <w:r>
        <w:rPr>
          <w:i/>
          <w:sz w:val="22"/>
        </w:rPr>
        <w:t>Earth</w:t>
      </w:r>
      <w:r>
        <w:rPr>
          <w:i/>
          <w:spacing w:val="-4"/>
          <w:sz w:val="22"/>
        </w:rPr>
        <w:t> </w:t>
      </w:r>
      <w:r>
        <w:rPr>
          <w:i/>
          <w:sz w:val="22"/>
        </w:rPr>
        <w:t>Sciences</w:t>
      </w:r>
      <w:r>
        <w:rPr>
          <w:sz w:val="22"/>
        </w:rPr>
        <w:t>,</w:t>
      </w:r>
      <w:r>
        <w:rPr>
          <w:spacing w:val="-2"/>
          <w:sz w:val="22"/>
        </w:rPr>
        <w:t> </w:t>
      </w:r>
      <w:r>
        <w:rPr>
          <w:i/>
          <w:sz w:val="22"/>
        </w:rPr>
        <w:t>3</w:t>
      </w:r>
      <w:r>
        <w:rPr>
          <w:sz w:val="22"/>
        </w:rPr>
        <w:t>(December),</w:t>
      </w:r>
      <w:r>
        <w:rPr>
          <w:spacing w:val="-2"/>
          <w:sz w:val="22"/>
        </w:rPr>
        <w:t> </w:t>
      </w:r>
      <w:r>
        <w:rPr>
          <w:sz w:val="22"/>
        </w:rPr>
        <w:t>1–</w:t>
      </w:r>
    </w:p>
    <w:p>
      <w:pPr>
        <w:spacing w:before="1"/>
        <w:ind w:left="638" w:right="0" w:firstLine="0"/>
        <w:jc w:val="left"/>
        <w:rPr>
          <w:sz w:val="22"/>
        </w:rPr>
      </w:pPr>
      <w:r>
        <w:rPr>
          <w:sz w:val="22"/>
        </w:rPr>
        <w:t>10.</w:t>
      </w:r>
      <w:r>
        <w:rPr>
          <w:spacing w:val="2"/>
          <w:sz w:val="22"/>
        </w:rPr>
        <w:t> </w:t>
      </w:r>
      <w:hyperlink r:id="rId36">
        <w:r>
          <w:rPr>
            <w:spacing w:val="-2"/>
            <w:sz w:val="22"/>
          </w:rPr>
          <w:t>https://doi.org/10.3389/feart.2015.00075</w:t>
        </w:r>
      </w:hyperlink>
    </w:p>
    <w:p>
      <w:pPr>
        <w:spacing w:before="161"/>
        <w:ind w:left="638" w:right="211" w:hanging="481"/>
        <w:jc w:val="left"/>
        <w:rPr>
          <w:sz w:val="22"/>
        </w:rPr>
      </w:pPr>
      <w:r>
        <w:rPr>
          <w:sz w:val="22"/>
        </w:rPr>
        <w:t>Caruso, C. M., Mason, C. M., &amp; Medeiros, J. S. (2020). The evolution of functional traits in plants: Is the giant</w:t>
      </w:r>
      <w:r>
        <w:rPr>
          <w:spacing w:val="-3"/>
          <w:sz w:val="22"/>
        </w:rPr>
        <w:t> </w:t>
      </w:r>
      <w:r>
        <w:rPr>
          <w:sz w:val="22"/>
        </w:rPr>
        <w:t>still</w:t>
      </w:r>
      <w:r>
        <w:rPr>
          <w:spacing w:val="-4"/>
          <w:sz w:val="22"/>
        </w:rPr>
        <w:t> </w:t>
      </w:r>
      <w:r>
        <w:rPr>
          <w:sz w:val="22"/>
        </w:rPr>
        <w:t>sleeping?</w:t>
      </w:r>
      <w:r>
        <w:rPr>
          <w:spacing w:val="-3"/>
          <w:sz w:val="22"/>
        </w:rPr>
        <w:t> </w:t>
      </w:r>
      <w:r>
        <w:rPr>
          <w:i/>
          <w:sz w:val="22"/>
        </w:rPr>
        <w:t>International</w:t>
      </w:r>
      <w:r>
        <w:rPr>
          <w:i/>
          <w:spacing w:val="-3"/>
          <w:sz w:val="22"/>
        </w:rPr>
        <w:t> </w:t>
      </w:r>
      <w:r>
        <w:rPr>
          <w:i/>
          <w:sz w:val="22"/>
        </w:rPr>
        <w:t>Journal</w:t>
      </w:r>
      <w:r>
        <w:rPr>
          <w:i/>
          <w:spacing w:val="-6"/>
          <w:sz w:val="22"/>
        </w:rPr>
        <w:t> </w:t>
      </w:r>
      <w:r>
        <w:rPr>
          <w:i/>
          <w:sz w:val="22"/>
        </w:rPr>
        <w:t>of</w:t>
      </w:r>
      <w:r>
        <w:rPr>
          <w:i/>
          <w:spacing w:val="-6"/>
          <w:sz w:val="22"/>
        </w:rPr>
        <w:t> </w:t>
      </w:r>
      <w:r>
        <w:rPr>
          <w:i/>
          <w:sz w:val="22"/>
        </w:rPr>
        <w:t>Plant</w:t>
      </w:r>
      <w:r>
        <w:rPr>
          <w:i/>
          <w:spacing w:val="-5"/>
          <w:sz w:val="22"/>
        </w:rPr>
        <w:t> </w:t>
      </w:r>
      <w:r>
        <w:rPr>
          <w:i/>
          <w:sz w:val="22"/>
        </w:rPr>
        <w:t>Sciences</w:t>
      </w:r>
      <w:r>
        <w:rPr>
          <w:sz w:val="22"/>
        </w:rPr>
        <w:t>,</w:t>
      </w:r>
      <w:r>
        <w:rPr>
          <w:spacing w:val="-3"/>
          <w:sz w:val="22"/>
        </w:rPr>
        <w:t> </w:t>
      </w:r>
      <w:r>
        <w:rPr>
          <w:i/>
          <w:sz w:val="22"/>
        </w:rPr>
        <w:t>181</w:t>
      </w:r>
      <w:r>
        <w:rPr>
          <w:sz w:val="22"/>
        </w:rPr>
        <w:t>(1),</w:t>
      </w:r>
      <w:r>
        <w:rPr>
          <w:spacing w:val="-3"/>
          <w:sz w:val="22"/>
        </w:rPr>
        <w:t> </w:t>
      </w:r>
      <w:r>
        <w:rPr>
          <w:sz w:val="22"/>
        </w:rPr>
        <w:t>1–8.</w:t>
      </w:r>
      <w:r>
        <w:rPr>
          <w:spacing w:val="-3"/>
          <w:sz w:val="22"/>
        </w:rPr>
        <w:t> </w:t>
      </w:r>
      <w:hyperlink r:id="rId37">
        <w:r>
          <w:rPr>
            <w:sz w:val="22"/>
          </w:rPr>
          <w:t>https://doi.org/10.1086/707141</w:t>
        </w:r>
      </w:hyperlink>
    </w:p>
    <w:p>
      <w:pPr>
        <w:spacing w:before="159"/>
        <w:ind w:left="638" w:right="0" w:hanging="481"/>
        <w:jc w:val="left"/>
        <w:rPr>
          <w:sz w:val="22"/>
        </w:rPr>
      </w:pPr>
      <w:r>
        <w:rPr>
          <w:sz w:val="22"/>
        </w:rPr>
        <w:t>Dalling, J. W., Heineman, K., González, G., &amp; Ostertag, R. (2016). Geographic, environmental and biotic sources</w:t>
      </w:r>
      <w:r>
        <w:rPr>
          <w:spacing w:val="-4"/>
          <w:sz w:val="22"/>
        </w:rPr>
        <w:t> </w:t>
      </w:r>
      <w:r>
        <w:rPr>
          <w:sz w:val="22"/>
        </w:rPr>
        <w:t>of</w:t>
      </w:r>
      <w:r>
        <w:rPr>
          <w:spacing w:val="-2"/>
          <w:sz w:val="22"/>
        </w:rPr>
        <w:t> </w:t>
      </w:r>
      <w:r>
        <w:rPr>
          <w:sz w:val="22"/>
        </w:rPr>
        <w:t>variation</w:t>
      </w:r>
      <w:r>
        <w:rPr>
          <w:spacing w:val="-2"/>
          <w:sz w:val="22"/>
        </w:rPr>
        <w:t> </w:t>
      </w:r>
      <w:r>
        <w:rPr>
          <w:sz w:val="22"/>
        </w:rPr>
        <w:t>in</w:t>
      </w:r>
      <w:r>
        <w:rPr>
          <w:spacing w:val="-2"/>
          <w:sz w:val="22"/>
        </w:rPr>
        <w:t> </w:t>
      </w:r>
      <w:r>
        <w:rPr>
          <w:sz w:val="22"/>
        </w:rPr>
        <w:t>the</w:t>
      </w:r>
      <w:r>
        <w:rPr>
          <w:spacing w:val="-3"/>
          <w:sz w:val="22"/>
        </w:rPr>
        <w:t> </w:t>
      </w:r>
      <w:r>
        <w:rPr>
          <w:sz w:val="22"/>
        </w:rPr>
        <w:t>nutrient</w:t>
      </w:r>
      <w:r>
        <w:rPr>
          <w:spacing w:val="-2"/>
          <w:sz w:val="22"/>
        </w:rPr>
        <w:t> </w:t>
      </w:r>
      <w:r>
        <w:rPr>
          <w:sz w:val="22"/>
        </w:rPr>
        <w:t>relations</w:t>
      </w:r>
      <w:r>
        <w:rPr>
          <w:spacing w:val="-7"/>
          <w:sz w:val="22"/>
        </w:rPr>
        <w:t> </w:t>
      </w:r>
      <w:r>
        <w:rPr>
          <w:sz w:val="22"/>
        </w:rPr>
        <w:t>of</w:t>
      </w:r>
      <w:r>
        <w:rPr>
          <w:spacing w:val="-4"/>
          <w:sz w:val="22"/>
        </w:rPr>
        <w:t> </w:t>
      </w:r>
      <w:r>
        <w:rPr>
          <w:sz w:val="22"/>
        </w:rPr>
        <w:t>tropical</w:t>
      </w:r>
      <w:r>
        <w:rPr>
          <w:spacing w:val="-3"/>
          <w:sz w:val="22"/>
        </w:rPr>
        <w:t> </w:t>
      </w:r>
      <w:r>
        <w:rPr>
          <w:sz w:val="22"/>
        </w:rPr>
        <w:t>montane</w:t>
      </w:r>
      <w:r>
        <w:rPr>
          <w:spacing w:val="-3"/>
          <w:sz w:val="22"/>
        </w:rPr>
        <w:t> </w:t>
      </w:r>
      <w:r>
        <w:rPr>
          <w:sz w:val="22"/>
        </w:rPr>
        <w:t>forests. </w:t>
      </w:r>
      <w:r>
        <w:rPr>
          <w:i/>
          <w:sz w:val="22"/>
        </w:rPr>
        <w:t>Journal</w:t>
      </w:r>
      <w:r>
        <w:rPr>
          <w:i/>
          <w:spacing w:val="-2"/>
          <w:sz w:val="22"/>
        </w:rPr>
        <w:t> </w:t>
      </w:r>
      <w:r>
        <w:rPr>
          <w:i/>
          <w:sz w:val="22"/>
        </w:rPr>
        <w:t>of</w:t>
      </w:r>
      <w:r>
        <w:rPr>
          <w:i/>
          <w:spacing w:val="-5"/>
          <w:sz w:val="22"/>
        </w:rPr>
        <w:t> </w:t>
      </w:r>
      <w:r>
        <w:rPr>
          <w:i/>
          <w:sz w:val="22"/>
        </w:rPr>
        <w:t>Tropical</w:t>
      </w:r>
      <w:r>
        <w:rPr>
          <w:i/>
          <w:spacing w:val="-2"/>
          <w:sz w:val="22"/>
        </w:rPr>
        <w:t> </w:t>
      </w:r>
      <w:r>
        <w:rPr>
          <w:i/>
          <w:sz w:val="22"/>
        </w:rPr>
        <w:t>Ecology</w:t>
      </w:r>
      <w:r>
        <w:rPr>
          <w:sz w:val="22"/>
        </w:rPr>
        <w:t>, </w:t>
      </w:r>
      <w:r>
        <w:rPr>
          <w:i/>
          <w:sz w:val="22"/>
        </w:rPr>
        <w:t>32</w:t>
      </w:r>
      <w:r>
        <w:rPr>
          <w:sz w:val="22"/>
        </w:rPr>
        <w:t>(5), 368–383. </w:t>
      </w:r>
      <w:hyperlink r:id="rId38">
        <w:r>
          <w:rPr>
            <w:sz w:val="22"/>
          </w:rPr>
          <w:t>https://doi.org/10.1017/S0266467415000619</w:t>
        </w:r>
      </w:hyperlink>
    </w:p>
    <w:p>
      <w:pPr>
        <w:spacing w:before="162"/>
        <w:ind w:left="638" w:right="225" w:hanging="481"/>
        <w:jc w:val="left"/>
        <w:rPr>
          <w:sz w:val="22"/>
        </w:rPr>
      </w:pPr>
      <w:r>
        <w:rPr>
          <w:sz w:val="22"/>
        </w:rPr>
        <w:t>Díaz, S., Purvis, A., Cornelissen, J. H. C., Mace, G. M., Donoghue, M. J., Ewers, R. M., … Pearse, W. D. (2013).</w:t>
      </w:r>
      <w:r>
        <w:rPr>
          <w:spacing w:val="-1"/>
          <w:sz w:val="22"/>
        </w:rPr>
        <w:t> </w:t>
      </w:r>
      <w:r>
        <w:rPr>
          <w:sz w:val="22"/>
        </w:rPr>
        <w:t>Functional</w:t>
      </w:r>
      <w:r>
        <w:rPr>
          <w:spacing w:val="-5"/>
          <w:sz w:val="22"/>
        </w:rPr>
        <w:t> </w:t>
      </w:r>
      <w:r>
        <w:rPr>
          <w:sz w:val="22"/>
        </w:rPr>
        <w:t>traits,</w:t>
      </w:r>
      <w:r>
        <w:rPr>
          <w:spacing w:val="-4"/>
          <w:sz w:val="22"/>
        </w:rPr>
        <w:t> </w:t>
      </w:r>
      <w:r>
        <w:rPr>
          <w:sz w:val="22"/>
        </w:rPr>
        <w:t>the</w:t>
      </w:r>
      <w:r>
        <w:rPr>
          <w:spacing w:val="-2"/>
          <w:sz w:val="22"/>
        </w:rPr>
        <w:t> </w:t>
      </w:r>
      <w:r>
        <w:rPr>
          <w:sz w:val="22"/>
        </w:rPr>
        <w:t>phylogeny</w:t>
      </w:r>
      <w:r>
        <w:rPr>
          <w:spacing w:val="-6"/>
          <w:sz w:val="22"/>
        </w:rPr>
        <w:t> </w:t>
      </w:r>
      <w:r>
        <w:rPr>
          <w:sz w:val="22"/>
        </w:rPr>
        <w:t>of</w:t>
      </w:r>
      <w:r>
        <w:rPr>
          <w:spacing w:val="-3"/>
          <w:sz w:val="22"/>
        </w:rPr>
        <w:t> </w:t>
      </w:r>
      <w:r>
        <w:rPr>
          <w:sz w:val="22"/>
        </w:rPr>
        <w:t>function,</w:t>
      </w:r>
      <w:r>
        <w:rPr>
          <w:spacing w:val="-4"/>
          <w:sz w:val="22"/>
        </w:rPr>
        <w:t> </w:t>
      </w:r>
      <w:r>
        <w:rPr>
          <w:sz w:val="22"/>
        </w:rPr>
        <w:t>and</w:t>
      </w:r>
      <w:r>
        <w:rPr>
          <w:spacing w:val="-2"/>
          <w:sz w:val="22"/>
        </w:rPr>
        <w:t> </w:t>
      </w:r>
      <w:r>
        <w:rPr>
          <w:sz w:val="22"/>
        </w:rPr>
        <w:t>ecosystem</w:t>
      </w:r>
      <w:r>
        <w:rPr>
          <w:spacing w:val="-2"/>
          <w:sz w:val="22"/>
        </w:rPr>
        <w:t> </w:t>
      </w:r>
      <w:r>
        <w:rPr>
          <w:sz w:val="22"/>
        </w:rPr>
        <w:t>service</w:t>
      </w:r>
      <w:r>
        <w:rPr>
          <w:spacing w:val="-2"/>
          <w:sz w:val="22"/>
        </w:rPr>
        <w:t> </w:t>
      </w:r>
      <w:r>
        <w:rPr>
          <w:sz w:val="22"/>
        </w:rPr>
        <w:t>vulnerability.</w:t>
      </w:r>
      <w:r>
        <w:rPr>
          <w:spacing w:val="-2"/>
          <w:sz w:val="22"/>
        </w:rPr>
        <w:t> </w:t>
      </w:r>
      <w:r>
        <w:rPr>
          <w:i/>
          <w:sz w:val="22"/>
        </w:rPr>
        <w:t>Ecology</w:t>
      </w:r>
      <w:r>
        <w:rPr>
          <w:i/>
          <w:spacing w:val="-2"/>
          <w:sz w:val="22"/>
        </w:rPr>
        <w:t> </w:t>
      </w:r>
      <w:r>
        <w:rPr>
          <w:i/>
          <w:sz w:val="22"/>
        </w:rPr>
        <w:t>and Evolution</w:t>
      </w:r>
      <w:r>
        <w:rPr>
          <w:sz w:val="22"/>
        </w:rPr>
        <w:t>, </w:t>
      </w:r>
      <w:r>
        <w:rPr>
          <w:i/>
          <w:sz w:val="22"/>
        </w:rPr>
        <w:t>3</w:t>
      </w:r>
      <w:r>
        <w:rPr>
          <w:sz w:val="22"/>
        </w:rPr>
        <w:t>(9), 2958–2975. </w:t>
      </w:r>
      <w:hyperlink r:id="rId39">
        <w:r>
          <w:rPr>
            <w:sz w:val="22"/>
          </w:rPr>
          <w:t>https://doi.org/10.1002/ece3.601</w:t>
        </w:r>
      </w:hyperlink>
    </w:p>
    <w:p>
      <w:pPr>
        <w:spacing w:before="159"/>
        <w:ind w:left="638" w:right="0" w:hanging="481"/>
        <w:jc w:val="left"/>
        <w:rPr>
          <w:sz w:val="22"/>
        </w:rPr>
      </w:pPr>
      <w:r>
        <w:rPr>
          <w:sz w:val="22"/>
        </w:rPr>
        <w:t>Dietrich, K., Spoeri, E., &amp; Oelmann, Y. (2016). Nutrient addition modifies phosphatase activities along an altitudinal</w:t>
      </w:r>
      <w:r>
        <w:rPr>
          <w:spacing w:val="-4"/>
          <w:sz w:val="22"/>
        </w:rPr>
        <w:t> </w:t>
      </w:r>
      <w:r>
        <w:rPr>
          <w:sz w:val="22"/>
        </w:rPr>
        <w:t>gradient</w:t>
      </w:r>
      <w:r>
        <w:rPr>
          <w:spacing w:val="-2"/>
          <w:sz w:val="22"/>
        </w:rPr>
        <w:t> </w:t>
      </w:r>
      <w:r>
        <w:rPr>
          <w:sz w:val="22"/>
        </w:rPr>
        <w:t>in</w:t>
      </w:r>
      <w:r>
        <w:rPr>
          <w:spacing w:val="-2"/>
          <w:sz w:val="22"/>
        </w:rPr>
        <w:t> </w:t>
      </w:r>
      <w:r>
        <w:rPr>
          <w:sz w:val="22"/>
        </w:rPr>
        <w:t>a</w:t>
      </w:r>
      <w:r>
        <w:rPr>
          <w:spacing w:val="-3"/>
          <w:sz w:val="22"/>
        </w:rPr>
        <w:t> </w:t>
      </w:r>
      <w:r>
        <w:rPr>
          <w:sz w:val="22"/>
        </w:rPr>
        <w:t>tropical</w:t>
      </w:r>
      <w:r>
        <w:rPr>
          <w:spacing w:val="-5"/>
          <w:sz w:val="22"/>
        </w:rPr>
        <w:t> </w:t>
      </w:r>
      <w:r>
        <w:rPr>
          <w:sz w:val="22"/>
        </w:rPr>
        <w:t>montane</w:t>
      </w:r>
      <w:r>
        <w:rPr>
          <w:spacing w:val="-5"/>
          <w:sz w:val="22"/>
        </w:rPr>
        <w:t> </w:t>
      </w:r>
      <w:r>
        <w:rPr>
          <w:sz w:val="22"/>
        </w:rPr>
        <w:t>forest</w:t>
      </w:r>
      <w:r>
        <w:rPr>
          <w:spacing w:val="-2"/>
          <w:sz w:val="22"/>
        </w:rPr>
        <w:t> </w:t>
      </w:r>
      <w:r>
        <w:rPr>
          <w:sz w:val="22"/>
        </w:rPr>
        <w:t>in</w:t>
      </w:r>
      <w:r>
        <w:rPr>
          <w:spacing w:val="-4"/>
          <w:sz w:val="22"/>
        </w:rPr>
        <w:t> </w:t>
      </w:r>
      <w:r>
        <w:rPr>
          <w:sz w:val="22"/>
        </w:rPr>
        <w:t>Southern</w:t>
      </w:r>
      <w:r>
        <w:rPr>
          <w:spacing w:val="-2"/>
          <w:sz w:val="22"/>
        </w:rPr>
        <w:t> </w:t>
      </w:r>
      <w:r>
        <w:rPr>
          <w:sz w:val="22"/>
        </w:rPr>
        <w:t>Ecuador. </w:t>
      </w:r>
      <w:r>
        <w:rPr>
          <w:i/>
          <w:sz w:val="22"/>
        </w:rPr>
        <w:t>Frontiers</w:t>
      </w:r>
      <w:r>
        <w:rPr>
          <w:i/>
          <w:spacing w:val="-1"/>
          <w:sz w:val="22"/>
        </w:rPr>
        <w:t> </w:t>
      </w:r>
      <w:r>
        <w:rPr>
          <w:i/>
          <w:sz w:val="22"/>
        </w:rPr>
        <w:t>in</w:t>
      </w:r>
      <w:r>
        <w:rPr>
          <w:i/>
          <w:spacing w:val="-5"/>
          <w:sz w:val="22"/>
        </w:rPr>
        <w:t> </w:t>
      </w:r>
      <w:r>
        <w:rPr>
          <w:i/>
          <w:sz w:val="22"/>
        </w:rPr>
        <w:t>Earth</w:t>
      </w:r>
      <w:r>
        <w:rPr>
          <w:i/>
          <w:spacing w:val="-4"/>
          <w:sz w:val="22"/>
        </w:rPr>
        <w:t> </w:t>
      </w:r>
      <w:r>
        <w:rPr>
          <w:i/>
          <w:sz w:val="22"/>
        </w:rPr>
        <w:t>Science</w:t>
      </w:r>
      <w:r>
        <w:rPr>
          <w:sz w:val="22"/>
        </w:rPr>
        <w:t>,</w:t>
      </w:r>
      <w:r>
        <w:rPr>
          <w:spacing w:val="-2"/>
          <w:sz w:val="22"/>
        </w:rPr>
        <w:t> </w:t>
      </w:r>
      <w:r>
        <w:rPr>
          <w:i/>
          <w:sz w:val="22"/>
        </w:rPr>
        <w:t>4</w:t>
      </w:r>
      <w:r>
        <w:rPr>
          <w:sz w:val="22"/>
        </w:rPr>
        <w:t>,</w:t>
      </w:r>
      <w:r>
        <w:rPr>
          <w:spacing w:val="-2"/>
          <w:sz w:val="22"/>
        </w:rPr>
        <w:t> </w:t>
      </w:r>
      <w:r>
        <w:rPr>
          <w:sz w:val="22"/>
        </w:rPr>
        <w:t>12. </w:t>
      </w:r>
      <w:hyperlink r:id="rId40">
        <w:r>
          <w:rPr>
            <w:spacing w:val="-2"/>
            <w:sz w:val="22"/>
          </w:rPr>
          <w:t>https://doi.org/10.3389/feart.2016.00012</w:t>
        </w:r>
      </w:hyperlink>
    </w:p>
    <w:p>
      <w:pPr>
        <w:spacing w:before="159"/>
        <w:ind w:left="638" w:right="265" w:hanging="481"/>
        <w:jc w:val="left"/>
        <w:rPr>
          <w:sz w:val="22"/>
        </w:rPr>
      </w:pPr>
      <w:r>
        <w:rPr>
          <w:sz w:val="22"/>
        </w:rPr>
        <w:t>Doumenge, C., Gilmour, D., Pérez, M. R., &amp; Blockhus, J. (1995). Tropical Montane Cloud Forests: Conservation</w:t>
      </w:r>
      <w:r>
        <w:rPr>
          <w:spacing w:val="-2"/>
          <w:sz w:val="22"/>
        </w:rPr>
        <w:t> </w:t>
      </w:r>
      <w:r>
        <w:rPr>
          <w:sz w:val="22"/>
        </w:rPr>
        <w:t>Status</w:t>
      </w:r>
      <w:r>
        <w:rPr>
          <w:spacing w:val="-4"/>
          <w:sz w:val="22"/>
        </w:rPr>
        <w:t> </w:t>
      </w:r>
      <w:r>
        <w:rPr>
          <w:sz w:val="22"/>
        </w:rPr>
        <w:t>and</w:t>
      </w:r>
      <w:r>
        <w:rPr>
          <w:spacing w:val="-6"/>
          <w:sz w:val="22"/>
        </w:rPr>
        <w:t> </w:t>
      </w:r>
      <w:r>
        <w:rPr>
          <w:sz w:val="22"/>
        </w:rPr>
        <w:t>Management</w:t>
      </w:r>
      <w:r>
        <w:rPr>
          <w:spacing w:val="-2"/>
          <w:sz w:val="22"/>
        </w:rPr>
        <w:t> </w:t>
      </w:r>
      <w:r>
        <w:rPr>
          <w:sz w:val="22"/>
        </w:rPr>
        <w:t>Issues.</w:t>
      </w:r>
      <w:r>
        <w:rPr>
          <w:spacing w:val="-2"/>
          <w:sz w:val="22"/>
        </w:rPr>
        <w:t> </w:t>
      </w:r>
      <w:r>
        <w:rPr>
          <w:sz w:val="22"/>
        </w:rPr>
        <w:t>In </w:t>
      </w:r>
      <w:r>
        <w:rPr>
          <w:i/>
          <w:sz w:val="22"/>
        </w:rPr>
        <w:t>Tropical</w:t>
      </w:r>
      <w:r>
        <w:rPr>
          <w:i/>
          <w:spacing w:val="-4"/>
          <w:sz w:val="22"/>
        </w:rPr>
        <w:t> </w:t>
      </w:r>
      <w:r>
        <w:rPr>
          <w:i/>
          <w:sz w:val="22"/>
        </w:rPr>
        <w:t>Montane</w:t>
      </w:r>
      <w:r>
        <w:rPr>
          <w:i/>
          <w:spacing w:val="-3"/>
          <w:sz w:val="22"/>
        </w:rPr>
        <w:t> </w:t>
      </w:r>
      <w:r>
        <w:rPr>
          <w:i/>
          <w:sz w:val="22"/>
        </w:rPr>
        <w:t>Cloud</w:t>
      </w:r>
      <w:r>
        <w:rPr>
          <w:i/>
          <w:spacing w:val="-4"/>
          <w:sz w:val="22"/>
        </w:rPr>
        <w:t> </w:t>
      </w:r>
      <w:r>
        <w:rPr>
          <w:i/>
          <w:sz w:val="22"/>
        </w:rPr>
        <w:t>Forests </w:t>
      </w:r>
      <w:r>
        <w:rPr>
          <w:sz w:val="22"/>
        </w:rPr>
        <w:t>(Vol.</w:t>
      </w:r>
      <w:r>
        <w:rPr>
          <w:spacing w:val="-2"/>
          <w:sz w:val="22"/>
        </w:rPr>
        <w:t> </w:t>
      </w:r>
      <w:r>
        <w:rPr>
          <w:sz w:val="22"/>
        </w:rPr>
        <w:t>110,</w:t>
      </w:r>
      <w:r>
        <w:rPr>
          <w:spacing w:val="-2"/>
          <w:sz w:val="22"/>
        </w:rPr>
        <w:t> </w:t>
      </w:r>
      <w:r>
        <w:rPr>
          <w:sz w:val="22"/>
        </w:rPr>
        <w:t>pp.</w:t>
      </w:r>
      <w:r>
        <w:rPr>
          <w:spacing w:val="-2"/>
          <w:sz w:val="22"/>
        </w:rPr>
        <w:t> </w:t>
      </w:r>
      <w:r>
        <w:rPr>
          <w:sz w:val="22"/>
        </w:rPr>
        <w:t>24–37). </w:t>
      </w:r>
      <w:hyperlink r:id="rId41">
        <w:r>
          <w:rPr>
            <w:spacing w:val="-2"/>
            <w:sz w:val="22"/>
          </w:rPr>
          <w:t>https://doi.org/10.1007/978-1-4612-2500-3_2</w:t>
        </w:r>
      </w:hyperlink>
    </w:p>
    <w:p>
      <w:pPr>
        <w:spacing w:before="162"/>
        <w:ind w:left="638" w:right="244" w:hanging="481"/>
        <w:jc w:val="left"/>
        <w:rPr>
          <w:sz w:val="22"/>
        </w:rPr>
      </w:pPr>
      <w:r>
        <w:rPr>
          <w:sz w:val="22"/>
        </w:rPr>
        <w:t>Emck,</w:t>
      </w:r>
      <w:r>
        <w:rPr>
          <w:spacing w:val="-2"/>
          <w:sz w:val="22"/>
        </w:rPr>
        <w:t> </w:t>
      </w:r>
      <w:r>
        <w:rPr>
          <w:sz w:val="22"/>
        </w:rPr>
        <w:t>P.</w:t>
      </w:r>
      <w:r>
        <w:rPr>
          <w:spacing w:val="-1"/>
          <w:sz w:val="22"/>
        </w:rPr>
        <w:t> </w:t>
      </w:r>
      <w:r>
        <w:rPr>
          <w:sz w:val="22"/>
        </w:rPr>
        <w:t>(2007).</w:t>
      </w:r>
      <w:r>
        <w:rPr>
          <w:spacing w:val="-3"/>
          <w:sz w:val="22"/>
        </w:rPr>
        <w:t> </w:t>
      </w:r>
      <w:r>
        <w:rPr>
          <w:i/>
          <w:sz w:val="22"/>
        </w:rPr>
        <w:t>A</w:t>
      </w:r>
      <w:r>
        <w:rPr>
          <w:i/>
          <w:spacing w:val="-1"/>
          <w:sz w:val="22"/>
        </w:rPr>
        <w:t> </w:t>
      </w:r>
      <w:r>
        <w:rPr>
          <w:i/>
          <w:sz w:val="22"/>
        </w:rPr>
        <w:t>Climatology</w:t>
      </w:r>
      <w:r>
        <w:rPr>
          <w:i/>
          <w:spacing w:val="-2"/>
          <w:sz w:val="22"/>
        </w:rPr>
        <w:t> </w:t>
      </w:r>
      <w:r>
        <w:rPr>
          <w:i/>
          <w:sz w:val="22"/>
        </w:rPr>
        <w:t>of</w:t>
      </w:r>
      <w:r>
        <w:rPr>
          <w:i/>
          <w:spacing w:val="-1"/>
          <w:sz w:val="22"/>
        </w:rPr>
        <w:t> </w:t>
      </w:r>
      <w:r>
        <w:rPr>
          <w:i/>
          <w:sz w:val="22"/>
        </w:rPr>
        <w:t>South</w:t>
      </w:r>
      <w:r>
        <w:rPr>
          <w:i/>
          <w:spacing w:val="-1"/>
          <w:sz w:val="22"/>
        </w:rPr>
        <w:t> </w:t>
      </w:r>
      <w:r>
        <w:rPr>
          <w:i/>
          <w:sz w:val="22"/>
        </w:rPr>
        <w:t>Ecuador</w:t>
      </w:r>
      <w:r>
        <w:rPr>
          <w:i/>
          <w:spacing w:val="-1"/>
          <w:sz w:val="22"/>
        </w:rPr>
        <w:t> </w:t>
      </w:r>
      <w:r>
        <w:rPr>
          <w:i/>
          <w:sz w:val="22"/>
        </w:rPr>
        <w:t>With</w:t>
      </w:r>
      <w:r>
        <w:rPr>
          <w:i/>
          <w:spacing w:val="-1"/>
          <w:sz w:val="22"/>
        </w:rPr>
        <w:t> </w:t>
      </w:r>
      <w:r>
        <w:rPr>
          <w:i/>
          <w:sz w:val="22"/>
        </w:rPr>
        <w:t>special</w:t>
      </w:r>
      <w:r>
        <w:rPr>
          <w:i/>
          <w:spacing w:val="-3"/>
          <w:sz w:val="22"/>
        </w:rPr>
        <w:t> </w:t>
      </w:r>
      <w:r>
        <w:rPr>
          <w:i/>
          <w:sz w:val="22"/>
        </w:rPr>
        <w:t>focus</w:t>
      </w:r>
      <w:r>
        <w:rPr>
          <w:i/>
          <w:spacing w:val="-1"/>
          <w:sz w:val="22"/>
        </w:rPr>
        <w:t> </w:t>
      </w:r>
      <w:r>
        <w:rPr>
          <w:i/>
          <w:sz w:val="22"/>
        </w:rPr>
        <w:t>on</w:t>
      </w:r>
      <w:r>
        <w:rPr>
          <w:i/>
          <w:spacing w:val="-5"/>
          <w:sz w:val="22"/>
        </w:rPr>
        <w:t> </w:t>
      </w:r>
      <w:r>
        <w:rPr>
          <w:i/>
          <w:sz w:val="22"/>
        </w:rPr>
        <w:t>the</w:t>
      </w:r>
      <w:r>
        <w:rPr>
          <w:i/>
          <w:spacing w:val="-5"/>
          <w:sz w:val="22"/>
        </w:rPr>
        <w:t> </w:t>
      </w:r>
      <w:r>
        <w:rPr>
          <w:i/>
          <w:sz w:val="22"/>
        </w:rPr>
        <w:t>Major</w:t>
      </w:r>
      <w:r>
        <w:rPr>
          <w:i/>
          <w:spacing w:val="-1"/>
          <w:sz w:val="22"/>
        </w:rPr>
        <w:t> </w:t>
      </w:r>
      <w:r>
        <w:rPr>
          <w:i/>
          <w:sz w:val="22"/>
        </w:rPr>
        <w:t>Andean</w:t>
      </w:r>
      <w:r>
        <w:rPr>
          <w:i/>
          <w:spacing w:val="-3"/>
          <w:sz w:val="22"/>
        </w:rPr>
        <w:t> </w:t>
      </w:r>
      <w:r>
        <w:rPr>
          <w:i/>
          <w:sz w:val="22"/>
        </w:rPr>
        <w:t>Ridge</w:t>
      </w:r>
      <w:r>
        <w:rPr>
          <w:i/>
          <w:spacing w:val="-1"/>
          <w:sz w:val="22"/>
        </w:rPr>
        <w:t> </w:t>
      </w:r>
      <w:r>
        <w:rPr>
          <w:i/>
          <w:sz w:val="22"/>
        </w:rPr>
        <w:t>as</w:t>
      </w:r>
      <w:r>
        <w:rPr>
          <w:i/>
          <w:spacing w:val="-4"/>
          <w:sz w:val="22"/>
        </w:rPr>
        <w:t> </w:t>
      </w:r>
      <w:r>
        <w:rPr>
          <w:i/>
          <w:sz w:val="22"/>
        </w:rPr>
        <w:t>Atlantic-Pacific Climate Divide </w:t>
      </w:r>
      <w:r>
        <w:rPr>
          <w:sz w:val="22"/>
        </w:rPr>
        <w:t>(Friedrich-Alexander-Universität). Retrieved from </w:t>
      </w:r>
      <w:hyperlink r:id="rId42">
        <w:r>
          <w:rPr>
            <w:spacing w:val="-2"/>
            <w:sz w:val="22"/>
          </w:rPr>
          <w:t>https://opus4.kobv.de/opus4-fau/frontdoor/index/index/docId/477</w:t>
        </w:r>
      </w:hyperlink>
    </w:p>
    <w:p>
      <w:pPr>
        <w:spacing w:before="160"/>
        <w:ind w:left="638" w:right="0" w:hanging="481"/>
        <w:jc w:val="left"/>
        <w:rPr>
          <w:sz w:val="22"/>
        </w:rPr>
      </w:pPr>
      <w:r>
        <w:rPr>
          <w:sz w:val="22"/>
        </w:rPr>
        <w:t>Fabian, P., Kohlpaintner, M., &amp; Rollenbeck, R. (2005). Biomass burning in the Amazon-fertilizer for the mountaineous</w:t>
      </w:r>
      <w:r>
        <w:rPr>
          <w:spacing w:val="-5"/>
          <w:sz w:val="22"/>
        </w:rPr>
        <w:t> </w:t>
      </w:r>
      <w:r>
        <w:rPr>
          <w:sz w:val="22"/>
        </w:rPr>
        <w:t>rain</w:t>
      </w:r>
      <w:r>
        <w:rPr>
          <w:spacing w:val="-3"/>
          <w:sz w:val="22"/>
        </w:rPr>
        <w:t> </w:t>
      </w:r>
      <w:r>
        <w:rPr>
          <w:sz w:val="22"/>
        </w:rPr>
        <w:t>forest</w:t>
      </w:r>
      <w:r>
        <w:rPr>
          <w:spacing w:val="-5"/>
          <w:sz w:val="22"/>
        </w:rPr>
        <w:t> </w:t>
      </w:r>
      <w:r>
        <w:rPr>
          <w:sz w:val="22"/>
        </w:rPr>
        <w:t>in</w:t>
      </w:r>
      <w:r>
        <w:rPr>
          <w:spacing w:val="-4"/>
          <w:sz w:val="22"/>
        </w:rPr>
        <w:t> </w:t>
      </w:r>
      <w:r>
        <w:rPr>
          <w:sz w:val="22"/>
        </w:rPr>
        <w:t>Ecuador.</w:t>
      </w:r>
      <w:r>
        <w:rPr>
          <w:spacing w:val="-2"/>
          <w:sz w:val="22"/>
        </w:rPr>
        <w:t> </w:t>
      </w:r>
      <w:r>
        <w:rPr>
          <w:i/>
          <w:sz w:val="22"/>
        </w:rPr>
        <w:t>Environmental</w:t>
      </w:r>
      <w:r>
        <w:rPr>
          <w:i/>
          <w:spacing w:val="-3"/>
          <w:sz w:val="22"/>
        </w:rPr>
        <w:t> </w:t>
      </w:r>
      <w:r>
        <w:rPr>
          <w:i/>
          <w:sz w:val="22"/>
        </w:rPr>
        <w:t>Science</w:t>
      </w:r>
      <w:r>
        <w:rPr>
          <w:i/>
          <w:spacing w:val="-4"/>
          <w:sz w:val="22"/>
        </w:rPr>
        <w:t> </w:t>
      </w:r>
      <w:r>
        <w:rPr>
          <w:i/>
          <w:sz w:val="22"/>
        </w:rPr>
        <w:t>and</w:t>
      </w:r>
      <w:r>
        <w:rPr>
          <w:i/>
          <w:spacing w:val="-3"/>
          <w:sz w:val="22"/>
        </w:rPr>
        <w:t> </w:t>
      </w:r>
      <w:r>
        <w:rPr>
          <w:i/>
          <w:sz w:val="22"/>
        </w:rPr>
        <w:t>Pollution</w:t>
      </w:r>
      <w:r>
        <w:rPr>
          <w:i/>
          <w:spacing w:val="-5"/>
          <w:sz w:val="22"/>
        </w:rPr>
        <w:t> </w:t>
      </w:r>
      <w:r>
        <w:rPr>
          <w:i/>
          <w:sz w:val="22"/>
        </w:rPr>
        <w:t>Research</w:t>
      </w:r>
      <w:r>
        <w:rPr>
          <w:sz w:val="22"/>
        </w:rPr>
        <w:t>,</w:t>
      </w:r>
      <w:r>
        <w:rPr>
          <w:spacing w:val="-3"/>
          <w:sz w:val="22"/>
        </w:rPr>
        <w:t> </w:t>
      </w:r>
      <w:r>
        <w:rPr>
          <w:i/>
          <w:sz w:val="22"/>
        </w:rPr>
        <w:t>12</w:t>
      </w:r>
      <w:r>
        <w:rPr>
          <w:sz w:val="22"/>
        </w:rPr>
        <w:t>(5),</w:t>
      </w:r>
      <w:r>
        <w:rPr>
          <w:spacing w:val="-3"/>
          <w:sz w:val="22"/>
        </w:rPr>
        <w:t> </w:t>
      </w:r>
      <w:r>
        <w:rPr>
          <w:sz w:val="22"/>
        </w:rPr>
        <w:t>290–296. </w:t>
      </w:r>
      <w:hyperlink r:id="rId43">
        <w:r>
          <w:rPr>
            <w:spacing w:val="-2"/>
            <w:sz w:val="22"/>
          </w:rPr>
          <w:t>https://doi.org/10.1065/espr2005.07.272</w:t>
        </w:r>
      </w:hyperlink>
    </w:p>
    <w:p>
      <w:pPr>
        <w:spacing w:line="237" w:lineRule="auto" w:before="163"/>
        <w:ind w:left="638" w:right="211" w:hanging="481"/>
        <w:jc w:val="left"/>
        <w:rPr>
          <w:sz w:val="22"/>
        </w:rPr>
      </w:pPr>
      <w:r>
        <w:rPr>
          <w:sz w:val="22"/>
        </w:rPr>
        <w:t>Fabian,</w:t>
      </w:r>
      <w:r>
        <w:rPr>
          <w:spacing w:val="-2"/>
          <w:sz w:val="22"/>
        </w:rPr>
        <w:t> </w:t>
      </w:r>
      <w:r>
        <w:rPr>
          <w:sz w:val="22"/>
        </w:rPr>
        <w:t>P.,</w:t>
      </w:r>
      <w:r>
        <w:rPr>
          <w:spacing w:val="-5"/>
          <w:sz w:val="22"/>
        </w:rPr>
        <w:t> </w:t>
      </w:r>
      <w:r>
        <w:rPr>
          <w:sz w:val="22"/>
        </w:rPr>
        <w:t>Rollenbeck,</w:t>
      </w:r>
      <w:r>
        <w:rPr>
          <w:spacing w:val="-2"/>
          <w:sz w:val="22"/>
        </w:rPr>
        <w:t> </w:t>
      </w:r>
      <w:r>
        <w:rPr>
          <w:sz w:val="22"/>
        </w:rPr>
        <w:t>R.,</w:t>
      </w:r>
      <w:r>
        <w:rPr>
          <w:spacing w:val="-2"/>
          <w:sz w:val="22"/>
        </w:rPr>
        <w:t> </w:t>
      </w:r>
      <w:r>
        <w:rPr>
          <w:sz w:val="22"/>
        </w:rPr>
        <w:t>Spichtinger,</w:t>
      </w:r>
      <w:r>
        <w:rPr>
          <w:spacing w:val="-5"/>
          <w:sz w:val="22"/>
        </w:rPr>
        <w:t> </w:t>
      </w:r>
      <w:r>
        <w:rPr>
          <w:sz w:val="22"/>
        </w:rPr>
        <w:t>N.,</w:t>
      </w:r>
      <w:r>
        <w:rPr>
          <w:spacing w:val="-2"/>
          <w:sz w:val="22"/>
        </w:rPr>
        <w:t> </w:t>
      </w:r>
      <w:r>
        <w:rPr>
          <w:sz w:val="22"/>
        </w:rPr>
        <w:t>Brothers,</w:t>
      </w:r>
      <w:r>
        <w:rPr>
          <w:spacing w:val="-3"/>
          <w:sz w:val="22"/>
        </w:rPr>
        <w:t> </w:t>
      </w:r>
      <w:r>
        <w:rPr>
          <w:sz w:val="22"/>
        </w:rPr>
        <w:t>L.,</w:t>
      </w:r>
      <w:r>
        <w:rPr>
          <w:spacing w:val="-2"/>
          <w:sz w:val="22"/>
        </w:rPr>
        <w:t> </w:t>
      </w:r>
      <w:r>
        <w:rPr>
          <w:sz w:val="22"/>
        </w:rPr>
        <w:t>Dominguez,</w:t>
      </w:r>
      <w:r>
        <w:rPr>
          <w:spacing w:val="-5"/>
          <w:sz w:val="22"/>
        </w:rPr>
        <w:t> </w:t>
      </w:r>
      <w:r>
        <w:rPr>
          <w:sz w:val="22"/>
        </w:rPr>
        <w:t>G.,</w:t>
      </w:r>
      <w:r>
        <w:rPr>
          <w:spacing w:val="-2"/>
          <w:sz w:val="22"/>
        </w:rPr>
        <w:t> </w:t>
      </w:r>
      <w:r>
        <w:rPr>
          <w:sz w:val="22"/>
        </w:rPr>
        <w:t>&amp;</w:t>
      </w:r>
      <w:r>
        <w:rPr>
          <w:spacing w:val="-4"/>
          <w:sz w:val="22"/>
        </w:rPr>
        <w:t> </w:t>
      </w:r>
      <w:r>
        <w:rPr>
          <w:sz w:val="22"/>
        </w:rPr>
        <w:t>Thiemens,</w:t>
      </w:r>
      <w:r>
        <w:rPr>
          <w:spacing w:val="-2"/>
          <w:sz w:val="22"/>
        </w:rPr>
        <w:t> </w:t>
      </w:r>
      <w:r>
        <w:rPr>
          <w:sz w:val="22"/>
        </w:rPr>
        <w:t>M.</w:t>
      </w:r>
      <w:r>
        <w:rPr>
          <w:spacing w:val="-2"/>
          <w:sz w:val="22"/>
        </w:rPr>
        <w:t> </w:t>
      </w:r>
      <w:r>
        <w:rPr>
          <w:sz w:val="22"/>
        </w:rPr>
        <w:t>(2009).</w:t>
      </w:r>
      <w:r>
        <w:rPr>
          <w:spacing w:val="-2"/>
          <w:sz w:val="22"/>
        </w:rPr>
        <w:t> </w:t>
      </w:r>
      <w:r>
        <w:rPr>
          <w:sz w:val="22"/>
        </w:rPr>
        <w:t>Sahara dust, ocean spray, volcanoes, biomass burning: Pathways of nutrients into Andean rainforests.</w:t>
      </w:r>
    </w:p>
    <w:p>
      <w:pPr>
        <w:spacing w:before="2"/>
        <w:ind w:left="638" w:right="0" w:firstLine="0"/>
        <w:jc w:val="left"/>
        <w:rPr>
          <w:sz w:val="22"/>
        </w:rPr>
      </w:pPr>
      <w:r>
        <w:rPr>
          <w:i/>
          <w:sz w:val="22"/>
        </w:rPr>
        <w:t>Advances</w:t>
      </w:r>
      <w:r>
        <w:rPr>
          <w:i/>
          <w:spacing w:val="-12"/>
          <w:sz w:val="22"/>
        </w:rPr>
        <w:t> </w:t>
      </w:r>
      <w:r>
        <w:rPr>
          <w:i/>
          <w:sz w:val="22"/>
        </w:rPr>
        <w:t>in</w:t>
      </w:r>
      <w:r>
        <w:rPr>
          <w:i/>
          <w:spacing w:val="-10"/>
          <w:sz w:val="22"/>
        </w:rPr>
        <w:t> </w:t>
      </w:r>
      <w:r>
        <w:rPr>
          <w:i/>
          <w:sz w:val="22"/>
        </w:rPr>
        <w:t>Geosciences</w:t>
      </w:r>
      <w:r>
        <w:rPr>
          <w:sz w:val="22"/>
        </w:rPr>
        <w:t>,</w:t>
      </w:r>
      <w:r>
        <w:rPr>
          <w:spacing w:val="-11"/>
          <w:sz w:val="22"/>
        </w:rPr>
        <w:t> </w:t>
      </w:r>
      <w:r>
        <w:rPr>
          <w:i/>
          <w:sz w:val="22"/>
        </w:rPr>
        <w:t>22</w:t>
      </w:r>
      <w:r>
        <w:rPr>
          <w:sz w:val="22"/>
        </w:rPr>
        <w:t>,</w:t>
      </w:r>
      <w:r>
        <w:rPr>
          <w:spacing w:val="-10"/>
          <w:sz w:val="22"/>
        </w:rPr>
        <w:t> </w:t>
      </w:r>
      <w:r>
        <w:rPr>
          <w:sz w:val="22"/>
        </w:rPr>
        <w:t>85–94.</w:t>
      </w:r>
      <w:r>
        <w:rPr>
          <w:spacing w:val="-9"/>
          <w:sz w:val="22"/>
        </w:rPr>
        <w:t> </w:t>
      </w:r>
      <w:hyperlink r:id="rId44">
        <w:r>
          <w:rPr>
            <w:sz w:val="22"/>
          </w:rPr>
          <w:t>https://doi.org/10.5194/adgeo-22-85-</w:t>
        </w:r>
        <w:r>
          <w:rPr>
            <w:spacing w:val="-4"/>
            <w:sz w:val="22"/>
          </w:rPr>
          <w:t>2009</w:t>
        </w:r>
      </w:hyperlink>
    </w:p>
    <w:p>
      <w:pPr>
        <w:spacing w:after="0"/>
        <w:jc w:val="left"/>
        <w:rPr>
          <w:sz w:val="22"/>
        </w:rPr>
        <w:sectPr>
          <w:pgSz w:w="12240" w:h="15840"/>
          <w:pgMar w:header="0" w:footer="1012" w:top="1220" w:bottom="1200" w:left="850" w:right="850"/>
        </w:sectPr>
      </w:pPr>
    </w:p>
    <w:p>
      <w:pPr>
        <w:spacing w:before="37"/>
        <w:ind w:left="638" w:right="211" w:hanging="481"/>
        <w:jc w:val="left"/>
        <w:rPr>
          <w:sz w:val="22"/>
        </w:rPr>
      </w:pPr>
      <w:r>
        <w:rPr>
          <w:sz w:val="22"/>
        </w:rPr>
        <w:t>Fernández-Martínez,</w:t>
      </w:r>
      <w:r>
        <w:rPr>
          <w:spacing w:val="-2"/>
          <w:sz w:val="22"/>
        </w:rPr>
        <w:t> </w:t>
      </w:r>
      <w:r>
        <w:rPr>
          <w:sz w:val="22"/>
        </w:rPr>
        <w:t>M.,</w:t>
      </w:r>
      <w:r>
        <w:rPr>
          <w:spacing w:val="-5"/>
          <w:sz w:val="22"/>
        </w:rPr>
        <w:t> </w:t>
      </w:r>
      <w:r>
        <w:rPr>
          <w:sz w:val="22"/>
        </w:rPr>
        <w:t>Vicca,</w:t>
      </w:r>
      <w:r>
        <w:rPr>
          <w:spacing w:val="-3"/>
          <w:sz w:val="22"/>
        </w:rPr>
        <w:t> </w:t>
      </w:r>
      <w:r>
        <w:rPr>
          <w:sz w:val="22"/>
        </w:rPr>
        <w:t>S.,</w:t>
      </w:r>
      <w:r>
        <w:rPr>
          <w:spacing w:val="-2"/>
          <w:sz w:val="22"/>
        </w:rPr>
        <w:t> </w:t>
      </w:r>
      <w:r>
        <w:rPr>
          <w:sz w:val="22"/>
        </w:rPr>
        <w:t>Janssens,</w:t>
      </w:r>
      <w:r>
        <w:rPr>
          <w:spacing w:val="-2"/>
          <w:sz w:val="22"/>
        </w:rPr>
        <w:t> </w:t>
      </w:r>
      <w:r>
        <w:rPr>
          <w:sz w:val="22"/>
        </w:rPr>
        <w:t>I.</w:t>
      </w:r>
      <w:r>
        <w:rPr>
          <w:spacing w:val="-2"/>
          <w:sz w:val="22"/>
        </w:rPr>
        <w:t> </w:t>
      </w:r>
      <w:r>
        <w:rPr>
          <w:sz w:val="22"/>
        </w:rPr>
        <w:t>A.,</w:t>
      </w:r>
      <w:r>
        <w:rPr>
          <w:spacing w:val="-5"/>
          <w:sz w:val="22"/>
        </w:rPr>
        <w:t> </w:t>
      </w:r>
      <w:r>
        <w:rPr>
          <w:sz w:val="22"/>
        </w:rPr>
        <w:t>Sardans,</w:t>
      </w:r>
      <w:r>
        <w:rPr>
          <w:spacing w:val="-3"/>
          <w:sz w:val="22"/>
        </w:rPr>
        <w:t> </w:t>
      </w:r>
      <w:r>
        <w:rPr>
          <w:sz w:val="22"/>
        </w:rPr>
        <w:t>J.,</w:t>
      </w:r>
      <w:r>
        <w:rPr>
          <w:spacing w:val="-2"/>
          <w:sz w:val="22"/>
        </w:rPr>
        <w:t> </w:t>
      </w:r>
      <w:r>
        <w:rPr>
          <w:sz w:val="22"/>
        </w:rPr>
        <w:t>Luyssaert,</w:t>
      </w:r>
      <w:r>
        <w:rPr>
          <w:spacing w:val="-2"/>
          <w:sz w:val="22"/>
        </w:rPr>
        <w:t> </w:t>
      </w:r>
      <w:r>
        <w:rPr>
          <w:sz w:val="22"/>
        </w:rPr>
        <w:t>S.,</w:t>
      </w:r>
      <w:r>
        <w:rPr>
          <w:spacing w:val="-5"/>
          <w:sz w:val="22"/>
        </w:rPr>
        <w:t> </w:t>
      </w:r>
      <w:r>
        <w:rPr>
          <w:sz w:val="22"/>
        </w:rPr>
        <w:t>Campioli,</w:t>
      </w:r>
      <w:r>
        <w:rPr>
          <w:spacing w:val="-2"/>
          <w:sz w:val="22"/>
        </w:rPr>
        <w:t> </w:t>
      </w:r>
      <w:r>
        <w:rPr>
          <w:sz w:val="22"/>
        </w:rPr>
        <w:t>M., …</w:t>
      </w:r>
      <w:r>
        <w:rPr>
          <w:spacing w:val="-4"/>
          <w:sz w:val="22"/>
        </w:rPr>
        <w:t> </w:t>
      </w:r>
      <w:r>
        <w:rPr>
          <w:sz w:val="22"/>
        </w:rPr>
        <w:t>Peñuelas,</w:t>
      </w:r>
      <w:r>
        <w:rPr>
          <w:spacing w:val="-2"/>
          <w:sz w:val="22"/>
        </w:rPr>
        <w:t> </w:t>
      </w:r>
      <w:r>
        <w:rPr>
          <w:sz w:val="22"/>
        </w:rPr>
        <w:t>J. (2014). Nutrient availability as the key regulator of global forest carbon balance. </w:t>
      </w:r>
      <w:r>
        <w:rPr>
          <w:i/>
          <w:sz w:val="22"/>
        </w:rPr>
        <w:t>Nature Climate Change</w:t>
      </w:r>
      <w:r>
        <w:rPr>
          <w:sz w:val="22"/>
        </w:rPr>
        <w:t>, </w:t>
      </w:r>
      <w:r>
        <w:rPr>
          <w:i/>
          <w:sz w:val="22"/>
        </w:rPr>
        <w:t>4</w:t>
      </w:r>
      <w:r>
        <w:rPr>
          <w:sz w:val="22"/>
        </w:rPr>
        <w:t>(6), 471–476. </w:t>
      </w:r>
      <w:hyperlink r:id="rId45">
        <w:r>
          <w:rPr>
            <w:sz w:val="22"/>
          </w:rPr>
          <w:t>https://doi.org/10.1038/nclimate2177</w:t>
        </w:r>
      </w:hyperlink>
    </w:p>
    <w:p>
      <w:pPr>
        <w:spacing w:before="159"/>
        <w:ind w:left="638" w:right="0" w:hanging="481"/>
        <w:jc w:val="left"/>
        <w:rPr>
          <w:sz w:val="22"/>
        </w:rPr>
      </w:pPr>
      <w:r>
        <w:rPr>
          <w:sz w:val="22"/>
        </w:rPr>
        <w:t>Filippelli,</w:t>
      </w:r>
      <w:r>
        <w:rPr>
          <w:spacing w:val="-2"/>
          <w:sz w:val="22"/>
        </w:rPr>
        <w:t> </w:t>
      </w:r>
      <w:r>
        <w:rPr>
          <w:sz w:val="22"/>
        </w:rPr>
        <w:t>G.</w:t>
      </w:r>
      <w:r>
        <w:rPr>
          <w:spacing w:val="-2"/>
          <w:sz w:val="22"/>
        </w:rPr>
        <w:t> </w:t>
      </w:r>
      <w:r>
        <w:rPr>
          <w:sz w:val="22"/>
        </w:rPr>
        <w:t>M.</w:t>
      </w:r>
      <w:r>
        <w:rPr>
          <w:spacing w:val="-5"/>
          <w:sz w:val="22"/>
        </w:rPr>
        <w:t> </w:t>
      </w:r>
      <w:r>
        <w:rPr>
          <w:sz w:val="22"/>
        </w:rPr>
        <w:t>(2008).</w:t>
      </w:r>
      <w:r>
        <w:rPr>
          <w:spacing w:val="-2"/>
          <w:sz w:val="22"/>
        </w:rPr>
        <w:t> </w:t>
      </w:r>
      <w:r>
        <w:rPr>
          <w:sz w:val="22"/>
        </w:rPr>
        <w:t>The</w:t>
      </w:r>
      <w:r>
        <w:rPr>
          <w:spacing w:val="-3"/>
          <w:sz w:val="22"/>
        </w:rPr>
        <w:t> </w:t>
      </w:r>
      <w:r>
        <w:rPr>
          <w:sz w:val="22"/>
        </w:rPr>
        <w:t>global</w:t>
      </w:r>
      <w:r>
        <w:rPr>
          <w:spacing w:val="-5"/>
          <w:sz w:val="22"/>
        </w:rPr>
        <w:t> </w:t>
      </w:r>
      <w:r>
        <w:rPr>
          <w:sz w:val="22"/>
        </w:rPr>
        <w:t>phosphorus</w:t>
      </w:r>
      <w:r>
        <w:rPr>
          <w:spacing w:val="-4"/>
          <w:sz w:val="22"/>
        </w:rPr>
        <w:t> </w:t>
      </w:r>
      <w:r>
        <w:rPr>
          <w:sz w:val="22"/>
        </w:rPr>
        <w:t>cycle:</w:t>
      </w:r>
      <w:r>
        <w:rPr>
          <w:spacing w:val="-5"/>
          <w:sz w:val="22"/>
        </w:rPr>
        <w:t> </w:t>
      </w:r>
      <w:r>
        <w:rPr>
          <w:sz w:val="22"/>
        </w:rPr>
        <w:t>Past,</w:t>
      </w:r>
      <w:r>
        <w:rPr>
          <w:spacing w:val="-2"/>
          <w:sz w:val="22"/>
        </w:rPr>
        <w:t> </w:t>
      </w:r>
      <w:r>
        <w:rPr>
          <w:sz w:val="22"/>
        </w:rPr>
        <w:t>present,</w:t>
      </w:r>
      <w:r>
        <w:rPr>
          <w:spacing w:val="-2"/>
          <w:sz w:val="22"/>
        </w:rPr>
        <w:t> </w:t>
      </w:r>
      <w:r>
        <w:rPr>
          <w:sz w:val="22"/>
        </w:rPr>
        <w:t>and</w:t>
      </w:r>
      <w:r>
        <w:rPr>
          <w:spacing w:val="-3"/>
          <w:sz w:val="22"/>
        </w:rPr>
        <w:t> </w:t>
      </w:r>
      <w:r>
        <w:rPr>
          <w:sz w:val="22"/>
        </w:rPr>
        <w:t>future. </w:t>
      </w:r>
      <w:r>
        <w:rPr>
          <w:i/>
          <w:sz w:val="22"/>
        </w:rPr>
        <w:t>Elements</w:t>
      </w:r>
      <w:r>
        <w:rPr>
          <w:sz w:val="22"/>
        </w:rPr>
        <w:t>,</w:t>
      </w:r>
      <w:r>
        <w:rPr>
          <w:spacing w:val="-2"/>
          <w:sz w:val="22"/>
        </w:rPr>
        <w:t> </w:t>
      </w:r>
      <w:r>
        <w:rPr>
          <w:i/>
          <w:sz w:val="22"/>
        </w:rPr>
        <w:t>4</w:t>
      </w:r>
      <w:r>
        <w:rPr>
          <w:sz w:val="22"/>
        </w:rPr>
        <w:t>(2),</w:t>
      </w:r>
      <w:r>
        <w:rPr>
          <w:spacing w:val="-2"/>
          <w:sz w:val="22"/>
        </w:rPr>
        <w:t> </w:t>
      </w:r>
      <w:r>
        <w:rPr>
          <w:sz w:val="22"/>
        </w:rPr>
        <w:t>89–95. </w:t>
      </w:r>
      <w:hyperlink r:id="rId46">
        <w:r>
          <w:rPr>
            <w:spacing w:val="-2"/>
            <w:sz w:val="22"/>
          </w:rPr>
          <w:t>https://doi.org/10.2113/GSELEMENTS.4.2.89</w:t>
        </w:r>
      </w:hyperlink>
    </w:p>
    <w:p>
      <w:pPr>
        <w:spacing w:line="267" w:lineRule="exact" w:before="161"/>
        <w:ind w:left="157" w:right="0" w:firstLine="0"/>
        <w:jc w:val="left"/>
        <w:rPr>
          <w:sz w:val="22"/>
        </w:rPr>
      </w:pPr>
      <w:r>
        <w:rPr>
          <w:sz w:val="22"/>
        </w:rPr>
        <w:t>Fisher,</w:t>
      </w:r>
      <w:r>
        <w:rPr>
          <w:spacing w:val="-3"/>
          <w:sz w:val="22"/>
        </w:rPr>
        <w:t> </w:t>
      </w:r>
      <w:r>
        <w:rPr>
          <w:sz w:val="22"/>
        </w:rPr>
        <w:t>J.</w:t>
      </w:r>
      <w:r>
        <w:rPr>
          <w:spacing w:val="-2"/>
          <w:sz w:val="22"/>
        </w:rPr>
        <w:t> </w:t>
      </w:r>
      <w:r>
        <w:rPr>
          <w:sz w:val="22"/>
        </w:rPr>
        <w:t>B.,</w:t>
      </w:r>
      <w:r>
        <w:rPr>
          <w:spacing w:val="-2"/>
          <w:sz w:val="22"/>
        </w:rPr>
        <w:t> </w:t>
      </w:r>
      <w:r>
        <w:rPr>
          <w:sz w:val="22"/>
        </w:rPr>
        <w:t>Malhi,</w:t>
      </w:r>
      <w:r>
        <w:rPr>
          <w:spacing w:val="-3"/>
          <w:sz w:val="22"/>
        </w:rPr>
        <w:t> </w:t>
      </w:r>
      <w:r>
        <w:rPr>
          <w:sz w:val="22"/>
        </w:rPr>
        <w:t>Y.,</w:t>
      </w:r>
      <w:r>
        <w:rPr>
          <w:spacing w:val="-2"/>
          <w:sz w:val="22"/>
        </w:rPr>
        <w:t> </w:t>
      </w:r>
      <w:r>
        <w:rPr>
          <w:sz w:val="22"/>
        </w:rPr>
        <w:t>Torres,</w:t>
      </w:r>
      <w:r>
        <w:rPr>
          <w:spacing w:val="-2"/>
          <w:sz w:val="22"/>
        </w:rPr>
        <w:t> </w:t>
      </w:r>
      <w:r>
        <w:rPr>
          <w:sz w:val="22"/>
        </w:rPr>
        <w:t>I.</w:t>
      </w:r>
      <w:r>
        <w:rPr>
          <w:spacing w:val="-2"/>
          <w:sz w:val="22"/>
        </w:rPr>
        <w:t> </w:t>
      </w:r>
      <w:r>
        <w:rPr>
          <w:sz w:val="22"/>
        </w:rPr>
        <w:t>C.,</w:t>
      </w:r>
      <w:r>
        <w:rPr>
          <w:spacing w:val="-3"/>
          <w:sz w:val="22"/>
        </w:rPr>
        <w:t> </w:t>
      </w:r>
      <w:r>
        <w:rPr>
          <w:sz w:val="22"/>
        </w:rPr>
        <w:t>Metcalfe,</w:t>
      </w:r>
      <w:r>
        <w:rPr>
          <w:spacing w:val="-2"/>
          <w:sz w:val="22"/>
        </w:rPr>
        <w:t> </w:t>
      </w:r>
      <w:r>
        <w:rPr>
          <w:sz w:val="22"/>
        </w:rPr>
        <w:t>D.</w:t>
      </w:r>
      <w:r>
        <w:rPr>
          <w:spacing w:val="-2"/>
          <w:sz w:val="22"/>
        </w:rPr>
        <w:t> </w:t>
      </w:r>
      <w:r>
        <w:rPr>
          <w:sz w:val="22"/>
        </w:rPr>
        <w:t>B.,</w:t>
      </w:r>
      <w:r>
        <w:rPr>
          <w:spacing w:val="-5"/>
          <w:sz w:val="22"/>
        </w:rPr>
        <w:t> </w:t>
      </w:r>
      <w:r>
        <w:rPr>
          <w:sz w:val="22"/>
        </w:rPr>
        <w:t>van</w:t>
      </w:r>
      <w:r>
        <w:rPr>
          <w:spacing w:val="-4"/>
          <w:sz w:val="22"/>
        </w:rPr>
        <w:t> </w:t>
      </w:r>
      <w:r>
        <w:rPr>
          <w:sz w:val="22"/>
        </w:rPr>
        <w:t>de</w:t>
      </w:r>
      <w:r>
        <w:rPr>
          <w:spacing w:val="-4"/>
          <w:sz w:val="22"/>
        </w:rPr>
        <w:t> </w:t>
      </w:r>
      <w:r>
        <w:rPr>
          <w:sz w:val="22"/>
        </w:rPr>
        <w:t>Weg,</w:t>
      </w:r>
      <w:r>
        <w:rPr>
          <w:spacing w:val="-2"/>
          <w:sz w:val="22"/>
        </w:rPr>
        <w:t> </w:t>
      </w:r>
      <w:r>
        <w:rPr>
          <w:sz w:val="22"/>
        </w:rPr>
        <w:t>M.</w:t>
      </w:r>
      <w:r>
        <w:rPr>
          <w:spacing w:val="-2"/>
          <w:sz w:val="22"/>
        </w:rPr>
        <w:t> </w:t>
      </w:r>
      <w:r>
        <w:rPr>
          <w:sz w:val="22"/>
        </w:rPr>
        <w:t>J.,</w:t>
      </w:r>
      <w:r>
        <w:rPr>
          <w:spacing w:val="-3"/>
          <w:sz w:val="22"/>
        </w:rPr>
        <w:t> </w:t>
      </w:r>
      <w:r>
        <w:rPr>
          <w:sz w:val="22"/>
        </w:rPr>
        <w:t>Meir,</w:t>
      </w:r>
      <w:r>
        <w:rPr>
          <w:spacing w:val="-5"/>
          <w:sz w:val="22"/>
        </w:rPr>
        <w:t> </w:t>
      </w:r>
      <w:r>
        <w:rPr>
          <w:sz w:val="22"/>
        </w:rPr>
        <w:t>P.,</w:t>
      </w:r>
      <w:r>
        <w:rPr>
          <w:spacing w:val="4"/>
          <w:sz w:val="22"/>
        </w:rPr>
        <w:t> </w:t>
      </w:r>
      <w:r>
        <w:rPr>
          <w:sz w:val="22"/>
        </w:rPr>
        <w:t>…</w:t>
      </w:r>
      <w:r>
        <w:rPr>
          <w:spacing w:val="-5"/>
          <w:sz w:val="22"/>
        </w:rPr>
        <w:t> </w:t>
      </w:r>
      <w:r>
        <w:rPr>
          <w:sz w:val="22"/>
        </w:rPr>
        <w:t>Huasco,</w:t>
      </w:r>
      <w:r>
        <w:rPr>
          <w:spacing w:val="-2"/>
          <w:sz w:val="22"/>
        </w:rPr>
        <w:t> </w:t>
      </w:r>
      <w:r>
        <w:rPr>
          <w:sz w:val="22"/>
        </w:rPr>
        <w:t>W.</w:t>
      </w:r>
      <w:r>
        <w:rPr>
          <w:spacing w:val="-2"/>
          <w:sz w:val="22"/>
        </w:rPr>
        <w:t> </w:t>
      </w:r>
      <w:r>
        <w:rPr>
          <w:sz w:val="22"/>
        </w:rPr>
        <w:t>H.</w:t>
      </w:r>
      <w:r>
        <w:rPr>
          <w:spacing w:val="-2"/>
          <w:sz w:val="22"/>
        </w:rPr>
        <w:t> (2013).</w:t>
      </w:r>
    </w:p>
    <w:p>
      <w:pPr>
        <w:spacing w:before="0"/>
        <w:ind w:left="638" w:right="0" w:firstLine="0"/>
        <w:jc w:val="left"/>
        <w:rPr>
          <w:sz w:val="22"/>
        </w:rPr>
      </w:pPr>
      <w:r>
        <w:rPr>
          <w:sz w:val="22"/>
        </w:rPr>
        <w:t>Nutrient</w:t>
      </w:r>
      <w:r>
        <w:rPr>
          <w:spacing w:val="-2"/>
          <w:sz w:val="22"/>
        </w:rPr>
        <w:t> </w:t>
      </w:r>
      <w:r>
        <w:rPr>
          <w:sz w:val="22"/>
        </w:rPr>
        <w:t>limitation</w:t>
      </w:r>
      <w:r>
        <w:rPr>
          <w:spacing w:val="-2"/>
          <w:sz w:val="22"/>
        </w:rPr>
        <w:t> </w:t>
      </w:r>
      <w:r>
        <w:rPr>
          <w:sz w:val="22"/>
        </w:rPr>
        <w:t>in</w:t>
      </w:r>
      <w:r>
        <w:rPr>
          <w:spacing w:val="-2"/>
          <w:sz w:val="22"/>
        </w:rPr>
        <w:t> </w:t>
      </w:r>
      <w:r>
        <w:rPr>
          <w:sz w:val="22"/>
        </w:rPr>
        <w:t>rainforests</w:t>
      </w:r>
      <w:r>
        <w:rPr>
          <w:spacing w:val="-4"/>
          <w:sz w:val="22"/>
        </w:rPr>
        <w:t> </w:t>
      </w:r>
      <w:r>
        <w:rPr>
          <w:sz w:val="22"/>
        </w:rPr>
        <w:t>and</w:t>
      </w:r>
      <w:r>
        <w:rPr>
          <w:spacing w:val="-3"/>
          <w:sz w:val="22"/>
        </w:rPr>
        <w:t> </w:t>
      </w:r>
      <w:r>
        <w:rPr>
          <w:sz w:val="22"/>
        </w:rPr>
        <w:t>cloud</w:t>
      </w:r>
      <w:r>
        <w:rPr>
          <w:spacing w:val="-6"/>
          <w:sz w:val="22"/>
        </w:rPr>
        <w:t> </w:t>
      </w:r>
      <w:r>
        <w:rPr>
          <w:sz w:val="22"/>
        </w:rPr>
        <w:t>forests</w:t>
      </w:r>
      <w:r>
        <w:rPr>
          <w:spacing w:val="-6"/>
          <w:sz w:val="22"/>
        </w:rPr>
        <w:t> </w:t>
      </w:r>
      <w:r>
        <w:rPr>
          <w:sz w:val="22"/>
        </w:rPr>
        <w:t>along</w:t>
      </w:r>
      <w:r>
        <w:rPr>
          <w:spacing w:val="-3"/>
          <w:sz w:val="22"/>
        </w:rPr>
        <w:t> </w:t>
      </w:r>
      <w:r>
        <w:rPr>
          <w:sz w:val="22"/>
        </w:rPr>
        <w:t>a</w:t>
      </w:r>
      <w:r>
        <w:rPr>
          <w:spacing w:val="-3"/>
          <w:sz w:val="22"/>
        </w:rPr>
        <w:t> </w:t>
      </w:r>
      <w:r>
        <w:rPr>
          <w:sz w:val="22"/>
        </w:rPr>
        <w:t>3,000-m</w:t>
      </w:r>
      <w:r>
        <w:rPr>
          <w:spacing w:val="-3"/>
          <w:sz w:val="22"/>
        </w:rPr>
        <w:t> </w:t>
      </w:r>
      <w:r>
        <w:rPr>
          <w:sz w:val="22"/>
        </w:rPr>
        <w:t>elevation</w:t>
      </w:r>
      <w:r>
        <w:rPr>
          <w:spacing w:val="-2"/>
          <w:sz w:val="22"/>
        </w:rPr>
        <w:t> </w:t>
      </w:r>
      <w:r>
        <w:rPr>
          <w:sz w:val="22"/>
        </w:rPr>
        <w:t>gradient</w:t>
      </w:r>
      <w:r>
        <w:rPr>
          <w:spacing w:val="-2"/>
          <w:sz w:val="22"/>
        </w:rPr>
        <w:t> </w:t>
      </w:r>
      <w:r>
        <w:rPr>
          <w:sz w:val="22"/>
        </w:rPr>
        <w:t>in</w:t>
      </w:r>
      <w:r>
        <w:rPr>
          <w:spacing w:val="-5"/>
          <w:sz w:val="22"/>
        </w:rPr>
        <w:t> </w:t>
      </w:r>
      <w:r>
        <w:rPr>
          <w:sz w:val="22"/>
        </w:rPr>
        <w:t>the</w:t>
      </w:r>
      <w:r>
        <w:rPr>
          <w:spacing w:val="-3"/>
          <w:sz w:val="22"/>
        </w:rPr>
        <w:t> </w:t>
      </w:r>
      <w:r>
        <w:rPr>
          <w:sz w:val="22"/>
        </w:rPr>
        <w:t>Peruvian Andes. </w:t>
      </w:r>
      <w:r>
        <w:rPr>
          <w:i/>
          <w:sz w:val="22"/>
        </w:rPr>
        <w:t>Oecologia</w:t>
      </w:r>
      <w:r>
        <w:rPr>
          <w:sz w:val="22"/>
        </w:rPr>
        <w:t>, </w:t>
      </w:r>
      <w:r>
        <w:rPr>
          <w:i/>
          <w:sz w:val="22"/>
        </w:rPr>
        <w:t>172</w:t>
      </w:r>
      <w:r>
        <w:rPr>
          <w:sz w:val="22"/>
        </w:rPr>
        <w:t>(3), 889–902. </w:t>
      </w:r>
      <w:hyperlink r:id="rId47">
        <w:r>
          <w:rPr>
            <w:sz w:val="22"/>
          </w:rPr>
          <w:t>https://doi.org/10.1007/s00442-012-2522-6</w:t>
        </w:r>
      </w:hyperlink>
    </w:p>
    <w:p>
      <w:pPr>
        <w:spacing w:before="161"/>
        <w:ind w:left="638" w:right="211" w:hanging="481"/>
        <w:jc w:val="left"/>
        <w:rPr>
          <w:sz w:val="22"/>
        </w:rPr>
      </w:pPr>
      <w:r>
        <w:rPr>
          <w:sz w:val="22"/>
        </w:rPr>
        <w:t>Fortunel,</w:t>
      </w:r>
      <w:r>
        <w:rPr>
          <w:spacing w:val="-1"/>
          <w:sz w:val="22"/>
        </w:rPr>
        <w:t> </w:t>
      </w:r>
      <w:r>
        <w:rPr>
          <w:sz w:val="22"/>
        </w:rPr>
        <w:t>C.,</w:t>
      </w:r>
      <w:r>
        <w:rPr>
          <w:spacing w:val="-4"/>
          <w:sz w:val="22"/>
        </w:rPr>
        <w:t> </w:t>
      </w:r>
      <w:r>
        <w:rPr>
          <w:sz w:val="22"/>
        </w:rPr>
        <w:t>Valencia,</w:t>
      </w:r>
      <w:r>
        <w:rPr>
          <w:spacing w:val="-2"/>
          <w:sz w:val="22"/>
        </w:rPr>
        <w:t> </w:t>
      </w:r>
      <w:r>
        <w:rPr>
          <w:sz w:val="22"/>
        </w:rPr>
        <w:t>R.,</w:t>
      </w:r>
      <w:r>
        <w:rPr>
          <w:spacing w:val="-4"/>
          <w:sz w:val="22"/>
        </w:rPr>
        <w:t> </w:t>
      </w:r>
      <w:r>
        <w:rPr>
          <w:sz w:val="22"/>
        </w:rPr>
        <w:t>Wright,</w:t>
      </w:r>
      <w:r>
        <w:rPr>
          <w:spacing w:val="-1"/>
          <w:sz w:val="22"/>
        </w:rPr>
        <w:t> </w:t>
      </w:r>
      <w:r>
        <w:rPr>
          <w:sz w:val="22"/>
        </w:rPr>
        <w:t>S.</w:t>
      </w:r>
      <w:r>
        <w:rPr>
          <w:spacing w:val="-1"/>
          <w:sz w:val="22"/>
        </w:rPr>
        <w:t> </w:t>
      </w:r>
      <w:r>
        <w:rPr>
          <w:sz w:val="22"/>
        </w:rPr>
        <w:t>J.,</w:t>
      </w:r>
      <w:r>
        <w:rPr>
          <w:spacing w:val="-4"/>
          <w:sz w:val="22"/>
        </w:rPr>
        <w:t> </w:t>
      </w:r>
      <w:r>
        <w:rPr>
          <w:sz w:val="22"/>
        </w:rPr>
        <w:t>Garwood,</w:t>
      </w:r>
      <w:r>
        <w:rPr>
          <w:spacing w:val="-4"/>
          <w:sz w:val="22"/>
        </w:rPr>
        <w:t> </w:t>
      </w:r>
      <w:r>
        <w:rPr>
          <w:sz w:val="22"/>
        </w:rPr>
        <w:t>N.</w:t>
      </w:r>
      <w:r>
        <w:rPr>
          <w:spacing w:val="-1"/>
          <w:sz w:val="22"/>
        </w:rPr>
        <w:t> </w:t>
      </w:r>
      <w:r>
        <w:rPr>
          <w:sz w:val="22"/>
        </w:rPr>
        <w:t>C.,</w:t>
      </w:r>
      <w:r>
        <w:rPr>
          <w:spacing w:val="-1"/>
          <w:sz w:val="22"/>
        </w:rPr>
        <w:t> </w:t>
      </w:r>
      <w:r>
        <w:rPr>
          <w:sz w:val="22"/>
        </w:rPr>
        <w:t>&amp;</w:t>
      </w:r>
      <w:r>
        <w:rPr>
          <w:spacing w:val="-6"/>
          <w:sz w:val="22"/>
        </w:rPr>
        <w:t> </w:t>
      </w:r>
      <w:r>
        <w:rPr>
          <w:sz w:val="22"/>
        </w:rPr>
        <w:t>Kraft,</w:t>
      </w:r>
      <w:r>
        <w:rPr>
          <w:spacing w:val="-4"/>
          <w:sz w:val="22"/>
        </w:rPr>
        <w:t> </w:t>
      </w:r>
      <w:r>
        <w:rPr>
          <w:sz w:val="22"/>
        </w:rPr>
        <w:t>N.</w:t>
      </w:r>
      <w:r>
        <w:rPr>
          <w:spacing w:val="-4"/>
          <w:sz w:val="22"/>
        </w:rPr>
        <w:t> </w:t>
      </w:r>
      <w:r>
        <w:rPr>
          <w:sz w:val="22"/>
        </w:rPr>
        <w:t>J.</w:t>
      </w:r>
      <w:r>
        <w:rPr>
          <w:spacing w:val="-1"/>
          <w:sz w:val="22"/>
        </w:rPr>
        <w:t> </w:t>
      </w:r>
      <w:r>
        <w:rPr>
          <w:sz w:val="22"/>
        </w:rPr>
        <w:t>B. (2016).</w:t>
      </w:r>
      <w:r>
        <w:rPr>
          <w:spacing w:val="-4"/>
          <w:sz w:val="22"/>
        </w:rPr>
        <w:t> </w:t>
      </w:r>
      <w:r>
        <w:rPr>
          <w:sz w:val="22"/>
        </w:rPr>
        <w:t>Functional</w:t>
      </w:r>
      <w:r>
        <w:rPr>
          <w:spacing w:val="-5"/>
          <w:sz w:val="22"/>
        </w:rPr>
        <w:t> </w:t>
      </w:r>
      <w:r>
        <w:rPr>
          <w:sz w:val="22"/>
        </w:rPr>
        <w:t>trait</w:t>
      </w:r>
      <w:r>
        <w:rPr>
          <w:spacing w:val="-1"/>
          <w:sz w:val="22"/>
        </w:rPr>
        <w:t> </w:t>
      </w:r>
      <w:r>
        <w:rPr>
          <w:sz w:val="22"/>
        </w:rPr>
        <w:t>differences influence neighbourhood interactions in a hyperdiverse Amazonian forest. </w:t>
      </w:r>
      <w:r>
        <w:rPr>
          <w:i/>
          <w:sz w:val="22"/>
        </w:rPr>
        <w:t>Ecology Letters</w:t>
      </w:r>
      <w:r>
        <w:rPr>
          <w:sz w:val="22"/>
        </w:rPr>
        <w:t>, </w:t>
      </w:r>
      <w:r>
        <w:rPr>
          <w:i/>
          <w:sz w:val="22"/>
        </w:rPr>
        <w:t>19</w:t>
      </w:r>
      <w:r>
        <w:rPr>
          <w:sz w:val="22"/>
        </w:rPr>
        <w:t>(9), 1062–1070. </w:t>
      </w:r>
      <w:hyperlink r:id="rId48">
        <w:r>
          <w:rPr>
            <w:sz w:val="22"/>
          </w:rPr>
          <w:t>https://doi.org/10.1111/ele.12642</w:t>
        </w:r>
      </w:hyperlink>
    </w:p>
    <w:p>
      <w:pPr>
        <w:spacing w:before="159"/>
        <w:ind w:left="638" w:right="0" w:hanging="481"/>
        <w:jc w:val="left"/>
        <w:rPr>
          <w:sz w:val="22"/>
        </w:rPr>
      </w:pPr>
      <w:r>
        <w:rPr>
          <w:sz w:val="22"/>
        </w:rPr>
        <w:t>Galloway,</w:t>
      </w:r>
      <w:r>
        <w:rPr>
          <w:spacing w:val="-2"/>
          <w:sz w:val="22"/>
        </w:rPr>
        <w:t> </w:t>
      </w:r>
      <w:r>
        <w:rPr>
          <w:sz w:val="22"/>
        </w:rPr>
        <w:t>J.</w:t>
      </w:r>
      <w:r>
        <w:rPr>
          <w:spacing w:val="-1"/>
          <w:sz w:val="22"/>
        </w:rPr>
        <w:t> </w:t>
      </w:r>
      <w:r>
        <w:rPr>
          <w:sz w:val="22"/>
        </w:rPr>
        <w:t>N.,</w:t>
      </w:r>
      <w:r>
        <w:rPr>
          <w:spacing w:val="-1"/>
          <w:sz w:val="22"/>
        </w:rPr>
        <w:t> </w:t>
      </w:r>
      <w:r>
        <w:rPr>
          <w:sz w:val="22"/>
        </w:rPr>
        <w:t>&amp;</w:t>
      </w:r>
      <w:r>
        <w:rPr>
          <w:spacing w:val="-6"/>
          <w:sz w:val="22"/>
        </w:rPr>
        <w:t> </w:t>
      </w:r>
      <w:r>
        <w:rPr>
          <w:sz w:val="22"/>
        </w:rPr>
        <w:t>Cowling,</w:t>
      </w:r>
      <w:r>
        <w:rPr>
          <w:spacing w:val="-1"/>
          <w:sz w:val="22"/>
        </w:rPr>
        <w:t> </w:t>
      </w:r>
      <w:r>
        <w:rPr>
          <w:sz w:val="22"/>
        </w:rPr>
        <w:t>E.</w:t>
      </w:r>
      <w:r>
        <w:rPr>
          <w:spacing w:val="-4"/>
          <w:sz w:val="22"/>
        </w:rPr>
        <w:t> </w:t>
      </w:r>
      <w:r>
        <w:rPr>
          <w:sz w:val="22"/>
        </w:rPr>
        <w:t>B.</w:t>
      </w:r>
      <w:r>
        <w:rPr>
          <w:spacing w:val="-1"/>
          <w:sz w:val="22"/>
        </w:rPr>
        <w:t> </w:t>
      </w:r>
      <w:r>
        <w:rPr>
          <w:sz w:val="22"/>
        </w:rPr>
        <w:t>(2002).</w:t>
      </w:r>
      <w:r>
        <w:rPr>
          <w:spacing w:val="-4"/>
          <w:sz w:val="22"/>
        </w:rPr>
        <w:t> </w:t>
      </w:r>
      <w:r>
        <w:rPr>
          <w:sz w:val="22"/>
        </w:rPr>
        <w:t>Reactive</w:t>
      </w:r>
      <w:r>
        <w:rPr>
          <w:spacing w:val="-5"/>
          <w:sz w:val="22"/>
        </w:rPr>
        <w:t> </w:t>
      </w:r>
      <w:r>
        <w:rPr>
          <w:sz w:val="22"/>
        </w:rPr>
        <w:t>nitrogen</w:t>
      </w:r>
      <w:r>
        <w:rPr>
          <w:spacing w:val="-2"/>
          <w:sz w:val="22"/>
        </w:rPr>
        <w:t> </w:t>
      </w:r>
      <w:r>
        <w:rPr>
          <w:sz w:val="22"/>
        </w:rPr>
        <w:t>and</w:t>
      </w:r>
      <w:r>
        <w:rPr>
          <w:spacing w:val="-2"/>
          <w:sz w:val="22"/>
        </w:rPr>
        <w:t> </w:t>
      </w:r>
      <w:r>
        <w:rPr>
          <w:sz w:val="22"/>
        </w:rPr>
        <w:t>the</w:t>
      </w:r>
      <w:r>
        <w:rPr>
          <w:spacing w:val="-2"/>
          <w:sz w:val="22"/>
        </w:rPr>
        <w:t> </w:t>
      </w:r>
      <w:r>
        <w:rPr>
          <w:sz w:val="22"/>
        </w:rPr>
        <w:t>world:</w:t>
      </w:r>
      <w:r>
        <w:rPr>
          <w:spacing w:val="-4"/>
          <w:sz w:val="22"/>
        </w:rPr>
        <w:t> </w:t>
      </w:r>
      <w:r>
        <w:rPr>
          <w:sz w:val="22"/>
        </w:rPr>
        <w:t>200</w:t>
      </w:r>
      <w:r>
        <w:rPr>
          <w:spacing w:val="-2"/>
          <w:sz w:val="22"/>
        </w:rPr>
        <w:t> </w:t>
      </w:r>
      <w:r>
        <w:rPr>
          <w:sz w:val="22"/>
        </w:rPr>
        <w:t>Years</w:t>
      </w:r>
      <w:r>
        <w:rPr>
          <w:spacing w:val="-6"/>
          <w:sz w:val="22"/>
        </w:rPr>
        <w:t> </w:t>
      </w:r>
      <w:r>
        <w:rPr>
          <w:sz w:val="22"/>
        </w:rPr>
        <w:t>of</w:t>
      </w:r>
      <w:r>
        <w:rPr>
          <w:spacing w:val="-1"/>
          <w:sz w:val="22"/>
        </w:rPr>
        <w:t> </w:t>
      </w:r>
      <w:r>
        <w:rPr>
          <w:sz w:val="22"/>
        </w:rPr>
        <w:t>change.</w:t>
      </w:r>
      <w:r>
        <w:rPr>
          <w:spacing w:val="-2"/>
          <w:sz w:val="22"/>
        </w:rPr>
        <w:t> </w:t>
      </w:r>
      <w:r>
        <w:rPr>
          <w:i/>
          <w:sz w:val="22"/>
        </w:rPr>
        <w:t>Ambio</w:t>
      </w:r>
      <w:r>
        <w:rPr>
          <w:sz w:val="22"/>
        </w:rPr>
        <w:t>,</w:t>
      </w:r>
      <w:r>
        <w:rPr>
          <w:spacing w:val="-3"/>
          <w:sz w:val="22"/>
        </w:rPr>
        <w:t> </w:t>
      </w:r>
      <w:r>
        <w:rPr>
          <w:i/>
          <w:sz w:val="22"/>
        </w:rPr>
        <w:t>31</w:t>
      </w:r>
      <w:r>
        <w:rPr>
          <w:sz w:val="22"/>
        </w:rPr>
        <w:t>(2), 64–71. </w:t>
      </w:r>
      <w:hyperlink r:id="rId49">
        <w:r>
          <w:rPr>
            <w:sz w:val="22"/>
          </w:rPr>
          <w:t>https://doi.org/10.1579/0044-7447-31.2.64</w:t>
        </w:r>
      </w:hyperlink>
    </w:p>
    <w:p>
      <w:pPr>
        <w:spacing w:line="240" w:lineRule="auto" w:before="162"/>
        <w:ind w:left="638" w:right="0" w:hanging="481"/>
        <w:jc w:val="left"/>
        <w:rPr>
          <w:sz w:val="22"/>
        </w:rPr>
      </w:pPr>
      <w:r>
        <w:rPr>
          <w:sz w:val="22"/>
        </w:rPr>
        <w:t>Gargallo-Garriga, A., Wright, S. J., Sardans, J., Pérez-Trujillo, M., Oravec, M., Večeřová, K., … Penuelas, J. (2017).</w:t>
      </w:r>
      <w:r>
        <w:rPr>
          <w:spacing w:val="-4"/>
          <w:sz w:val="22"/>
        </w:rPr>
        <w:t> </w:t>
      </w:r>
      <w:r>
        <w:rPr>
          <w:sz w:val="22"/>
        </w:rPr>
        <w:t>Long-term</w:t>
      </w:r>
      <w:r>
        <w:rPr>
          <w:spacing w:val="-6"/>
          <w:sz w:val="22"/>
        </w:rPr>
        <w:t> </w:t>
      </w:r>
      <w:r>
        <w:rPr>
          <w:sz w:val="22"/>
        </w:rPr>
        <w:t>fertilization</w:t>
      </w:r>
      <w:r>
        <w:rPr>
          <w:spacing w:val="-3"/>
          <w:sz w:val="22"/>
        </w:rPr>
        <w:t> </w:t>
      </w:r>
      <w:r>
        <w:rPr>
          <w:sz w:val="22"/>
        </w:rPr>
        <w:t>determines</w:t>
      </w:r>
      <w:r>
        <w:rPr>
          <w:spacing w:val="-5"/>
          <w:sz w:val="22"/>
        </w:rPr>
        <w:t> </w:t>
      </w:r>
      <w:r>
        <w:rPr>
          <w:sz w:val="22"/>
        </w:rPr>
        <w:t>different</w:t>
      </w:r>
      <w:r>
        <w:rPr>
          <w:spacing w:val="-3"/>
          <w:sz w:val="22"/>
        </w:rPr>
        <w:t> </w:t>
      </w:r>
      <w:r>
        <w:rPr>
          <w:sz w:val="22"/>
        </w:rPr>
        <w:t>metabolomic</w:t>
      </w:r>
      <w:r>
        <w:rPr>
          <w:spacing w:val="-5"/>
          <w:sz w:val="22"/>
        </w:rPr>
        <w:t> </w:t>
      </w:r>
      <w:r>
        <w:rPr>
          <w:sz w:val="22"/>
        </w:rPr>
        <w:t>profiles</w:t>
      </w:r>
      <w:r>
        <w:rPr>
          <w:spacing w:val="-5"/>
          <w:sz w:val="22"/>
        </w:rPr>
        <w:t> </w:t>
      </w:r>
      <w:r>
        <w:rPr>
          <w:sz w:val="22"/>
        </w:rPr>
        <w:t>and</w:t>
      </w:r>
      <w:r>
        <w:rPr>
          <w:spacing w:val="-4"/>
          <w:sz w:val="22"/>
        </w:rPr>
        <w:t> </w:t>
      </w:r>
      <w:r>
        <w:rPr>
          <w:sz w:val="22"/>
        </w:rPr>
        <w:t>responses</w:t>
      </w:r>
      <w:r>
        <w:rPr>
          <w:spacing w:val="-5"/>
          <w:sz w:val="22"/>
        </w:rPr>
        <w:t> </w:t>
      </w:r>
      <w:r>
        <w:rPr>
          <w:sz w:val="22"/>
        </w:rPr>
        <w:t>in</w:t>
      </w:r>
      <w:r>
        <w:rPr>
          <w:spacing w:val="-3"/>
          <w:sz w:val="22"/>
        </w:rPr>
        <w:t> </w:t>
      </w:r>
      <w:r>
        <w:rPr>
          <w:sz w:val="22"/>
        </w:rPr>
        <w:t>saplings</w:t>
      </w:r>
      <w:r>
        <w:rPr>
          <w:spacing w:val="-4"/>
          <w:sz w:val="22"/>
        </w:rPr>
        <w:t> </w:t>
      </w:r>
      <w:r>
        <w:rPr>
          <w:sz w:val="22"/>
        </w:rPr>
        <w:t>of three rainforest tree species with different adult canopy position. </w:t>
      </w:r>
      <w:r>
        <w:rPr>
          <w:i/>
          <w:sz w:val="22"/>
        </w:rPr>
        <w:t>PLoS ONE</w:t>
      </w:r>
      <w:r>
        <w:rPr>
          <w:sz w:val="22"/>
        </w:rPr>
        <w:t>, </w:t>
      </w:r>
      <w:r>
        <w:rPr>
          <w:i/>
          <w:sz w:val="22"/>
        </w:rPr>
        <w:t>12</w:t>
      </w:r>
      <w:r>
        <w:rPr>
          <w:sz w:val="22"/>
        </w:rPr>
        <w:t>(5). </w:t>
      </w:r>
      <w:hyperlink r:id="rId50">
        <w:r>
          <w:rPr>
            <w:spacing w:val="-2"/>
            <w:sz w:val="22"/>
          </w:rPr>
          <w:t>https://doi.org/10.1371/journal.pone.0177030</w:t>
        </w:r>
      </w:hyperlink>
    </w:p>
    <w:p>
      <w:pPr>
        <w:spacing w:before="159"/>
        <w:ind w:left="638" w:right="211" w:hanging="481"/>
        <w:jc w:val="left"/>
        <w:rPr>
          <w:sz w:val="22"/>
        </w:rPr>
      </w:pPr>
      <w:r>
        <w:rPr>
          <w:sz w:val="22"/>
        </w:rPr>
        <w:t>Güsewell, S., Bollens, U., Ryser, P., &amp; Klötzli, F. (2003). Contrasting effects of nitrogen, phosphorus and water</w:t>
      </w:r>
      <w:r>
        <w:rPr>
          <w:spacing w:val="-4"/>
          <w:sz w:val="22"/>
        </w:rPr>
        <w:t> </w:t>
      </w:r>
      <w:r>
        <w:rPr>
          <w:sz w:val="22"/>
        </w:rPr>
        <w:t>regime</w:t>
      </w:r>
      <w:r>
        <w:rPr>
          <w:spacing w:val="-3"/>
          <w:sz w:val="22"/>
        </w:rPr>
        <w:t> </w:t>
      </w:r>
      <w:r>
        <w:rPr>
          <w:sz w:val="22"/>
        </w:rPr>
        <w:t>on</w:t>
      </w:r>
      <w:r>
        <w:rPr>
          <w:spacing w:val="-2"/>
          <w:sz w:val="22"/>
        </w:rPr>
        <w:t> </w:t>
      </w:r>
      <w:r>
        <w:rPr>
          <w:sz w:val="22"/>
        </w:rPr>
        <w:t>first-</w:t>
      </w:r>
      <w:r>
        <w:rPr>
          <w:spacing w:val="-3"/>
          <w:sz w:val="22"/>
        </w:rPr>
        <w:t> </w:t>
      </w:r>
      <w:r>
        <w:rPr>
          <w:sz w:val="22"/>
        </w:rPr>
        <w:t>and</w:t>
      </w:r>
      <w:r>
        <w:rPr>
          <w:spacing w:val="-3"/>
          <w:sz w:val="22"/>
        </w:rPr>
        <w:t> </w:t>
      </w:r>
      <w:r>
        <w:rPr>
          <w:sz w:val="22"/>
        </w:rPr>
        <w:t>second-year</w:t>
      </w:r>
      <w:r>
        <w:rPr>
          <w:spacing w:val="-4"/>
          <w:sz w:val="22"/>
        </w:rPr>
        <w:t> </w:t>
      </w:r>
      <w:r>
        <w:rPr>
          <w:sz w:val="22"/>
        </w:rPr>
        <w:t>growth</w:t>
      </w:r>
      <w:r>
        <w:rPr>
          <w:spacing w:val="-4"/>
          <w:sz w:val="22"/>
        </w:rPr>
        <w:t> </w:t>
      </w:r>
      <w:r>
        <w:rPr>
          <w:sz w:val="22"/>
        </w:rPr>
        <w:t>of</w:t>
      </w:r>
      <w:r>
        <w:rPr>
          <w:spacing w:val="-2"/>
          <w:sz w:val="22"/>
        </w:rPr>
        <w:t> </w:t>
      </w:r>
      <w:r>
        <w:rPr>
          <w:sz w:val="22"/>
        </w:rPr>
        <w:t>16</w:t>
      </w:r>
      <w:r>
        <w:rPr>
          <w:spacing w:val="-3"/>
          <w:sz w:val="22"/>
        </w:rPr>
        <w:t> </w:t>
      </w:r>
      <w:r>
        <w:rPr>
          <w:sz w:val="22"/>
        </w:rPr>
        <w:t>wetland</w:t>
      </w:r>
      <w:r>
        <w:rPr>
          <w:spacing w:val="-6"/>
          <w:sz w:val="22"/>
        </w:rPr>
        <w:t> </w:t>
      </w:r>
      <w:r>
        <w:rPr>
          <w:sz w:val="22"/>
        </w:rPr>
        <w:t>plant</w:t>
      </w:r>
      <w:r>
        <w:rPr>
          <w:spacing w:val="-2"/>
          <w:sz w:val="22"/>
        </w:rPr>
        <w:t> </w:t>
      </w:r>
      <w:r>
        <w:rPr>
          <w:sz w:val="22"/>
        </w:rPr>
        <w:t>species.</w:t>
      </w:r>
      <w:r>
        <w:rPr>
          <w:spacing w:val="-2"/>
          <w:sz w:val="22"/>
        </w:rPr>
        <w:t> </w:t>
      </w:r>
      <w:r>
        <w:rPr>
          <w:i/>
          <w:sz w:val="22"/>
        </w:rPr>
        <w:t>Functional</w:t>
      </w:r>
      <w:r>
        <w:rPr>
          <w:i/>
          <w:spacing w:val="-2"/>
          <w:sz w:val="22"/>
        </w:rPr>
        <w:t> </w:t>
      </w:r>
      <w:r>
        <w:rPr>
          <w:i/>
          <w:sz w:val="22"/>
        </w:rPr>
        <w:t>Ecology</w:t>
      </w:r>
      <w:r>
        <w:rPr>
          <w:sz w:val="22"/>
        </w:rPr>
        <w:t>,</w:t>
      </w:r>
      <w:r>
        <w:rPr>
          <w:spacing w:val="-2"/>
          <w:sz w:val="22"/>
        </w:rPr>
        <w:t> </w:t>
      </w:r>
      <w:r>
        <w:rPr>
          <w:i/>
          <w:sz w:val="22"/>
        </w:rPr>
        <w:t>17</w:t>
      </w:r>
      <w:r>
        <w:rPr>
          <w:sz w:val="22"/>
        </w:rPr>
        <w:t>(6), 754–765. </w:t>
      </w:r>
      <w:hyperlink r:id="rId51">
        <w:r>
          <w:rPr>
            <w:sz w:val="22"/>
          </w:rPr>
          <w:t>https://doi.org/10.1111/j.1365-2435.2003.00784.x</w:t>
        </w:r>
      </w:hyperlink>
    </w:p>
    <w:p>
      <w:pPr>
        <w:spacing w:before="159"/>
        <w:ind w:left="638" w:right="211" w:hanging="481"/>
        <w:jc w:val="left"/>
        <w:rPr>
          <w:sz w:val="22"/>
        </w:rPr>
      </w:pPr>
      <w:r>
        <w:rPr>
          <w:sz w:val="22"/>
        </w:rPr>
        <w:t>Harpole,</w:t>
      </w:r>
      <w:r>
        <w:rPr>
          <w:spacing w:val="-4"/>
          <w:sz w:val="22"/>
        </w:rPr>
        <w:t> </w:t>
      </w:r>
      <w:r>
        <w:rPr>
          <w:sz w:val="22"/>
        </w:rPr>
        <w:t>W.</w:t>
      </w:r>
      <w:r>
        <w:rPr>
          <w:spacing w:val="-4"/>
          <w:sz w:val="22"/>
        </w:rPr>
        <w:t> </w:t>
      </w:r>
      <w:r>
        <w:rPr>
          <w:sz w:val="22"/>
        </w:rPr>
        <w:t>S.,</w:t>
      </w:r>
      <w:r>
        <w:rPr>
          <w:spacing w:val="-1"/>
          <w:sz w:val="22"/>
        </w:rPr>
        <w:t> </w:t>
      </w:r>
      <w:r>
        <w:rPr>
          <w:sz w:val="22"/>
        </w:rPr>
        <w:t>Sullivan,</w:t>
      </w:r>
      <w:r>
        <w:rPr>
          <w:spacing w:val="-4"/>
          <w:sz w:val="22"/>
        </w:rPr>
        <w:t> </w:t>
      </w:r>
      <w:r>
        <w:rPr>
          <w:sz w:val="22"/>
        </w:rPr>
        <w:t>L.</w:t>
      </w:r>
      <w:r>
        <w:rPr>
          <w:spacing w:val="-2"/>
          <w:sz w:val="22"/>
        </w:rPr>
        <w:t> </w:t>
      </w:r>
      <w:r>
        <w:rPr>
          <w:sz w:val="22"/>
        </w:rPr>
        <w:t>L.,</w:t>
      </w:r>
      <w:r>
        <w:rPr>
          <w:spacing w:val="-1"/>
          <w:sz w:val="22"/>
        </w:rPr>
        <w:t> </w:t>
      </w:r>
      <w:r>
        <w:rPr>
          <w:sz w:val="22"/>
        </w:rPr>
        <w:t>Lind,</w:t>
      </w:r>
      <w:r>
        <w:rPr>
          <w:spacing w:val="-1"/>
          <w:sz w:val="22"/>
        </w:rPr>
        <w:t> </w:t>
      </w:r>
      <w:r>
        <w:rPr>
          <w:sz w:val="22"/>
        </w:rPr>
        <w:t>E.</w:t>
      </w:r>
      <w:r>
        <w:rPr>
          <w:spacing w:val="-1"/>
          <w:sz w:val="22"/>
        </w:rPr>
        <w:t> </w:t>
      </w:r>
      <w:r>
        <w:rPr>
          <w:sz w:val="22"/>
        </w:rPr>
        <w:t>M.,</w:t>
      </w:r>
      <w:r>
        <w:rPr>
          <w:spacing w:val="-4"/>
          <w:sz w:val="22"/>
        </w:rPr>
        <w:t> </w:t>
      </w:r>
      <w:r>
        <w:rPr>
          <w:sz w:val="22"/>
        </w:rPr>
        <w:t>Firn,</w:t>
      </w:r>
      <w:r>
        <w:rPr>
          <w:spacing w:val="-1"/>
          <w:sz w:val="22"/>
        </w:rPr>
        <w:t> </w:t>
      </w:r>
      <w:r>
        <w:rPr>
          <w:sz w:val="22"/>
        </w:rPr>
        <w:t>J.,</w:t>
      </w:r>
      <w:r>
        <w:rPr>
          <w:spacing w:val="-1"/>
          <w:sz w:val="22"/>
        </w:rPr>
        <w:t> </w:t>
      </w:r>
      <w:r>
        <w:rPr>
          <w:sz w:val="22"/>
        </w:rPr>
        <w:t>Adler,</w:t>
      </w:r>
      <w:r>
        <w:rPr>
          <w:spacing w:val="-4"/>
          <w:sz w:val="22"/>
        </w:rPr>
        <w:t> </w:t>
      </w:r>
      <w:r>
        <w:rPr>
          <w:sz w:val="22"/>
        </w:rPr>
        <w:t>P.</w:t>
      </w:r>
      <w:r>
        <w:rPr>
          <w:spacing w:val="-1"/>
          <w:sz w:val="22"/>
        </w:rPr>
        <w:t> </w:t>
      </w:r>
      <w:r>
        <w:rPr>
          <w:sz w:val="22"/>
        </w:rPr>
        <w:t>B.,</w:t>
      </w:r>
      <w:r>
        <w:rPr>
          <w:spacing w:val="-4"/>
          <w:sz w:val="22"/>
        </w:rPr>
        <w:t> </w:t>
      </w:r>
      <w:r>
        <w:rPr>
          <w:sz w:val="22"/>
        </w:rPr>
        <w:t>Borer,</w:t>
      </w:r>
      <w:r>
        <w:rPr>
          <w:spacing w:val="-1"/>
          <w:sz w:val="22"/>
        </w:rPr>
        <w:t> </w:t>
      </w:r>
      <w:r>
        <w:rPr>
          <w:sz w:val="22"/>
        </w:rPr>
        <w:t>E.</w:t>
      </w:r>
      <w:r>
        <w:rPr>
          <w:spacing w:val="-1"/>
          <w:sz w:val="22"/>
        </w:rPr>
        <w:t> </w:t>
      </w:r>
      <w:r>
        <w:rPr>
          <w:sz w:val="22"/>
        </w:rPr>
        <w:t>T.,</w:t>
      </w:r>
      <w:r>
        <w:rPr>
          <w:spacing w:val="-3"/>
          <w:sz w:val="22"/>
        </w:rPr>
        <w:t> </w:t>
      </w:r>
      <w:r>
        <w:rPr>
          <w:sz w:val="22"/>
        </w:rPr>
        <w:t>…</w:t>
      </w:r>
      <w:r>
        <w:rPr>
          <w:spacing w:val="-3"/>
          <w:sz w:val="22"/>
        </w:rPr>
        <w:t> </w:t>
      </w:r>
      <w:r>
        <w:rPr>
          <w:sz w:val="22"/>
        </w:rPr>
        <w:t>Wragg,</w:t>
      </w:r>
      <w:r>
        <w:rPr>
          <w:spacing w:val="-1"/>
          <w:sz w:val="22"/>
        </w:rPr>
        <w:t> </w:t>
      </w:r>
      <w:r>
        <w:rPr>
          <w:sz w:val="22"/>
        </w:rPr>
        <w:t>P.</w:t>
      </w:r>
      <w:r>
        <w:rPr>
          <w:spacing w:val="-1"/>
          <w:sz w:val="22"/>
        </w:rPr>
        <w:t> </w:t>
      </w:r>
      <w:r>
        <w:rPr>
          <w:sz w:val="22"/>
        </w:rPr>
        <w:t>D.</w:t>
      </w:r>
      <w:r>
        <w:rPr>
          <w:spacing w:val="-1"/>
          <w:sz w:val="22"/>
        </w:rPr>
        <w:t> </w:t>
      </w:r>
      <w:r>
        <w:rPr>
          <w:sz w:val="22"/>
        </w:rPr>
        <w:t>(2016).</w:t>
      </w:r>
      <w:r>
        <w:rPr>
          <w:spacing w:val="-1"/>
          <w:sz w:val="22"/>
        </w:rPr>
        <w:t> </w:t>
      </w:r>
      <w:r>
        <w:rPr>
          <w:sz w:val="22"/>
        </w:rPr>
        <w:t>Addition of multiple limiting resources reduces grassland diversity. </w:t>
      </w:r>
      <w:r>
        <w:rPr>
          <w:i/>
          <w:sz w:val="22"/>
        </w:rPr>
        <w:t>Nature</w:t>
      </w:r>
      <w:r>
        <w:rPr>
          <w:sz w:val="22"/>
        </w:rPr>
        <w:t>, </w:t>
      </w:r>
      <w:r>
        <w:rPr>
          <w:i/>
          <w:sz w:val="22"/>
        </w:rPr>
        <w:t>537</w:t>
      </w:r>
      <w:r>
        <w:rPr>
          <w:sz w:val="22"/>
        </w:rPr>
        <w:t>(7618), 93–96. </w:t>
      </w:r>
      <w:hyperlink r:id="rId52">
        <w:r>
          <w:rPr>
            <w:spacing w:val="-2"/>
            <w:sz w:val="22"/>
          </w:rPr>
          <w:t>https://doi.org/10.1038/nature19324</w:t>
        </w:r>
      </w:hyperlink>
    </w:p>
    <w:p>
      <w:pPr>
        <w:spacing w:before="162"/>
        <w:ind w:left="638" w:right="0" w:hanging="481"/>
        <w:jc w:val="left"/>
        <w:rPr>
          <w:sz w:val="22"/>
        </w:rPr>
      </w:pPr>
      <w:r>
        <w:rPr>
          <w:sz w:val="22"/>
        </w:rPr>
        <w:t>Homeier, J., Breckle, S. W., Günter, S., Rollenbeck, R. T., &amp; Leuschner, C. (2010). Tree diversity, forest structure</w:t>
      </w:r>
      <w:r>
        <w:rPr>
          <w:spacing w:val="-4"/>
          <w:sz w:val="22"/>
        </w:rPr>
        <w:t> </w:t>
      </w:r>
      <w:r>
        <w:rPr>
          <w:sz w:val="22"/>
        </w:rPr>
        <w:t>and</w:t>
      </w:r>
      <w:r>
        <w:rPr>
          <w:spacing w:val="-6"/>
          <w:sz w:val="22"/>
        </w:rPr>
        <w:t> </w:t>
      </w:r>
      <w:r>
        <w:rPr>
          <w:sz w:val="22"/>
        </w:rPr>
        <w:t>productivity</w:t>
      </w:r>
      <w:r>
        <w:rPr>
          <w:spacing w:val="-4"/>
          <w:sz w:val="22"/>
        </w:rPr>
        <w:t> </w:t>
      </w:r>
      <w:r>
        <w:rPr>
          <w:sz w:val="22"/>
        </w:rPr>
        <w:t>along</w:t>
      </w:r>
      <w:r>
        <w:rPr>
          <w:spacing w:val="-3"/>
          <w:sz w:val="22"/>
        </w:rPr>
        <w:t> </w:t>
      </w:r>
      <w:r>
        <w:rPr>
          <w:sz w:val="22"/>
        </w:rPr>
        <w:t>altitudinal</w:t>
      </w:r>
      <w:r>
        <w:rPr>
          <w:spacing w:val="-3"/>
          <w:sz w:val="22"/>
        </w:rPr>
        <w:t> </w:t>
      </w:r>
      <w:r>
        <w:rPr>
          <w:sz w:val="22"/>
        </w:rPr>
        <w:t>and</w:t>
      </w:r>
      <w:r>
        <w:rPr>
          <w:spacing w:val="-3"/>
          <w:sz w:val="22"/>
        </w:rPr>
        <w:t> </w:t>
      </w:r>
      <w:r>
        <w:rPr>
          <w:sz w:val="22"/>
        </w:rPr>
        <w:t>topographical</w:t>
      </w:r>
      <w:r>
        <w:rPr>
          <w:spacing w:val="-3"/>
          <w:sz w:val="22"/>
        </w:rPr>
        <w:t> </w:t>
      </w:r>
      <w:r>
        <w:rPr>
          <w:sz w:val="22"/>
        </w:rPr>
        <w:t>gradients</w:t>
      </w:r>
      <w:r>
        <w:rPr>
          <w:spacing w:val="-4"/>
          <w:sz w:val="22"/>
        </w:rPr>
        <w:t> </w:t>
      </w:r>
      <w:r>
        <w:rPr>
          <w:sz w:val="22"/>
        </w:rPr>
        <w:t>in</w:t>
      </w:r>
      <w:r>
        <w:rPr>
          <w:spacing w:val="-5"/>
          <w:sz w:val="22"/>
        </w:rPr>
        <w:t> </w:t>
      </w:r>
      <w:r>
        <w:rPr>
          <w:sz w:val="22"/>
        </w:rPr>
        <w:t>a</w:t>
      </w:r>
      <w:r>
        <w:rPr>
          <w:spacing w:val="-3"/>
          <w:sz w:val="22"/>
        </w:rPr>
        <w:t> </w:t>
      </w:r>
      <w:r>
        <w:rPr>
          <w:sz w:val="22"/>
        </w:rPr>
        <w:t>species-rich</w:t>
      </w:r>
      <w:r>
        <w:rPr>
          <w:spacing w:val="-4"/>
          <w:sz w:val="22"/>
        </w:rPr>
        <w:t> </w:t>
      </w:r>
      <w:r>
        <w:rPr>
          <w:sz w:val="22"/>
        </w:rPr>
        <w:t>Ecuadorian montane rain forest. </w:t>
      </w:r>
      <w:r>
        <w:rPr>
          <w:i/>
          <w:sz w:val="22"/>
        </w:rPr>
        <w:t>Biotropica</w:t>
      </w:r>
      <w:r>
        <w:rPr>
          <w:sz w:val="22"/>
        </w:rPr>
        <w:t>, </w:t>
      </w:r>
      <w:r>
        <w:rPr>
          <w:i/>
          <w:sz w:val="22"/>
        </w:rPr>
        <w:t>42</w:t>
      </w:r>
      <w:r>
        <w:rPr>
          <w:sz w:val="22"/>
        </w:rPr>
        <w:t>(2), 140–148. </w:t>
      </w:r>
      <w:hyperlink r:id="rId53">
        <w:r>
          <w:rPr>
            <w:sz w:val="22"/>
          </w:rPr>
          <w:t>https://doi.org/10.1111/j.1744-7429.2009.00547.x</w:t>
        </w:r>
      </w:hyperlink>
    </w:p>
    <w:p>
      <w:pPr>
        <w:spacing w:before="159"/>
        <w:ind w:left="638" w:right="211" w:hanging="481"/>
        <w:jc w:val="left"/>
        <w:rPr>
          <w:sz w:val="22"/>
        </w:rPr>
      </w:pPr>
      <w:r>
        <w:rPr>
          <w:sz w:val="22"/>
        </w:rPr>
        <w:t>Homeier,</w:t>
      </w:r>
      <w:r>
        <w:rPr>
          <w:spacing w:val="-2"/>
          <w:sz w:val="22"/>
        </w:rPr>
        <w:t> </w:t>
      </w:r>
      <w:r>
        <w:rPr>
          <w:sz w:val="22"/>
        </w:rPr>
        <w:t>J.,</w:t>
      </w:r>
      <w:r>
        <w:rPr>
          <w:spacing w:val="-2"/>
          <w:sz w:val="22"/>
        </w:rPr>
        <w:t> </w:t>
      </w:r>
      <w:r>
        <w:rPr>
          <w:sz w:val="22"/>
        </w:rPr>
        <w:t>Hertel,</w:t>
      </w:r>
      <w:r>
        <w:rPr>
          <w:spacing w:val="-2"/>
          <w:sz w:val="22"/>
        </w:rPr>
        <w:t> </w:t>
      </w:r>
      <w:r>
        <w:rPr>
          <w:sz w:val="22"/>
        </w:rPr>
        <w:t>D.,</w:t>
      </w:r>
      <w:r>
        <w:rPr>
          <w:spacing w:val="-2"/>
          <w:sz w:val="22"/>
        </w:rPr>
        <w:t> </w:t>
      </w:r>
      <w:r>
        <w:rPr>
          <w:sz w:val="22"/>
        </w:rPr>
        <w:t>Camenzind,</w:t>
      </w:r>
      <w:r>
        <w:rPr>
          <w:spacing w:val="-2"/>
          <w:sz w:val="22"/>
        </w:rPr>
        <w:t> </w:t>
      </w:r>
      <w:r>
        <w:rPr>
          <w:sz w:val="22"/>
        </w:rPr>
        <w:t>T.,</w:t>
      </w:r>
      <w:r>
        <w:rPr>
          <w:spacing w:val="-2"/>
          <w:sz w:val="22"/>
        </w:rPr>
        <w:t> </w:t>
      </w:r>
      <w:r>
        <w:rPr>
          <w:sz w:val="22"/>
        </w:rPr>
        <w:t>Cumbicus,</w:t>
      </w:r>
      <w:r>
        <w:rPr>
          <w:spacing w:val="-5"/>
          <w:sz w:val="22"/>
        </w:rPr>
        <w:t> </w:t>
      </w:r>
      <w:r>
        <w:rPr>
          <w:sz w:val="22"/>
        </w:rPr>
        <w:t>N.</w:t>
      </w:r>
      <w:r>
        <w:rPr>
          <w:spacing w:val="-2"/>
          <w:sz w:val="22"/>
        </w:rPr>
        <w:t> </w:t>
      </w:r>
      <w:r>
        <w:rPr>
          <w:sz w:val="22"/>
        </w:rPr>
        <w:t>L.,</w:t>
      </w:r>
      <w:r>
        <w:rPr>
          <w:spacing w:val="-2"/>
          <w:sz w:val="22"/>
        </w:rPr>
        <w:t> </w:t>
      </w:r>
      <w:r>
        <w:rPr>
          <w:sz w:val="22"/>
        </w:rPr>
        <w:t>Maraun,</w:t>
      </w:r>
      <w:r>
        <w:rPr>
          <w:spacing w:val="-2"/>
          <w:sz w:val="22"/>
        </w:rPr>
        <w:t> </w:t>
      </w:r>
      <w:r>
        <w:rPr>
          <w:sz w:val="22"/>
        </w:rPr>
        <w:t>M.,</w:t>
      </w:r>
      <w:r>
        <w:rPr>
          <w:spacing w:val="-2"/>
          <w:sz w:val="22"/>
        </w:rPr>
        <w:t> </w:t>
      </w:r>
      <w:r>
        <w:rPr>
          <w:sz w:val="22"/>
        </w:rPr>
        <w:t>Martinson,</w:t>
      </w:r>
      <w:r>
        <w:rPr>
          <w:spacing w:val="-2"/>
          <w:sz w:val="22"/>
        </w:rPr>
        <w:t> </w:t>
      </w:r>
      <w:r>
        <w:rPr>
          <w:sz w:val="22"/>
        </w:rPr>
        <w:t>G.</w:t>
      </w:r>
      <w:r>
        <w:rPr>
          <w:spacing w:val="-2"/>
          <w:sz w:val="22"/>
        </w:rPr>
        <w:t> </w:t>
      </w:r>
      <w:r>
        <w:rPr>
          <w:sz w:val="22"/>
        </w:rPr>
        <w:t>O., …</w:t>
      </w:r>
      <w:r>
        <w:rPr>
          <w:spacing w:val="-4"/>
          <w:sz w:val="22"/>
        </w:rPr>
        <w:t> </w:t>
      </w:r>
      <w:r>
        <w:rPr>
          <w:sz w:val="22"/>
        </w:rPr>
        <w:t>Leuschner,</w:t>
      </w:r>
      <w:r>
        <w:rPr>
          <w:spacing w:val="-5"/>
          <w:sz w:val="22"/>
        </w:rPr>
        <w:t> </w:t>
      </w:r>
      <w:r>
        <w:rPr>
          <w:sz w:val="22"/>
        </w:rPr>
        <w:t>C. (2012). Tropical Andean Forests Are Highly Susceptible to Nutrient Inputs-Rapid Effects of Experimental N and P Addition to an Ecuadorian Montane Forest. </w:t>
      </w:r>
      <w:r>
        <w:rPr>
          <w:i/>
          <w:sz w:val="22"/>
        </w:rPr>
        <w:t>PLoS ONE</w:t>
      </w:r>
      <w:r>
        <w:rPr>
          <w:sz w:val="22"/>
        </w:rPr>
        <w:t>, </w:t>
      </w:r>
      <w:r>
        <w:rPr>
          <w:i/>
          <w:sz w:val="22"/>
        </w:rPr>
        <w:t>7</w:t>
      </w:r>
      <w:r>
        <w:rPr>
          <w:sz w:val="22"/>
        </w:rPr>
        <w:t>(10). </w:t>
      </w:r>
      <w:hyperlink r:id="rId54">
        <w:r>
          <w:rPr>
            <w:spacing w:val="-2"/>
            <w:sz w:val="22"/>
          </w:rPr>
          <w:t>https://doi.org/10.1371/journal.pone.0047128</w:t>
        </w:r>
      </w:hyperlink>
    </w:p>
    <w:p>
      <w:pPr>
        <w:spacing w:before="160"/>
        <w:ind w:left="638" w:right="230" w:hanging="481"/>
        <w:jc w:val="left"/>
        <w:rPr>
          <w:sz w:val="22"/>
        </w:rPr>
      </w:pPr>
      <w:r>
        <w:rPr>
          <w:sz w:val="22"/>
        </w:rPr>
        <w:t>Homeier,</w:t>
      </w:r>
      <w:r>
        <w:rPr>
          <w:spacing w:val="-2"/>
          <w:sz w:val="22"/>
        </w:rPr>
        <w:t> </w:t>
      </w:r>
      <w:r>
        <w:rPr>
          <w:sz w:val="22"/>
        </w:rPr>
        <w:t>J.,</w:t>
      </w:r>
      <w:r>
        <w:rPr>
          <w:spacing w:val="-2"/>
          <w:sz w:val="22"/>
        </w:rPr>
        <w:t> </w:t>
      </w:r>
      <w:r>
        <w:rPr>
          <w:sz w:val="22"/>
        </w:rPr>
        <w:t>&amp;</w:t>
      </w:r>
      <w:r>
        <w:rPr>
          <w:spacing w:val="-4"/>
          <w:sz w:val="22"/>
        </w:rPr>
        <w:t> </w:t>
      </w:r>
      <w:r>
        <w:rPr>
          <w:sz w:val="22"/>
        </w:rPr>
        <w:t>Leuschner,</w:t>
      </w:r>
      <w:r>
        <w:rPr>
          <w:spacing w:val="-5"/>
          <w:sz w:val="22"/>
        </w:rPr>
        <w:t> </w:t>
      </w:r>
      <w:r>
        <w:rPr>
          <w:sz w:val="22"/>
        </w:rPr>
        <w:t>C.</w:t>
      </w:r>
      <w:r>
        <w:rPr>
          <w:spacing w:val="-2"/>
          <w:sz w:val="22"/>
        </w:rPr>
        <w:t> </w:t>
      </w:r>
      <w:r>
        <w:rPr>
          <w:sz w:val="22"/>
        </w:rPr>
        <w:t>(2021).</w:t>
      </w:r>
      <w:r>
        <w:rPr>
          <w:spacing w:val="-2"/>
          <w:sz w:val="22"/>
        </w:rPr>
        <w:t> </w:t>
      </w:r>
      <w:r>
        <w:rPr>
          <w:sz w:val="22"/>
        </w:rPr>
        <w:t>Factors</w:t>
      </w:r>
      <w:r>
        <w:rPr>
          <w:spacing w:val="-4"/>
          <w:sz w:val="22"/>
        </w:rPr>
        <w:t> </w:t>
      </w:r>
      <w:r>
        <w:rPr>
          <w:sz w:val="22"/>
        </w:rPr>
        <w:t>controlling</w:t>
      </w:r>
      <w:r>
        <w:rPr>
          <w:spacing w:val="-5"/>
          <w:sz w:val="22"/>
        </w:rPr>
        <w:t> </w:t>
      </w:r>
      <w:r>
        <w:rPr>
          <w:sz w:val="22"/>
        </w:rPr>
        <w:t>the</w:t>
      </w:r>
      <w:r>
        <w:rPr>
          <w:spacing w:val="-6"/>
          <w:sz w:val="22"/>
        </w:rPr>
        <w:t> </w:t>
      </w:r>
      <w:r>
        <w:rPr>
          <w:sz w:val="22"/>
        </w:rPr>
        <w:t>productivity</w:t>
      </w:r>
      <w:r>
        <w:rPr>
          <w:spacing w:val="-4"/>
          <w:sz w:val="22"/>
        </w:rPr>
        <w:t> </w:t>
      </w:r>
      <w:r>
        <w:rPr>
          <w:sz w:val="22"/>
        </w:rPr>
        <w:t>of</w:t>
      </w:r>
      <w:r>
        <w:rPr>
          <w:spacing w:val="-4"/>
          <w:sz w:val="22"/>
        </w:rPr>
        <w:t> </w:t>
      </w:r>
      <w:r>
        <w:rPr>
          <w:sz w:val="22"/>
        </w:rPr>
        <w:t>tropical</w:t>
      </w:r>
      <w:r>
        <w:rPr>
          <w:spacing w:val="-3"/>
          <w:sz w:val="22"/>
        </w:rPr>
        <w:t> </w:t>
      </w:r>
      <w:r>
        <w:rPr>
          <w:sz w:val="22"/>
        </w:rPr>
        <w:t>Andean</w:t>
      </w:r>
      <w:r>
        <w:rPr>
          <w:spacing w:val="-2"/>
          <w:sz w:val="22"/>
        </w:rPr>
        <w:t> </w:t>
      </w:r>
      <w:r>
        <w:rPr>
          <w:sz w:val="22"/>
        </w:rPr>
        <w:t>forests:</w:t>
      </w:r>
      <w:r>
        <w:rPr>
          <w:spacing w:val="-2"/>
          <w:sz w:val="22"/>
        </w:rPr>
        <w:t> </w:t>
      </w:r>
      <w:r>
        <w:rPr>
          <w:sz w:val="22"/>
        </w:rPr>
        <w:t>climate and soil are more important than tree diversity. </w:t>
      </w:r>
      <w:r>
        <w:rPr>
          <w:i/>
          <w:sz w:val="22"/>
        </w:rPr>
        <w:t>Biogeosciences</w:t>
      </w:r>
      <w:r>
        <w:rPr>
          <w:sz w:val="22"/>
        </w:rPr>
        <w:t>, </w:t>
      </w:r>
      <w:r>
        <w:rPr>
          <w:i/>
          <w:sz w:val="22"/>
        </w:rPr>
        <w:t>18</w:t>
      </w:r>
      <w:r>
        <w:rPr>
          <w:sz w:val="22"/>
        </w:rPr>
        <w:t>(4), 1525–1541. </w:t>
      </w:r>
      <w:hyperlink r:id="rId55">
        <w:r>
          <w:rPr>
            <w:spacing w:val="-2"/>
            <w:sz w:val="22"/>
          </w:rPr>
          <w:t>https://doi.org/10.5194/bg-18-1525-2021</w:t>
        </w:r>
      </w:hyperlink>
    </w:p>
    <w:p>
      <w:pPr>
        <w:spacing w:line="240" w:lineRule="auto" w:before="161"/>
        <w:ind w:left="638" w:right="0" w:hanging="481"/>
        <w:jc w:val="left"/>
        <w:rPr>
          <w:sz w:val="22"/>
        </w:rPr>
      </w:pPr>
      <w:r>
        <w:rPr>
          <w:sz w:val="22"/>
        </w:rPr>
        <w:t>Homeier, J., Leuschner, C., Bräuning, A., Cumbicus, N. L., Hertel, D., Martinson, G. O., … Veldkamp, E. (2013).</w:t>
      </w:r>
      <w:r>
        <w:rPr>
          <w:spacing w:val="-2"/>
          <w:sz w:val="22"/>
        </w:rPr>
        <w:t> </w:t>
      </w:r>
      <w:r>
        <w:rPr>
          <w:sz w:val="22"/>
        </w:rPr>
        <w:t>Effects</w:t>
      </w:r>
      <w:r>
        <w:rPr>
          <w:spacing w:val="-4"/>
          <w:sz w:val="22"/>
        </w:rPr>
        <w:t> </w:t>
      </w:r>
      <w:r>
        <w:rPr>
          <w:sz w:val="22"/>
        </w:rPr>
        <w:t>of</w:t>
      </w:r>
      <w:r>
        <w:rPr>
          <w:spacing w:val="-2"/>
          <w:sz w:val="22"/>
        </w:rPr>
        <w:t> </w:t>
      </w:r>
      <w:r>
        <w:rPr>
          <w:sz w:val="22"/>
        </w:rPr>
        <w:t>Nutrient</w:t>
      </w:r>
      <w:r>
        <w:rPr>
          <w:spacing w:val="-4"/>
          <w:sz w:val="22"/>
        </w:rPr>
        <w:t> </w:t>
      </w:r>
      <w:r>
        <w:rPr>
          <w:sz w:val="22"/>
        </w:rPr>
        <w:t>Addition</w:t>
      </w:r>
      <w:r>
        <w:rPr>
          <w:spacing w:val="-2"/>
          <w:sz w:val="22"/>
        </w:rPr>
        <w:t> </w:t>
      </w:r>
      <w:r>
        <w:rPr>
          <w:sz w:val="22"/>
        </w:rPr>
        <w:t>on</w:t>
      </w:r>
      <w:r>
        <w:rPr>
          <w:spacing w:val="-5"/>
          <w:sz w:val="22"/>
        </w:rPr>
        <w:t> </w:t>
      </w:r>
      <w:r>
        <w:rPr>
          <w:sz w:val="22"/>
        </w:rPr>
        <w:t>the</w:t>
      </w:r>
      <w:r>
        <w:rPr>
          <w:spacing w:val="-3"/>
          <w:sz w:val="22"/>
        </w:rPr>
        <w:t> </w:t>
      </w:r>
      <w:r>
        <w:rPr>
          <w:sz w:val="22"/>
        </w:rPr>
        <w:t>Productivity</w:t>
      </w:r>
      <w:r>
        <w:rPr>
          <w:spacing w:val="-4"/>
          <w:sz w:val="22"/>
        </w:rPr>
        <w:t> </w:t>
      </w:r>
      <w:r>
        <w:rPr>
          <w:sz w:val="22"/>
        </w:rPr>
        <w:t>of</w:t>
      </w:r>
      <w:r>
        <w:rPr>
          <w:spacing w:val="-2"/>
          <w:sz w:val="22"/>
        </w:rPr>
        <w:t> </w:t>
      </w:r>
      <w:r>
        <w:rPr>
          <w:sz w:val="22"/>
        </w:rPr>
        <w:t>Montane</w:t>
      </w:r>
      <w:r>
        <w:rPr>
          <w:spacing w:val="-3"/>
          <w:sz w:val="22"/>
        </w:rPr>
        <w:t> </w:t>
      </w:r>
      <w:r>
        <w:rPr>
          <w:sz w:val="22"/>
        </w:rPr>
        <w:t>Forests</w:t>
      </w:r>
      <w:r>
        <w:rPr>
          <w:spacing w:val="-4"/>
          <w:sz w:val="22"/>
        </w:rPr>
        <w:t> </w:t>
      </w:r>
      <w:r>
        <w:rPr>
          <w:sz w:val="22"/>
        </w:rPr>
        <w:t>and</w:t>
      </w:r>
      <w:r>
        <w:rPr>
          <w:spacing w:val="-3"/>
          <w:sz w:val="22"/>
        </w:rPr>
        <w:t> </w:t>
      </w:r>
      <w:r>
        <w:rPr>
          <w:sz w:val="22"/>
        </w:rPr>
        <w:t>Implications</w:t>
      </w:r>
      <w:r>
        <w:rPr>
          <w:spacing w:val="-4"/>
          <w:sz w:val="22"/>
        </w:rPr>
        <w:t> </w:t>
      </w:r>
      <w:r>
        <w:rPr>
          <w:sz w:val="22"/>
        </w:rPr>
        <w:t>for</w:t>
      </w:r>
      <w:r>
        <w:rPr>
          <w:spacing w:val="-6"/>
          <w:sz w:val="22"/>
        </w:rPr>
        <w:t> </w:t>
      </w:r>
      <w:r>
        <w:rPr>
          <w:sz w:val="22"/>
        </w:rPr>
        <w:t>the Carbon Cycle. In </w:t>
      </w:r>
      <w:r>
        <w:rPr>
          <w:i/>
          <w:sz w:val="22"/>
        </w:rPr>
        <w:t>Ecosystem Services, Biodiversity and Enviromental Change in a Tropical Mountain Ecosystem of South Ecuador </w:t>
      </w:r>
      <w:r>
        <w:rPr>
          <w:sz w:val="22"/>
        </w:rPr>
        <w:t>(pp. 315–329). </w:t>
      </w:r>
      <w:hyperlink r:id="rId28">
        <w:r>
          <w:rPr>
            <w:sz w:val="22"/>
          </w:rPr>
          <w:t>https://doi.org/10.1007/978-3-642-38137-9_23</w:t>
        </w:r>
      </w:hyperlink>
    </w:p>
    <w:p>
      <w:pPr>
        <w:spacing w:before="160"/>
        <w:ind w:left="638" w:right="211" w:hanging="481"/>
        <w:jc w:val="left"/>
        <w:rPr>
          <w:sz w:val="22"/>
        </w:rPr>
      </w:pPr>
      <w:r>
        <w:rPr>
          <w:sz w:val="22"/>
        </w:rPr>
        <w:t>Homeier,</w:t>
      </w:r>
      <w:r>
        <w:rPr>
          <w:spacing w:val="-2"/>
          <w:sz w:val="22"/>
        </w:rPr>
        <w:t> </w:t>
      </w:r>
      <w:r>
        <w:rPr>
          <w:sz w:val="22"/>
        </w:rPr>
        <w:t>J.,</w:t>
      </w:r>
      <w:r>
        <w:rPr>
          <w:spacing w:val="-2"/>
          <w:sz w:val="22"/>
        </w:rPr>
        <w:t> </w:t>
      </w:r>
      <w:r>
        <w:rPr>
          <w:sz w:val="22"/>
        </w:rPr>
        <w:t>Seeler,</w:t>
      </w:r>
      <w:r>
        <w:rPr>
          <w:spacing w:val="-2"/>
          <w:sz w:val="22"/>
        </w:rPr>
        <w:t> </w:t>
      </w:r>
      <w:r>
        <w:rPr>
          <w:sz w:val="22"/>
        </w:rPr>
        <w:t>T.,</w:t>
      </w:r>
      <w:r>
        <w:rPr>
          <w:spacing w:val="-2"/>
          <w:sz w:val="22"/>
        </w:rPr>
        <w:t> </w:t>
      </w:r>
      <w:r>
        <w:rPr>
          <w:sz w:val="22"/>
        </w:rPr>
        <w:t>Pierick,</w:t>
      </w:r>
      <w:r>
        <w:rPr>
          <w:spacing w:val="-2"/>
          <w:sz w:val="22"/>
        </w:rPr>
        <w:t> </w:t>
      </w:r>
      <w:r>
        <w:rPr>
          <w:sz w:val="22"/>
        </w:rPr>
        <w:t>K.,</w:t>
      </w:r>
      <w:r>
        <w:rPr>
          <w:spacing w:val="-2"/>
          <w:sz w:val="22"/>
        </w:rPr>
        <w:t> </w:t>
      </w:r>
      <w:r>
        <w:rPr>
          <w:sz w:val="22"/>
        </w:rPr>
        <w:t>&amp;</w:t>
      </w:r>
      <w:r>
        <w:rPr>
          <w:spacing w:val="-3"/>
          <w:sz w:val="22"/>
        </w:rPr>
        <w:t> </w:t>
      </w:r>
      <w:r>
        <w:rPr>
          <w:sz w:val="22"/>
        </w:rPr>
        <w:t>Leuschner,</w:t>
      </w:r>
      <w:r>
        <w:rPr>
          <w:spacing w:val="-4"/>
          <w:sz w:val="22"/>
        </w:rPr>
        <w:t> </w:t>
      </w:r>
      <w:r>
        <w:rPr>
          <w:sz w:val="22"/>
        </w:rPr>
        <w:t>C.</w:t>
      </w:r>
      <w:r>
        <w:rPr>
          <w:spacing w:val="-4"/>
          <w:sz w:val="22"/>
        </w:rPr>
        <w:t> </w:t>
      </w:r>
      <w:r>
        <w:rPr>
          <w:sz w:val="22"/>
        </w:rPr>
        <w:t>(2021).</w:t>
      </w:r>
      <w:r>
        <w:rPr>
          <w:spacing w:val="-2"/>
          <w:sz w:val="22"/>
        </w:rPr>
        <w:t> </w:t>
      </w:r>
      <w:r>
        <w:rPr>
          <w:sz w:val="22"/>
        </w:rPr>
        <w:t>Leaf</w:t>
      </w:r>
      <w:r>
        <w:rPr>
          <w:spacing w:val="-2"/>
          <w:sz w:val="22"/>
        </w:rPr>
        <w:t> </w:t>
      </w:r>
      <w:r>
        <w:rPr>
          <w:sz w:val="22"/>
        </w:rPr>
        <w:t>trait</w:t>
      </w:r>
      <w:r>
        <w:rPr>
          <w:spacing w:val="-2"/>
          <w:sz w:val="22"/>
        </w:rPr>
        <w:t> </w:t>
      </w:r>
      <w:r>
        <w:rPr>
          <w:sz w:val="22"/>
        </w:rPr>
        <w:t>variation</w:t>
      </w:r>
      <w:r>
        <w:rPr>
          <w:spacing w:val="-3"/>
          <w:sz w:val="22"/>
        </w:rPr>
        <w:t> </w:t>
      </w:r>
      <w:r>
        <w:rPr>
          <w:sz w:val="22"/>
        </w:rPr>
        <w:t>in</w:t>
      </w:r>
      <w:r>
        <w:rPr>
          <w:spacing w:val="-2"/>
          <w:sz w:val="22"/>
        </w:rPr>
        <w:t> </w:t>
      </w:r>
      <w:r>
        <w:rPr>
          <w:sz w:val="22"/>
        </w:rPr>
        <w:t>species-rich</w:t>
      </w:r>
      <w:r>
        <w:rPr>
          <w:spacing w:val="-3"/>
          <w:sz w:val="22"/>
        </w:rPr>
        <w:t> </w:t>
      </w:r>
      <w:r>
        <w:rPr>
          <w:sz w:val="22"/>
        </w:rPr>
        <w:t>tropical Andean forests. </w:t>
      </w:r>
      <w:r>
        <w:rPr>
          <w:i/>
          <w:sz w:val="22"/>
        </w:rPr>
        <w:t>Scientific Reports</w:t>
      </w:r>
      <w:r>
        <w:rPr>
          <w:sz w:val="22"/>
        </w:rPr>
        <w:t>, </w:t>
      </w:r>
      <w:r>
        <w:rPr>
          <w:i/>
          <w:sz w:val="22"/>
        </w:rPr>
        <w:t>11</w:t>
      </w:r>
      <w:r>
        <w:rPr>
          <w:sz w:val="22"/>
        </w:rPr>
        <w:t>(1), 9993. </w:t>
      </w:r>
      <w:hyperlink r:id="rId56">
        <w:r>
          <w:rPr>
            <w:sz w:val="22"/>
          </w:rPr>
          <w:t>https://doi.org/10.1038/s41598-021-89190-8</w:t>
        </w:r>
      </w:hyperlink>
    </w:p>
    <w:p>
      <w:pPr>
        <w:spacing w:after="0"/>
        <w:jc w:val="left"/>
        <w:rPr>
          <w:sz w:val="22"/>
        </w:rPr>
        <w:sectPr>
          <w:pgSz w:w="12240" w:h="15840"/>
          <w:pgMar w:header="0" w:footer="1012" w:top="1220" w:bottom="1200" w:left="850" w:right="850"/>
        </w:sectPr>
      </w:pPr>
    </w:p>
    <w:p>
      <w:pPr>
        <w:spacing w:before="37"/>
        <w:ind w:left="638" w:right="197" w:hanging="481"/>
        <w:jc w:val="left"/>
        <w:rPr>
          <w:sz w:val="22"/>
        </w:rPr>
      </w:pPr>
      <w:r>
        <w:rPr>
          <w:sz w:val="22"/>
        </w:rPr>
        <w:t>Homeier,</w:t>
      </w:r>
      <w:r>
        <w:rPr>
          <w:spacing w:val="-1"/>
          <w:sz w:val="22"/>
        </w:rPr>
        <w:t> </w:t>
      </w:r>
      <w:r>
        <w:rPr>
          <w:sz w:val="22"/>
        </w:rPr>
        <w:t>J.,</w:t>
      </w:r>
      <w:r>
        <w:rPr>
          <w:spacing w:val="-1"/>
          <w:sz w:val="22"/>
        </w:rPr>
        <w:t> </w:t>
      </w:r>
      <w:r>
        <w:rPr>
          <w:sz w:val="22"/>
        </w:rPr>
        <w:t>Werner,</w:t>
      </w:r>
      <w:r>
        <w:rPr>
          <w:spacing w:val="-4"/>
          <w:sz w:val="22"/>
        </w:rPr>
        <w:t> </w:t>
      </w:r>
      <w:r>
        <w:rPr>
          <w:sz w:val="22"/>
        </w:rPr>
        <w:t>F.</w:t>
      </w:r>
      <w:r>
        <w:rPr>
          <w:spacing w:val="-1"/>
          <w:sz w:val="22"/>
        </w:rPr>
        <w:t> </w:t>
      </w:r>
      <w:r>
        <w:rPr>
          <w:sz w:val="22"/>
        </w:rPr>
        <w:t>A.,</w:t>
      </w:r>
      <w:r>
        <w:rPr>
          <w:spacing w:val="-4"/>
          <w:sz w:val="22"/>
        </w:rPr>
        <w:t> </w:t>
      </w:r>
      <w:r>
        <w:rPr>
          <w:sz w:val="22"/>
        </w:rPr>
        <w:t>Gawlik,</w:t>
      </w:r>
      <w:r>
        <w:rPr>
          <w:spacing w:val="-1"/>
          <w:sz w:val="22"/>
        </w:rPr>
        <w:t> </w:t>
      </w:r>
      <w:r>
        <w:rPr>
          <w:sz w:val="22"/>
        </w:rPr>
        <w:t>J.,</w:t>
      </w:r>
      <w:r>
        <w:rPr>
          <w:spacing w:val="-4"/>
          <w:sz w:val="22"/>
        </w:rPr>
        <w:t> </w:t>
      </w:r>
      <w:r>
        <w:rPr>
          <w:sz w:val="22"/>
        </w:rPr>
        <w:t>Peters,</w:t>
      </w:r>
      <w:r>
        <w:rPr>
          <w:spacing w:val="-1"/>
          <w:sz w:val="22"/>
        </w:rPr>
        <w:t> </w:t>
      </w:r>
      <w:r>
        <w:rPr>
          <w:sz w:val="22"/>
        </w:rPr>
        <w:t>T.,</w:t>
      </w:r>
      <w:r>
        <w:rPr>
          <w:spacing w:val="-1"/>
          <w:sz w:val="22"/>
        </w:rPr>
        <w:t> </w:t>
      </w:r>
      <w:r>
        <w:rPr>
          <w:sz w:val="22"/>
        </w:rPr>
        <w:t>Diertl,</w:t>
      </w:r>
      <w:r>
        <w:rPr>
          <w:spacing w:val="-4"/>
          <w:sz w:val="22"/>
        </w:rPr>
        <w:t> </w:t>
      </w:r>
      <w:r>
        <w:rPr>
          <w:sz w:val="22"/>
        </w:rPr>
        <w:t>K.-H.</w:t>
      </w:r>
      <w:r>
        <w:rPr>
          <w:spacing w:val="-1"/>
          <w:sz w:val="22"/>
        </w:rPr>
        <w:t> </w:t>
      </w:r>
      <w:r>
        <w:rPr>
          <w:sz w:val="22"/>
        </w:rPr>
        <w:t>J.,</w:t>
      </w:r>
      <w:r>
        <w:rPr>
          <w:spacing w:val="-1"/>
          <w:sz w:val="22"/>
        </w:rPr>
        <w:t> </w:t>
      </w:r>
      <w:r>
        <w:rPr>
          <w:sz w:val="22"/>
        </w:rPr>
        <w:t>&amp;</w:t>
      </w:r>
      <w:r>
        <w:rPr>
          <w:spacing w:val="-3"/>
          <w:sz w:val="22"/>
        </w:rPr>
        <w:t> </w:t>
      </w:r>
      <w:r>
        <w:rPr>
          <w:sz w:val="22"/>
        </w:rPr>
        <w:t>Richter,</w:t>
      </w:r>
      <w:r>
        <w:rPr>
          <w:spacing w:val="-1"/>
          <w:sz w:val="22"/>
        </w:rPr>
        <w:t> </w:t>
      </w:r>
      <w:r>
        <w:rPr>
          <w:sz w:val="22"/>
        </w:rPr>
        <w:t>M.</w:t>
      </w:r>
      <w:r>
        <w:rPr>
          <w:spacing w:val="-1"/>
          <w:sz w:val="22"/>
        </w:rPr>
        <w:t> </w:t>
      </w:r>
      <w:r>
        <w:rPr>
          <w:sz w:val="22"/>
        </w:rPr>
        <w:t>(2013).</w:t>
      </w:r>
      <w:r>
        <w:rPr>
          <w:spacing w:val="-4"/>
          <w:sz w:val="22"/>
        </w:rPr>
        <w:t> </w:t>
      </w:r>
      <w:r>
        <w:rPr>
          <w:sz w:val="22"/>
        </w:rPr>
        <w:t>Plant</w:t>
      </w:r>
      <w:r>
        <w:rPr>
          <w:spacing w:val="-4"/>
          <w:sz w:val="22"/>
        </w:rPr>
        <w:t> </w:t>
      </w:r>
      <w:r>
        <w:rPr>
          <w:sz w:val="22"/>
        </w:rPr>
        <w:t>Diversity</w:t>
      </w:r>
      <w:r>
        <w:rPr>
          <w:spacing w:val="-3"/>
          <w:sz w:val="22"/>
        </w:rPr>
        <w:t> </w:t>
      </w:r>
      <w:r>
        <w:rPr>
          <w:sz w:val="22"/>
        </w:rPr>
        <w:t>and</w:t>
      </w:r>
      <w:r>
        <w:rPr>
          <w:spacing w:val="-2"/>
          <w:sz w:val="22"/>
        </w:rPr>
        <w:t> </w:t>
      </w:r>
      <w:r>
        <w:rPr>
          <w:sz w:val="22"/>
        </w:rPr>
        <w:t>Its Relevance for the Provision of Ecosystem Services. In </w:t>
      </w:r>
      <w:r>
        <w:rPr>
          <w:i/>
          <w:sz w:val="22"/>
        </w:rPr>
        <w:t>Ecological Studies </w:t>
      </w:r>
      <w:r>
        <w:rPr>
          <w:sz w:val="22"/>
        </w:rPr>
        <w:t>(Vol. 221, pp. 93–106). </w:t>
      </w:r>
      <w:hyperlink r:id="rId57">
        <w:r>
          <w:rPr>
            <w:spacing w:val="-2"/>
            <w:sz w:val="22"/>
          </w:rPr>
          <w:t>https://doi.org/10.1007/978-3-642-38137-9_8</w:t>
        </w:r>
      </w:hyperlink>
    </w:p>
    <w:p>
      <w:pPr>
        <w:spacing w:before="159"/>
        <w:ind w:left="638" w:right="353" w:hanging="481"/>
        <w:jc w:val="left"/>
        <w:rPr>
          <w:sz w:val="22"/>
        </w:rPr>
      </w:pPr>
      <w:r>
        <w:rPr>
          <w:sz w:val="22"/>
        </w:rPr>
        <w:t>Homeier,</w:t>
      </w:r>
      <w:r>
        <w:rPr>
          <w:spacing w:val="-2"/>
          <w:sz w:val="22"/>
        </w:rPr>
        <w:t> </w:t>
      </w:r>
      <w:r>
        <w:rPr>
          <w:sz w:val="22"/>
        </w:rPr>
        <w:t>J.,</w:t>
      </w:r>
      <w:r>
        <w:rPr>
          <w:spacing w:val="-2"/>
          <w:sz w:val="22"/>
        </w:rPr>
        <w:t> </w:t>
      </w:r>
      <w:r>
        <w:rPr>
          <w:sz w:val="22"/>
        </w:rPr>
        <w:t>Werner,</w:t>
      </w:r>
      <w:r>
        <w:rPr>
          <w:spacing w:val="-4"/>
          <w:sz w:val="22"/>
        </w:rPr>
        <w:t> </w:t>
      </w:r>
      <w:r>
        <w:rPr>
          <w:sz w:val="22"/>
        </w:rPr>
        <w:t>F.</w:t>
      </w:r>
      <w:r>
        <w:rPr>
          <w:spacing w:val="-2"/>
          <w:sz w:val="22"/>
        </w:rPr>
        <w:t> </w:t>
      </w:r>
      <w:r>
        <w:rPr>
          <w:sz w:val="22"/>
        </w:rPr>
        <w:t>A.,</w:t>
      </w:r>
      <w:r>
        <w:rPr>
          <w:spacing w:val="-4"/>
          <w:sz w:val="22"/>
        </w:rPr>
        <w:t> </w:t>
      </w:r>
      <w:r>
        <w:rPr>
          <w:sz w:val="22"/>
        </w:rPr>
        <w:t>Gradstein,</w:t>
      </w:r>
      <w:r>
        <w:rPr>
          <w:spacing w:val="-2"/>
          <w:sz w:val="22"/>
        </w:rPr>
        <w:t> </w:t>
      </w:r>
      <w:r>
        <w:rPr>
          <w:sz w:val="22"/>
        </w:rPr>
        <w:t>S.</w:t>
      </w:r>
      <w:r>
        <w:rPr>
          <w:spacing w:val="-2"/>
          <w:sz w:val="22"/>
        </w:rPr>
        <w:t> </w:t>
      </w:r>
      <w:r>
        <w:rPr>
          <w:sz w:val="22"/>
        </w:rPr>
        <w:t>R.,</w:t>
      </w:r>
      <w:r>
        <w:rPr>
          <w:spacing w:val="-2"/>
          <w:sz w:val="22"/>
        </w:rPr>
        <w:t> </w:t>
      </w:r>
      <w:r>
        <w:rPr>
          <w:sz w:val="22"/>
        </w:rPr>
        <w:t>Breckle,</w:t>
      </w:r>
      <w:r>
        <w:rPr>
          <w:spacing w:val="-2"/>
          <w:sz w:val="22"/>
        </w:rPr>
        <w:t> </w:t>
      </w:r>
      <w:r>
        <w:rPr>
          <w:sz w:val="22"/>
        </w:rPr>
        <w:t>S.</w:t>
      </w:r>
      <w:r>
        <w:rPr>
          <w:spacing w:val="-4"/>
          <w:sz w:val="22"/>
        </w:rPr>
        <w:t> </w:t>
      </w:r>
      <w:r>
        <w:rPr>
          <w:sz w:val="22"/>
        </w:rPr>
        <w:t>W.,</w:t>
      </w:r>
      <w:r>
        <w:rPr>
          <w:spacing w:val="-2"/>
          <w:sz w:val="22"/>
        </w:rPr>
        <w:t> </w:t>
      </w:r>
      <w:r>
        <w:rPr>
          <w:sz w:val="22"/>
        </w:rPr>
        <w:t>&amp;</w:t>
      </w:r>
      <w:r>
        <w:rPr>
          <w:spacing w:val="-4"/>
          <w:sz w:val="22"/>
        </w:rPr>
        <w:t> </w:t>
      </w:r>
      <w:r>
        <w:rPr>
          <w:sz w:val="22"/>
        </w:rPr>
        <w:t>Richter,</w:t>
      </w:r>
      <w:r>
        <w:rPr>
          <w:spacing w:val="-2"/>
          <w:sz w:val="22"/>
        </w:rPr>
        <w:t> </w:t>
      </w:r>
      <w:r>
        <w:rPr>
          <w:sz w:val="22"/>
        </w:rPr>
        <w:t>M.</w:t>
      </w:r>
      <w:r>
        <w:rPr>
          <w:spacing w:val="-4"/>
          <w:sz w:val="22"/>
        </w:rPr>
        <w:t> </w:t>
      </w:r>
      <w:r>
        <w:rPr>
          <w:sz w:val="22"/>
        </w:rPr>
        <w:t>(2008).</w:t>
      </w:r>
      <w:r>
        <w:rPr>
          <w:spacing w:val="-4"/>
          <w:sz w:val="22"/>
        </w:rPr>
        <w:t> </w:t>
      </w:r>
      <w:r>
        <w:rPr>
          <w:sz w:val="22"/>
        </w:rPr>
        <w:t>Potential</w:t>
      </w:r>
      <w:r>
        <w:rPr>
          <w:spacing w:val="-3"/>
          <w:sz w:val="22"/>
        </w:rPr>
        <w:t> </w:t>
      </w:r>
      <w:r>
        <w:rPr>
          <w:sz w:val="22"/>
        </w:rPr>
        <w:t>vegetation</w:t>
      </w:r>
      <w:r>
        <w:rPr>
          <w:spacing w:val="-4"/>
          <w:sz w:val="22"/>
        </w:rPr>
        <w:t> </w:t>
      </w:r>
      <w:r>
        <w:rPr>
          <w:sz w:val="22"/>
        </w:rPr>
        <w:t>and floristic composition of Andean forests in South Ecuador, with a focus on the RBSF. </w:t>
      </w:r>
      <w:r>
        <w:rPr>
          <w:i/>
          <w:sz w:val="22"/>
        </w:rPr>
        <w:t>Ecological Studies</w:t>
      </w:r>
      <w:r>
        <w:rPr>
          <w:sz w:val="22"/>
        </w:rPr>
        <w:t>, </w:t>
      </w:r>
      <w:r>
        <w:rPr>
          <w:i/>
          <w:sz w:val="22"/>
        </w:rPr>
        <w:t>198</w:t>
      </w:r>
      <w:r>
        <w:rPr>
          <w:sz w:val="22"/>
        </w:rPr>
        <w:t>, 87.</w:t>
      </w:r>
    </w:p>
    <w:p>
      <w:pPr>
        <w:spacing w:before="159"/>
        <w:ind w:left="638" w:right="0" w:hanging="481"/>
        <w:jc w:val="left"/>
        <w:rPr>
          <w:sz w:val="22"/>
        </w:rPr>
      </w:pPr>
      <w:r>
        <w:rPr>
          <w:sz w:val="22"/>
        </w:rPr>
        <w:t>Huston,</w:t>
      </w:r>
      <w:r>
        <w:rPr>
          <w:spacing w:val="-2"/>
          <w:sz w:val="22"/>
        </w:rPr>
        <w:t> </w:t>
      </w:r>
      <w:r>
        <w:rPr>
          <w:sz w:val="22"/>
        </w:rPr>
        <w:t>M.</w:t>
      </w:r>
      <w:r>
        <w:rPr>
          <w:spacing w:val="-2"/>
          <w:sz w:val="22"/>
        </w:rPr>
        <w:t> </w:t>
      </w:r>
      <w:r>
        <w:rPr>
          <w:sz w:val="22"/>
        </w:rPr>
        <w:t>A.,</w:t>
      </w:r>
      <w:r>
        <w:rPr>
          <w:spacing w:val="-2"/>
          <w:sz w:val="22"/>
        </w:rPr>
        <w:t> </w:t>
      </w:r>
      <w:r>
        <w:rPr>
          <w:sz w:val="22"/>
        </w:rPr>
        <w:t>&amp;</w:t>
      </w:r>
      <w:r>
        <w:rPr>
          <w:spacing w:val="-6"/>
          <w:sz w:val="22"/>
        </w:rPr>
        <w:t> </w:t>
      </w:r>
      <w:r>
        <w:rPr>
          <w:sz w:val="22"/>
        </w:rPr>
        <w:t>Huston,</w:t>
      </w:r>
      <w:r>
        <w:rPr>
          <w:spacing w:val="-4"/>
          <w:sz w:val="22"/>
        </w:rPr>
        <w:t> </w:t>
      </w:r>
      <w:r>
        <w:rPr>
          <w:sz w:val="22"/>
        </w:rPr>
        <w:t>M.</w:t>
      </w:r>
      <w:r>
        <w:rPr>
          <w:spacing w:val="-2"/>
          <w:sz w:val="22"/>
        </w:rPr>
        <w:t> </w:t>
      </w:r>
      <w:r>
        <w:rPr>
          <w:sz w:val="22"/>
        </w:rPr>
        <w:t>A.</w:t>
      </w:r>
      <w:r>
        <w:rPr>
          <w:spacing w:val="-2"/>
          <w:sz w:val="22"/>
        </w:rPr>
        <w:t> </w:t>
      </w:r>
      <w:r>
        <w:rPr>
          <w:sz w:val="22"/>
        </w:rPr>
        <w:t>(1994).</w:t>
      </w:r>
      <w:r>
        <w:rPr>
          <w:spacing w:val="-1"/>
          <w:sz w:val="22"/>
        </w:rPr>
        <w:t> </w:t>
      </w:r>
      <w:r>
        <w:rPr>
          <w:i/>
          <w:sz w:val="22"/>
        </w:rPr>
        <w:t>Biological</w:t>
      </w:r>
      <w:r>
        <w:rPr>
          <w:i/>
          <w:spacing w:val="-4"/>
          <w:sz w:val="22"/>
        </w:rPr>
        <w:t> </w:t>
      </w:r>
      <w:r>
        <w:rPr>
          <w:i/>
          <w:sz w:val="22"/>
        </w:rPr>
        <w:t>diversity:</w:t>
      </w:r>
      <w:r>
        <w:rPr>
          <w:i/>
          <w:spacing w:val="-1"/>
          <w:sz w:val="22"/>
        </w:rPr>
        <w:t> </w:t>
      </w:r>
      <w:r>
        <w:rPr>
          <w:i/>
          <w:sz w:val="22"/>
        </w:rPr>
        <w:t>the</w:t>
      </w:r>
      <w:r>
        <w:rPr>
          <w:i/>
          <w:spacing w:val="-5"/>
          <w:sz w:val="22"/>
        </w:rPr>
        <w:t> </w:t>
      </w:r>
      <w:r>
        <w:rPr>
          <w:i/>
          <w:sz w:val="22"/>
        </w:rPr>
        <w:t>coexistence</w:t>
      </w:r>
      <w:r>
        <w:rPr>
          <w:i/>
          <w:spacing w:val="-2"/>
          <w:sz w:val="22"/>
        </w:rPr>
        <w:t> </w:t>
      </w:r>
      <w:r>
        <w:rPr>
          <w:i/>
          <w:sz w:val="22"/>
        </w:rPr>
        <w:t>of</w:t>
      </w:r>
      <w:r>
        <w:rPr>
          <w:i/>
          <w:spacing w:val="-4"/>
          <w:sz w:val="22"/>
        </w:rPr>
        <w:t> </w:t>
      </w:r>
      <w:r>
        <w:rPr>
          <w:i/>
          <w:sz w:val="22"/>
        </w:rPr>
        <w:t>species</w:t>
      </w:r>
      <w:r>
        <w:rPr>
          <w:sz w:val="22"/>
        </w:rPr>
        <w:t>.</w:t>
      </w:r>
      <w:r>
        <w:rPr>
          <w:spacing w:val="-2"/>
          <w:sz w:val="22"/>
        </w:rPr>
        <w:t> </w:t>
      </w:r>
      <w:r>
        <w:rPr>
          <w:sz w:val="22"/>
        </w:rPr>
        <w:t>Cambridge</w:t>
      </w:r>
      <w:r>
        <w:rPr>
          <w:spacing w:val="-2"/>
          <w:sz w:val="22"/>
        </w:rPr>
        <w:t> </w:t>
      </w:r>
      <w:r>
        <w:rPr>
          <w:sz w:val="22"/>
        </w:rPr>
        <w:t>University </w:t>
      </w:r>
      <w:r>
        <w:rPr>
          <w:spacing w:val="-2"/>
          <w:sz w:val="22"/>
        </w:rPr>
        <w:t>Press.</w:t>
      </w:r>
    </w:p>
    <w:p>
      <w:pPr>
        <w:spacing w:before="162"/>
        <w:ind w:left="638" w:right="353" w:hanging="481"/>
        <w:jc w:val="left"/>
        <w:rPr>
          <w:sz w:val="22"/>
        </w:rPr>
      </w:pPr>
      <w:r>
        <w:rPr>
          <w:sz w:val="22"/>
        </w:rPr>
        <w:t>Hutchinson,</w:t>
      </w:r>
      <w:r>
        <w:rPr>
          <w:spacing w:val="-2"/>
          <w:sz w:val="22"/>
        </w:rPr>
        <w:t> </w:t>
      </w:r>
      <w:r>
        <w:rPr>
          <w:sz w:val="22"/>
        </w:rPr>
        <w:t>G.</w:t>
      </w:r>
      <w:r>
        <w:rPr>
          <w:spacing w:val="-2"/>
          <w:sz w:val="22"/>
        </w:rPr>
        <w:t> </w:t>
      </w:r>
      <w:r>
        <w:rPr>
          <w:sz w:val="22"/>
        </w:rPr>
        <w:t>E.</w:t>
      </w:r>
      <w:r>
        <w:rPr>
          <w:spacing w:val="-5"/>
          <w:sz w:val="22"/>
        </w:rPr>
        <w:t> </w:t>
      </w:r>
      <w:r>
        <w:rPr>
          <w:sz w:val="22"/>
        </w:rPr>
        <w:t>(1957).</w:t>
      </w:r>
      <w:r>
        <w:rPr>
          <w:spacing w:val="-5"/>
          <w:sz w:val="22"/>
        </w:rPr>
        <w:t> </w:t>
      </w:r>
      <w:r>
        <w:rPr>
          <w:sz w:val="22"/>
        </w:rPr>
        <w:t>Concluding</w:t>
      </w:r>
      <w:r>
        <w:rPr>
          <w:spacing w:val="-3"/>
          <w:sz w:val="22"/>
        </w:rPr>
        <w:t> </w:t>
      </w:r>
      <w:r>
        <w:rPr>
          <w:sz w:val="22"/>
        </w:rPr>
        <w:t>Remarks. </w:t>
      </w:r>
      <w:r>
        <w:rPr>
          <w:i/>
          <w:sz w:val="22"/>
        </w:rPr>
        <w:t>Cold</w:t>
      </w:r>
      <w:r>
        <w:rPr>
          <w:i/>
          <w:spacing w:val="-2"/>
          <w:sz w:val="22"/>
        </w:rPr>
        <w:t> </w:t>
      </w:r>
      <w:r>
        <w:rPr>
          <w:i/>
          <w:sz w:val="22"/>
        </w:rPr>
        <w:t>Spring</w:t>
      </w:r>
      <w:r>
        <w:rPr>
          <w:i/>
          <w:spacing w:val="-5"/>
          <w:sz w:val="22"/>
        </w:rPr>
        <w:t> </w:t>
      </w:r>
      <w:r>
        <w:rPr>
          <w:i/>
          <w:sz w:val="22"/>
        </w:rPr>
        <w:t>Harbor</w:t>
      </w:r>
      <w:r>
        <w:rPr>
          <w:i/>
          <w:spacing w:val="-5"/>
          <w:sz w:val="22"/>
        </w:rPr>
        <w:t> </w:t>
      </w:r>
      <w:r>
        <w:rPr>
          <w:i/>
          <w:sz w:val="22"/>
        </w:rPr>
        <w:t>Symposia</w:t>
      </w:r>
      <w:r>
        <w:rPr>
          <w:i/>
          <w:spacing w:val="-5"/>
          <w:sz w:val="22"/>
        </w:rPr>
        <w:t> </w:t>
      </w:r>
      <w:r>
        <w:rPr>
          <w:i/>
          <w:sz w:val="22"/>
        </w:rPr>
        <w:t>on</w:t>
      </w:r>
      <w:r>
        <w:rPr>
          <w:i/>
          <w:spacing w:val="-4"/>
          <w:sz w:val="22"/>
        </w:rPr>
        <w:t> </w:t>
      </w:r>
      <w:r>
        <w:rPr>
          <w:i/>
          <w:sz w:val="22"/>
        </w:rPr>
        <w:t>Quantitative</w:t>
      </w:r>
      <w:r>
        <w:rPr>
          <w:i/>
          <w:spacing w:val="-6"/>
          <w:sz w:val="22"/>
        </w:rPr>
        <w:t> </w:t>
      </w:r>
      <w:r>
        <w:rPr>
          <w:i/>
          <w:sz w:val="22"/>
        </w:rPr>
        <w:t>Biology</w:t>
      </w:r>
      <w:r>
        <w:rPr>
          <w:sz w:val="22"/>
        </w:rPr>
        <w:t>, </w:t>
      </w:r>
      <w:r>
        <w:rPr>
          <w:i/>
          <w:sz w:val="22"/>
        </w:rPr>
        <w:t>22</w:t>
      </w:r>
      <w:r>
        <w:rPr>
          <w:sz w:val="22"/>
        </w:rPr>
        <w:t>(0), 415–427. </w:t>
      </w:r>
      <w:hyperlink r:id="rId58">
        <w:r>
          <w:rPr>
            <w:sz w:val="22"/>
          </w:rPr>
          <w:t>https://doi.org/10.1101/sqb.1957.022.01.039</w:t>
        </w:r>
      </w:hyperlink>
    </w:p>
    <w:p>
      <w:pPr>
        <w:spacing w:before="158"/>
        <w:ind w:left="638" w:right="0" w:hanging="481"/>
        <w:jc w:val="left"/>
        <w:rPr>
          <w:sz w:val="22"/>
        </w:rPr>
      </w:pPr>
      <w:r>
        <w:rPr>
          <w:sz w:val="22"/>
        </w:rPr>
        <w:t>Iost,</w:t>
      </w:r>
      <w:r>
        <w:rPr>
          <w:spacing w:val="-4"/>
          <w:sz w:val="22"/>
        </w:rPr>
        <w:t> </w:t>
      </w:r>
      <w:r>
        <w:rPr>
          <w:sz w:val="22"/>
        </w:rPr>
        <w:t>S.,</w:t>
      </w:r>
      <w:r>
        <w:rPr>
          <w:spacing w:val="-2"/>
          <w:sz w:val="22"/>
        </w:rPr>
        <w:t> </w:t>
      </w:r>
      <w:r>
        <w:rPr>
          <w:sz w:val="22"/>
        </w:rPr>
        <w:t>Makeschin,</w:t>
      </w:r>
      <w:r>
        <w:rPr>
          <w:spacing w:val="-4"/>
          <w:sz w:val="22"/>
        </w:rPr>
        <w:t> </w:t>
      </w:r>
      <w:r>
        <w:rPr>
          <w:sz w:val="22"/>
        </w:rPr>
        <w:t>F.,</w:t>
      </w:r>
      <w:r>
        <w:rPr>
          <w:spacing w:val="-2"/>
          <w:sz w:val="22"/>
        </w:rPr>
        <w:t> </w:t>
      </w:r>
      <w:r>
        <w:rPr>
          <w:sz w:val="22"/>
        </w:rPr>
        <w:t>Abiy,</w:t>
      </w:r>
      <w:r>
        <w:rPr>
          <w:spacing w:val="-3"/>
          <w:sz w:val="22"/>
        </w:rPr>
        <w:t> </w:t>
      </w:r>
      <w:r>
        <w:rPr>
          <w:sz w:val="22"/>
        </w:rPr>
        <w:t>M.,</w:t>
      </w:r>
      <w:r>
        <w:rPr>
          <w:spacing w:val="-2"/>
          <w:sz w:val="22"/>
        </w:rPr>
        <w:t> </w:t>
      </w:r>
      <w:r>
        <w:rPr>
          <w:sz w:val="22"/>
        </w:rPr>
        <w:t>and</w:t>
      </w:r>
      <w:r>
        <w:rPr>
          <w:spacing w:val="-5"/>
          <w:sz w:val="22"/>
        </w:rPr>
        <w:t> </w:t>
      </w:r>
      <w:r>
        <w:rPr>
          <w:sz w:val="22"/>
        </w:rPr>
        <w:t>Haubrich,</w:t>
      </w:r>
      <w:r>
        <w:rPr>
          <w:spacing w:val="-2"/>
          <w:sz w:val="22"/>
        </w:rPr>
        <w:t> </w:t>
      </w:r>
      <w:r>
        <w:rPr>
          <w:sz w:val="22"/>
        </w:rPr>
        <w:t>F.</w:t>
      </w:r>
      <w:r>
        <w:rPr>
          <w:spacing w:val="-4"/>
          <w:sz w:val="22"/>
        </w:rPr>
        <w:t> </w:t>
      </w:r>
      <w:r>
        <w:rPr>
          <w:sz w:val="22"/>
        </w:rPr>
        <w:t>(2008).</w:t>
      </w:r>
      <w:r>
        <w:rPr>
          <w:spacing w:val="-2"/>
          <w:sz w:val="22"/>
        </w:rPr>
        <w:t> </w:t>
      </w:r>
      <w:r>
        <w:rPr>
          <w:sz w:val="22"/>
        </w:rPr>
        <w:t>Biotic</w:t>
      </w:r>
      <w:r>
        <w:rPr>
          <w:spacing w:val="-4"/>
          <w:sz w:val="22"/>
        </w:rPr>
        <w:t> </w:t>
      </w:r>
      <w:r>
        <w:rPr>
          <w:sz w:val="22"/>
        </w:rPr>
        <w:t>soil</w:t>
      </w:r>
      <w:r>
        <w:rPr>
          <w:spacing w:val="-3"/>
          <w:sz w:val="22"/>
        </w:rPr>
        <w:t> </w:t>
      </w:r>
      <w:r>
        <w:rPr>
          <w:sz w:val="22"/>
        </w:rPr>
        <w:t>activities.</w:t>
      </w:r>
      <w:r>
        <w:rPr>
          <w:spacing w:val="-2"/>
          <w:sz w:val="22"/>
        </w:rPr>
        <w:t> </w:t>
      </w:r>
      <w:r>
        <w:rPr>
          <w:sz w:val="22"/>
        </w:rPr>
        <w:t>In </w:t>
      </w:r>
      <w:r>
        <w:rPr>
          <w:i/>
          <w:sz w:val="22"/>
        </w:rPr>
        <w:t>Gradients</w:t>
      </w:r>
      <w:r>
        <w:rPr>
          <w:i/>
          <w:spacing w:val="-1"/>
          <w:sz w:val="22"/>
        </w:rPr>
        <w:t> </w:t>
      </w:r>
      <w:r>
        <w:rPr>
          <w:i/>
          <w:sz w:val="22"/>
        </w:rPr>
        <w:t>in</w:t>
      </w:r>
      <w:r>
        <w:rPr>
          <w:i/>
          <w:spacing w:val="-5"/>
          <w:sz w:val="22"/>
        </w:rPr>
        <w:t> </w:t>
      </w:r>
      <w:r>
        <w:rPr>
          <w:i/>
          <w:sz w:val="22"/>
        </w:rPr>
        <w:t>a</w:t>
      </w:r>
      <w:r>
        <w:rPr>
          <w:i/>
          <w:spacing w:val="-2"/>
          <w:sz w:val="22"/>
        </w:rPr>
        <w:t> </w:t>
      </w:r>
      <w:r>
        <w:rPr>
          <w:i/>
          <w:sz w:val="22"/>
        </w:rPr>
        <w:t>Tropical Mountain Ecosystem of Ecuador </w:t>
      </w:r>
      <w:r>
        <w:rPr>
          <w:sz w:val="22"/>
        </w:rPr>
        <w:t>(pp. 217–227). Berlin: Springer.</w:t>
      </w:r>
    </w:p>
    <w:p>
      <w:pPr>
        <w:spacing w:before="162"/>
        <w:ind w:left="638" w:right="211" w:hanging="481"/>
        <w:jc w:val="left"/>
        <w:rPr>
          <w:sz w:val="22"/>
        </w:rPr>
      </w:pPr>
      <w:r>
        <w:rPr>
          <w:sz w:val="22"/>
        </w:rPr>
        <w:t>Jarvis,</w:t>
      </w:r>
      <w:r>
        <w:rPr>
          <w:spacing w:val="-2"/>
          <w:sz w:val="22"/>
        </w:rPr>
        <w:t> </w:t>
      </w:r>
      <w:r>
        <w:rPr>
          <w:sz w:val="22"/>
        </w:rPr>
        <w:t>A.,</w:t>
      </w:r>
      <w:r>
        <w:rPr>
          <w:spacing w:val="-2"/>
          <w:sz w:val="22"/>
        </w:rPr>
        <w:t> </w:t>
      </w:r>
      <w:r>
        <w:rPr>
          <w:sz w:val="22"/>
        </w:rPr>
        <w:t>Reuter,</w:t>
      </w:r>
      <w:r>
        <w:rPr>
          <w:spacing w:val="-2"/>
          <w:sz w:val="22"/>
        </w:rPr>
        <w:t> </w:t>
      </w:r>
      <w:r>
        <w:rPr>
          <w:sz w:val="22"/>
        </w:rPr>
        <w:t>H.,</w:t>
      </w:r>
      <w:r>
        <w:rPr>
          <w:spacing w:val="-5"/>
          <w:sz w:val="22"/>
        </w:rPr>
        <w:t> </w:t>
      </w:r>
      <w:r>
        <w:rPr>
          <w:sz w:val="22"/>
        </w:rPr>
        <w:t>Nelson,</w:t>
      </w:r>
      <w:r>
        <w:rPr>
          <w:spacing w:val="-2"/>
          <w:sz w:val="22"/>
        </w:rPr>
        <w:t> </w:t>
      </w:r>
      <w:r>
        <w:rPr>
          <w:sz w:val="22"/>
        </w:rPr>
        <w:t>A.,</w:t>
      </w:r>
      <w:r>
        <w:rPr>
          <w:spacing w:val="-2"/>
          <w:sz w:val="22"/>
        </w:rPr>
        <w:t> </w:t>
      </w:r>
      <w:r>
        <w:rPr>
          <w:sz w:val="22"/>
        </w:rPr>
        <w:t>&amp;</w:t>
      </w:r>
      <w:r>
        <w:rPr>
          <w:spacing w:val="-7"/>
          <w:sz w:val="22"/>
        </w:rPr>
        <w:t> </w:t>
      </w:r>
      <w:r>
        <w:rPr>
          <w:sz w:val="22"/>
        </w:rPr>
        <w:t>Guevara,</w:t>
      </w:r>
      <w:r>
        <w:rPr>
          <w:spacing w:val="-3"/>
          <w:sz w:val="22"/>
        </w:rPr>
        <w:t> </w:t>
      </w:r>
      <w:r>
        <w:rPr>
          <w:sz w:val="22"/>
        </w:rPr>
        <w:t>E.</w:t>
      </w:r>
      <w:r>
        <w:rPr>
          <w:spacing w:val="-2"/>
          <w:sz w:val="22"/>
        </w:rPr>
        <w:t> </w:t>
      </w:r>
      <w:r>
        <w:rPr>
          <w:sz w:val="22"/>
        </w:rPr>
        <w:t>(2008).</w:t>
      </w:r>
      <w:r>
        <w:rPr>
          <w:spacing w:val="-2"/>
          <w:sz w:val="22"/>
        </w:rPr>
        <w:t> </w:t>
      </w:r>
      <w:r>
        <w:rPr>
          <w:sz w:val="22"/>
        </w:rPr>
        <w:t>Hole-filled</w:t>
      </w:r>
      <w:r>
        <w:rPr>
          <w:spacing w:val="-3"/>
          <w:sz w:val="22"/>
        </w:rPr>
        <w:t> </w:t>
      </w:r>
      <w:r>
        <w:rPr>
          <w:sz w:val="22"/>
        </w:rPr>
        <w:t>seamless</w:t>
      </w:r>
      <w:r>
        <w:rPr>
          <w:spacing w:val="-4"/>
          <w:sz w:val="22"/>
        </w:rPr>
        <w:t> </w:t>
      </w:r>
      <w:r>
        <w:rPr>
          <w:sz w:val="22"/>
        </w:rPr>
        <w:t>SRTM</w:t>
      </w:r>
      <w:r>
        <w:rPr>
          <w:spacing w:val="-4"/>
          <w:sz w:val="22"/>
        </w:rPr>
        <w:t> </w:t>
      </w:r>
      <w:r>
        <w:rPr>
          <w:sz w:val="22"/>
        </w:rPr>
        <w:t>data</w:t>
      </w:r>
      <w:r>
        <w:rPr>
          <w:spacing w:val="-3"/>
          <w:sz w:val="22"/>
        </w:rPr>
        <w:t> </w:t>
      </w:r>
      <w:r>
        <w:rPr>
          <w:sz w:val="22"/>
        </w:rPr>
        <w:t>V4.</w:t>
      </w:r>
      <w:r>
        <w:rPr>
          <w:spacing w:val="-2"/>
          <w:sz w:val="22"/>
        </w:rPr>
        <w:t> </w:t>
      </w:r>
      <w:r>
        <w:rPr>
          <w:sz w:val="22"/>
        </w:rPr>
        <w:t>Retrieved</w:t>
      </w:r>
      <w:r>
        <w:rPr>
          <w:spacing w:val="-4"/>
          <w:sz w:val="22"/>
        </w:rPr>
        <w:t> </w:t>
      </w:r>
      <w:r>
        <w:rPr>
          <w:sz w:val="22"/>
        </w:rPr>
        <w:t>13 October 2011, from International Centre for Tropical Agriculture (CIAT) website: </w:t>
      </w:r>
      <w:hyperlink r:id="rId59">
        <w:r>
          <w:rPr>
            <w:spacing w:val="-2"/>
            <w:sz w:val="22"/>
          </w:rPr>
          <w:t>http://srtm.csi.cgiar.org</w:t>
        </w:r>
      </w:hyperlink>
    </w:p>
    <w:p>
      <w:pPr>
        <w:spacing w:before="160"/>
        <w:ind w:left="638" w:right="825" w:hanging="481"/>
        <w:jc w:val="left"/>
        <w:rPr>
          <w:sz w:val="22"/>
        </w:rPr>
      </w:pPr>
      <w:r>
        <w:rPr>
          <w:sz w:val="22"/>
        </w:rPr>
        <w:t>Keller, M., Varner, R., Dias, J. D., Silva, H., Crill, P., De Oliveira, R. C., &amp; Asner, G. P. (2005). Soil-atmosphere</w:t>
      </w:r>
      <w:r>
        <w:rPr>
          <w:spacing w:val="-3"/>
          <w:sz w:val="22"/>
        </w:rPr>
        <w:t> </w:t>
      </w:r>
      <w:r>
        <w:rPr>
          <w:sz w:val="22"/>
        </w:rPr>
        <w:t>exchange</w:t>
      </w:r>
      <w:r>
        <w:rPr>
          <w:spacing w:val="-3"/>
          <w:sz w:val="22"/>
        </w:rPr>
        <w:t> </w:t>
      </w:r>
      <w:r>
        <w:rPr>
          <w:sz w:val="22"/>
        </w:rPr>
        <w:t>of</w:t>
      </w:r>
      <w:r>
        <w:rPr>
          <w:spacing w:val="-5"/>
          <w:sz w:val="22"/>
        </w:rPr>
        <w:t> </w:t>
      </w:r>
      <w:r>
        <w:rPr>
          <w:sz w:val="22"/>
        </w:rPr>
        <w:t>nitrous</w:t>
      </w:r>
      <w:r>
        <w:rPr>
          <w:spacing w:val="-4"/>
          <w:sz w:val="22"/>
        </w:rPr>
        <w:t> </w:t>
      </w:r>
      <w:r>
        <w:rPr>
          <w:sz w:val="22"/>
        </w:rPr>
        <w:t>oxide,</w:t>
      </w:r>
      <w:r>
        <w:rPr>
          <w:spacing w:val="-5"/>
          <w:sz w:val="22"/>
        </w:rPr>
        <w:t> </w:t>
      </w:r>
      <w:r>
        <w:rPr>
          <w:sz w:val="22"/>
        </w:rPr>
        <w:t>nitric</w:t>
      </w:r>
      <w:r>
        <w:rPr>
          <w:spacing w:val="-5"/>
          <w:sz w:val="22"/>
        </w:rPr>
        <w:t> </w:t>
      </w:r>
      <w:r>
        <w:rPr>
          <w:sz w:val="22"/>
        </w:rPr>
        <w:t>oxide,</w:t>
      </w:r>
      <w:r>
        <w:rPr>
          <w:spacing w:val="-3"/>
          <w:sz w:val="22"/>
        </w:rPr>
        <w:t> </w:t>
      </w:r>
      <w:r>
        <w:rPr>
          <w:sz w:val="22"/>
        </w:rPr>
        <w:t>methane,</w:t>
      </w:r>
      <w:r>
        <w:rPr>
          <w:spacing w:val="-3"/>
          <w:sz w:val="22"/>
        </w:rPr>
        <w:t> </w:t>
      </w:r>
      <w:r>
        <w:rPr>
          <w:sz w:val="22"/>
        </w:rPr>
        <w:t>and</w:t>
      </w:r>
      <w:r>
        <w:rPr>
          <w:spacing w:val="-3"/>
          <w:sz w:val="22"/>
        </w:rPr>
        <w:t> </w:t>
      </w:r>
      <w:r>
        <w:rPr>
          <w:sz w:val="22"/>
        </w:rPr>
        <w:t>carbon</w:t>
      </w:r>
      <w:r>
        <w:rPr>
          <w:spacing w:val="-2"/>
          <w:sz w:val="22"/>
        </w:rPr>
        <w:t> </w:t>
      </w:r>
      <w:r>
        <w:rPr>
          <w:sz w:val="22"/>
        </w:rPr>
        <w:t>dioxide</w:t>
      </w:r>
      <w:r>
        <w:rPr>
          <w:spacing w:val="-4"/>
          <w:sz w:val="22"/>
        </w:rPr>
        <w:t> </w:t>
      </w:r>
      <w:r>
        <w:rPr>
          <w:sz w:val="22"/>
        </w:rPr>
        <w:t>in</w:t>
      </w:r>
      <w:r>
        <w:rPr>
          <w:spacing w:val="-2"/>
          <w:sz w:val="22"/>
        </w:rPr>
        <w:t> </w:t>
      </w:r>
      <w:r>
        <w:rPr>
          <w:sz w:val="22"/>
        </w:rPr>
        <w:t>logged</w:t>
      </w:r>
      <w:r>
        <w:rPr>
          <w:spacing w:val="-3"/>
          <w:sz w:val="22"/>
        </w:rPr>
        <w:t> </w:t>
      </w:r>
      <w:r>
        <w:rPr>
          <w:sz w:val="22"/>
        </w:rPr>
        <w:t>and undisturbed forest in the Tapajos National Forest, Brazil. In </w:t>
      </w:r>
      <w:r>
        <w:rPr>
          <w:i/>
          <w:sz w:val="22"/>
        </w:rPr>
        <w:t>Earth Interactions </w:t>
      </w:r>
      <w:r>
        <w:rPr>
          <w:sz w:val="22"/>
        </w:rPr>
        <w:t>(Vol. 9). </w:t>
      </w:r>
      <w:hyperlink r:id="rId60">
        <w:r>
          <w:rPr>
            <w:spacing w:val="-2"/>
            <w:sz w:val="22"/>
          </w:rPr>
          <w:t>https://doi.org/10.1175/EI125.1</w:t>
        </w:r>
      </w:hyperlink>
    </w:p>
    <w:p>
      <w:pPr>
        <w:spacing w:before="159"/>
        <w:ind w:left="638" w:right="539" w:hanging="481"/>
        <w:jc w:val="left"/>
        <w:rPr>
          <w:sz w:val="22"/>
        </w:rPr>
      </w:pPr>
      <w:r>
        <w:rPr>
          <w:sz w:val="22"/>
        </w:rPr>
        <w:t>Kitayama,</w:t>
      </w:r>
      <w:r>
        <w:rPr>
          <w:spacing w:val="-5"/>
          <w:sz w:val="22"/>
        </w:rPr>
        <w:t> </w:t>
      </w:r>
      <w:r>
        <w:rPr>
          <w:sz w:val="22"/>
        </w:rPr>
        <w:t>K.,</w:t>
      </w:r>
      <w:r>
        <w:rPr>
          <w:spacing w:val="-2"/>
          <w:sz w:val="22"/>
        </w:rPr>
        <w:t> </w:t>
      </w:r>
      <w:r>
        <w:rPr>
          <w:sz w:val="22"/>
        </w:rPr>
        <w:t>Aiba,</w:t>
      </w:r>
      <w:r>
        <w:rPr>
          <w:spacing w:val="-2"/>
          <w:sz w:val="22"/>
        </w:rPr>
        <w:t> </w:t>
      </w:r>
      <w:r>
        <w:rPr>
          <w:sz w:val="22"/>
        </w:rPr>
        <w:t>S.-I.,</w:t>
      </w:r>
      <w:r>
        <w:rPr>
          <w:spacing w:val="-5"/>
          <w:sz w:val="22"/>
        </w:rPr>
        <w:t> </w:t>
      </w:r>
      <w:r>
        <w:rPr>
          <w:sz w:val="22"/>
        </w:rPr>
        <w:t>Takyu,</w:t>
      </w:r>
      <w:r>
        <w:rPr>
          <w:spacing w:val="-2"/>
          <w:sz w:val="22"/>
        </w:rPr>
        <w:t> </w:t>
      </w:r>
      <w:r>
        <w:rPr>
          <w:sz w:val="22"/>
        </w:rPr>
        <w:t>M.,</w:t>
      </w:r>
      <w:r>
        <w:rPr>
          <w:spacing w:val="-2"/>
          <w:sz w:val="22"/>
        </w:rPr>
        <w:t> </w:t>
      </w:r>
      <w:r>
        <w:rPr>
          <w:sz w:val="22"/>
        </w:rPr>
        <w:t>Majalap,</w:t>
      </w:r>
      <w:r>
        <w:rPr>
          <w:spacing w:val="-5"/>
          <w:sz w:val="22"/>
        </w:rPr>
        <w:t> </w:t>
      </w:r>
      <w:r>
        <w:rPr>
          <w:sz w:val="22"/>
        </w:rPr>
        <w:t>N.,</w:t>
      </w:r>
      <w:r>
        <w:rPr>
          <w:spacing w:val="-2"/>
          <w:sz w:val="22"/>
        </w:rPr>
        <w:t> </w:t>
      </w:r>
      <w:r>
        <w:rPr>
          <w:sz w:val="22"/>
        </w:rPr>
        <w:t>&amp;</w:t>
      </w:r>
      <w:r>
        <w:rPr>
          <w:spacing w:val="-6"/>
          <w:sz w:val="22"/>
        </w:rPr>
        <w:t> </w:t>
      </w:r>
      <w:r>
        <w:rPr>
          <w:sz w:val="22"/>
        </w:rPr>
        <w:t>Wagai,</w:t>
      </w:r>
      <w:r>
        <w:rPr>
          <w:spacing w:val="-2"/>
          <w:sz w:val="22"/>
        </w:rPr>
        <w:t> </w:t>
      </w:r>
      <w:r>
        <w:rPr>
          <w:sz w:val="22"/>
        </w:rPr>
        <w:t>R.</w:t>
      </w:r>
      <w:r>
        <w:rPr>
          <w:spacing w:val="-3"/>
          <w:sz w:val="22"/>
        </w:rPr>
        <w:t> </w:t>
      </w:r>
      <w:r>
        <w:rPr>
          <w:sz w:val="22"/>
        </w:rPr>
        <w:t>(2004).</w:t>
      </w:r>
      <w:r>
        <w:rPr>
          <w:spacing w:val="-5"/>
          <w:sz w:val="22"/>
        </w:rPr>
        <w:t> </w:t>
      </w:r>
      <w:r>
        <w:rPr>
          <w:sz w:val="22"/>
        </w:rPr>
        <w:t>Soil</w:t>
      </w:r>
      <w:r>
        <w:rPr>
          <w:spacing w:val="-5"/>
          <w:sz w:val="22"/>
        </w:rPr>
        <w:t> </w:t>
      </w:r>
      <w:r>
        <w:rPr>
          <w:sz w:val="22"/>
        </w:rPr>
        <w:t>Phosphorus</w:t>
      </w:r>
      <w:r>
        <w:rPr>
          <w:spacing w:val="-4"/>
          <w:sz w:val="22"/>
        </w:rPr>
        <w:t> </w:t>
      </w:r>
      <w:r>
        <w:rPr>
          <w:sz w:val="22"/>
        </w:rPr>
        <w:t>Fractionation</w:t>
      </w:r>
      <w:r>
        <w:rPr>
          <w:spacing w:val="-2"/>
          <w:sz w:val="22"/>
        </w:rPr>
        <w:t> </w:t>
      </w:r>
      <w:r>
        <w:rPr>
          <w:sz w:val="22"/>
        </w:rPr>
        <w:t>and Phosphorus-Use Efficiency of a Bornean Tropical Montane Rain Forest During Soil Aging With Podozolization. </w:t>
      </w:r>
      <w:r>
        <w:rPr>
          <w:i/>
          <w:sz w:val="22"/>
        </w:rPr>
        <w:t>Ecosystems</w:t>
      </w:r>
      <w:r>
        <w:rPr>
          <w:sz w:val="22"/>
        </w:rPr>
        <w:t>, </w:t>
      </w:r>
      <w:r>
        <w:rPr>
          <w:i/>
          <w:sz w:val="22"/>
        </w:rPr>
        <w:t>7</w:t>
      </w:r>
      <w:r>
        <w:rPr>
          <w:sz w:val="22"/>
        </w:rPr>
        <w:t>(3). </w:t>
      </w:r>
      <w:hyperlink r:id="rId61">
        <w:r>
          <w:rPr>
            <w:sz w:val="22"/>
          </w:rPr>
          <w:t>https://doi.org/10.1007/s10021-003-0229-6</w:t>
        </w:r>
      </w:hyperlink>
    </w:p>
    <w:p>
      <w:pPr>
        <w:spacing w:before="161"/>
        <w:ind w:left="157" w:right="0" w:firstLine="0"/>
        <w:jc w:val="left"/>
        <w:rPr>
          <w:sz w:val="22"/>
        </w:rPr>
      </w:pPr>
      <w:r>
        <w:rPr>
          <w:sz w:val="22"/>
        </w:rPr>
        <w:t>Knowles,</w:t>
      </w:r>
      <w:r>
        <w:rPr>
          <w:spacing w:val="-9"/>
          <w:sz w:val="22"/>
        </w:rPr>
        <w:t> </w:t>
      </w:r>
      <w:r>
        <w:rPr>
          <w:sz w:val="22"/>
        </w:rPr>
        <w:t>J.</w:t>
      </w:r>
      <w:r>
        <w:rPr>
          <w:spacing w:val="-4"/>
          <w:sz w:val="22"/>
        </w:rPr>
        <w:t> </w:t>
      </w:r>
      <w:r>
        <w:rPr>
          <w:sz w:val="22"/>
        </w:rPr>
        <w:t>E.,</w:t>
      </w:r>
      <w:r>
        <w:rPr>
          <w:spacing w:val="-4"/>
          <w:sz w:val="22"/>
        </w:rPr>
        <w:t> </w:t>
      </w:r>
      <w:r>
        <w:rPr>
          <w:sz w:val="22"/>
        </w:rPr>
        <w:t>&amp;</w:t>
      </w:r>
      <w:r>
        <w:rPr>
          <w:spacing w:val="-8"/>
          <w:sz w:val="22"/>
        </w:rPr>
        <w:t> </w:t>
      </w:r>
      <w:r>
        <w:rPr>
          <w:sz w:val="22"/>
        </w:rPr>
        <w:t>Frederick,</w:t>
      </w:r>
      <w:r>
        <w:rPr>
          <w:spacing w:val="-5"/>
          <w:sz w:val="22"/>
        </w:rPr>
        <w:t> </w:t>
      </w:r>
      <w:r>
        <w:rPr>
          <w:sz w:val="22"/>
        </w:rPr>
        <w:t>C.</w:t>
      </w:r>
      <w:r>
        <w:rPr>
          <w:spacing w:val="-5"/>
          <w:sz w:val="22"/>
        </w:rPr>
        <w:t> </w:t>
      </w:r>
      <w:r>
        <w:rPr>
          <w:sz w:val="22"/>
        </w:rPr>
        <w:t>(2020).</w:t>
      </w:r>
      <w:r>
        <w:rPr>
          <w:spacing w:val="-1"/>
          <w:sz w:val="22"/>
        </w:rPr>
        <w:t> </w:t>
      </w:r>
      <w:r>
        <w:rPr>
          <w:i/>
          <w:sz w:val="22"/>
        </w:rPr>
        <w:t>merTools:</w:t>
      </w:r>
      <w:r>
        <w:rPr>
          <w:i/>
          <w:spacing w:val="-4"/>
          <w:sz w:val="22"/>
        </w:rPr>
        <w:t> </w:t>
      </w:r>
      <w:r>
        <w:rPr>
          <w:i/>
          <w:sz w:val="22"/>
        </w:rPr>
        <w:t>Tools</w:t>
      </w:r>
      <w:r>
        <w:rPr>
          <w:i/>
          <w:spacing w:val="-4"/>
          <w:sz w:val="22"/>
        </w:rPr>
        <w:t> </w:t>
      </w:r>
      <w:r>
        <w:rPr>
          <w:i/>
          <w:sz w:val="22"/>
        </w:rPr>
        <w:t>for</w:t>
      </w:r>
      <w:r>
        <w:rPr>
          <w:i/>
          <w:spacing w:val="-5"/>
          <w:sz w:val="22"/>
        </w:rPr>
        <w:t> </w:t>
      </w:r>
      <w:r>
        <w:rPr>
          <w:i/>
          <w:sz w:val="22"/>
        </w:rPr>
        <w:t>Analyzing</w:t>
      </w:r>
      <w:r>
        <w:rPr>
          <w:i/>
          <w:spacing w:val="-3"/>
          <w:sz w:val="22"/>
        </w:rPr>
        <w:t> </w:t>
      </w:r>
      <w:r>
        <w:rPr>
          <w:i/>
          <w:sz w:val="22"/>
        </w:rPr>
        <w:t>Mixed</w:t>
      </w:r>
      <w:r>
        <w:rPr>
          <w:i/>
          <w:spacing w:val="-7"/>
          <w:sz w:val="22"/>
        </w:rPr>
        <w:t> </w:t>
      </w:r>
      <w:r>
        <w:rPr>
          <w:i/>
          <w:sz w:val="22"/>
        </w:rPr>
        <w:t>Effect</w:t>
      </w:r>
      <w:r>
        <w:rPr>
          <w:i/>
          <w:spacing w:val="-5"/>
          <w:sz w:val="22"/>
        </w:rPr>
        <w:t> </w:t>
      </w:r>
      <w:r>
        <w:rPr>
          <w:i/>
          <w:sz w:val="22"/>
        </w:rPr>
        <w:t>Regression</w:t>
      </w:r>
      <w:r>
        <w:rPr>
          <w:i/>
          <w:spacing w:val="-4"/>
          <w:sz w:val="22"/>
        </w:rPr>
        <w:t> </w:t>
      </w:r>
      <w:r>
        <w:rPr>
          <w:i/>
          <w:spacing w:val="-2"/>
          <w:sz w:val="22"/>
        </w:rPr>
        <w:t>Models</w:t>
      </w:r>
      <w:r>
        <w:rPr>
          <w:spacing w:val="-2"/>
          <w:sz w:val="22"/>
        </w:rPr>
        <w:t>.</w:t>
      </w:r>
    </w:p>
    <w:p>
      <w:pPr>
        <w:spacing w:before="1"/>
        <w:ind w:left="638" w:right="0" w:firstLine="0"/>
        <w:jc w:val="left"/>
        <w:rPr>
          <w:sz w:val="22"/>
        </w:rPr>
      </w:pPr>
      <w:r>
        <w:rPr>
          <w:sz w:val="22"/>
        </w:rPr>
        <w:t>Retrieved</w:t>
      </w:r>
      <w:r>
        <w:rPr>
          <w:spacing w:val="-12"/>
          <w:sz w:val="22"/>
        </w:rPr>
        <w:t> </w:t>
      </w:r>
      <w:r>
        <w:rPr>
          <w:sz w:val="22"/>
        </w:rPr>
        <w:t>from</w:t>
      </w:r>
      <w:r>
        <w:rPr>
          <w:spacing w:val="-10"/>
          <w:sz w:val="22"/>
        </w:rPr>
        <w:t> </w:t>
      </w:r>
      <w:hyperlink r:id="rId62">
        <w:r>
          <w:rPr>
            <w:sz w:val="22"/>
          </w:rPr>
          <w:t>https://cran.r-</w:t>
        </w:r>
        <w:r>
          <w:rPr>
            <w:spacing w:val="-2"/>
            <w:sz w:val="22"/>
          </w:rPr>
          <w:t>project.org/package=merTools</w:t>
        </w:r>
      </w:hyperlink>
    </w:p>
    <w:p>
      <w:pPr>
        <w:spacing w:before="159"/>
        <w:ind w:left="638" w:right="0" w:hanging="481"/>
        <w:jc w:val="left"/>
        <w:rPr>
          <w:sz w:val="22"/>
        </w:rPr>
      </w:pPr>
      <w:r>
        <w:rPr>
          <w:sz w:val="22"/>
        </w:rPr>
        <w:t>Liu,</w:t>
      </w:r>
      <w:r>
        <w:rPr>
          <w:spacing w:val="-1"/>
          <w:sz w:val="22"/>
        </w:rPr>
        <w:t> </w:t>
      </w:r>
      <w:r>
        <w:rPr>
          <w:sz w:val="22"/>
        </w:rPr>
        <w:t>X.,</w:t>
      </w:r>
      <w:r>
        <w:rPr>
          <w:spacing w:val="-4"/>
          <w:sz w:val="22"/>
        </w:rPr>
        <w:t> </w:t>
      </w:r>
      <w:r>
        <w:rPr>
          <w:sz w:val="22"/>
        </w:rPr>
        <w:t>Swenson,</w:t>
      </w:r>
      <w:r>
        <w:rPr>
          <w:spacing w:val="-1"/>
          <w:sz w:val="22"/>
        </w:rPr>
        <w:t> </w:t>
      </w:r>
      <w:r>
        <w:rPr>
          <w:sz w:val="22"/>
        </w:rPr>
        <w:t>N.</w:t>
      </w:r>
      <w:r>
        <w:rPr>
          <w:spacing w:val="-1"/>
          <w:sz w:val="22"/>
        </w:rPr>
        <w:t> </w:t>
      </w:r>
      <w:r>
        <w:rPr>
          <w:sz w:val="22"/>
        </w:rPr>
        <w:t>G.,</w:t>
      </w:r>
      <w:r>
        <w:rPr>
          <w:spacing w:val="-1"/>
          <w:sz w:val="22"/>
        </w:rPr>
        <w:t> </w:t>
      </w:r>
      <w:r>
        <w:rPr>
          <w:sz w:val="22"/>
        </w:rPr>
        <w:t>Lin,</w:t>
      </w:r>
      <w:r>
        <w:rPr>
          <w:spacing w:val="-1"/>
          <w:sz w:val="22"/>
        </w:rPr>
        <w:t> </w:t>
      </w:r>
      <w:r>
        <w:rPr>
          <w:sz w:val="22"/>
        </w:rPr>
        <w:t>D.,</w:t>
      </w:r>
      <w:r>
        <w:rPr>
          <w:spacing w:val="-1"/>
          <w:sz w:val="22"/>
        </w:rPr>
        <w:t> </w:t>
      </w:r>
      <w:r>
        <w:rPr>
          <w:sz w:val="22"/>
        </w:rPr>
        <w:t>Mi,</w:t>
      </w:r>
      <w:r>
        <w:rPr>
          <w:spacing w:val="-4"/>
          <w:sz w:val="22"/>
        </w:rPr>
        <w:t> </w:t>
      </w:r>
      <w:r>
        <w:rPr>
          <w:sz w:val="22"/>
        </w:rPr>
        <w:t>X.,</w:t>
      </w:r>
      <w:r>
        <w:rPr>
          <w:spacing w:val="-1"/>
          <w:sz w:val="22"/>
        </w:rPr>
        <w:t> </w:t>
      </w:r>
      <w:r>
        <w:rPr>
          <w:sz w:val="22"/>
        </w:rPr>
        <w:t>Umaña,</w:t>
      </w:r>
      <w:r>
        <w:rPr>
          <w:spacing w:val="-2"/>
          <w:sz w:val="22"/>
        </w:rPr>
        <w:t> </w:t>
      </w:r>
      <w:r>
        <w:rPr>
          <w:sz w:val="22"/>
        </w:rPr>
        <w:t>M.</w:t>
      </w:r>
      <w:r>
        <w:rPr>
          <w:spacing w:val="-4"/>
          <w:sz w:val="22"/>
        </w:rPr>
        <w:t> </w:t>
      </w:r>
      <w:r>
        <w:rPr>
          <w:sz w:val="22"/>
        </w:rPr>
        <w:t>N.,</w:t>
      </w:r>
      <w:r>
        <w:rPr>
          <w:spacing w:val="-4"/>
          <w:sz w:val="22"/>
        </w:rPr>
        <w:t> </w:t>
      </w:r>
      <w:r>
        <w:rPr>
          <w:sz w:val="22"/>
        </w:rPr>
        <w:t>Schmid,</w:t>
      </w:r>
      <w:r>
        <w:rPr>
          <w:spacing w:val="-4"/>
          <w:sz w:val="22"/>
        </w:rPr>
        <w:t> </w:t>
      </w:r>
      <w:r>
        <w:rPr>
          <w:sz w:val="22"/>
        </w:rPr>
        <w:t>B.,</w:t>
      </w:r>
      <w:r>
        <w:rPr>
          <w:spacing w:val="-1"/>
          <w:sz w:val="22"/>
        </w:rPr>
        <w:t> </w:t>
      </w:r>
      <w:r>
        <w:rPr>
          <w:sz w:val="22"/>
        </w:rPr>
        <w:t>&amp;</w:t>
      </w:r>
      <w:r>
        <w:rPr>
          <w:spacing w:val="-3"/>
          <w:sz w:val="22"/>
        </w:rPr>
        <w:t> </w:t>
      </w:r>
      <w:r>
        <w:rPr>
          <w:sz w:val="22"/>
        </w:rPr>
        <w:t>Ma,</w:t>
      </w:r>
      <w:r>
        <w:rPr>
          <w:spacing w:val="-4"/>
          <w:sz w:val="22"/>
        </w:rPr>
        <w:t> </w:t>
      </w:r>
      <w:r>
        <w:rPr>
          <w:sz w:val="22"/>
        </w:rPr>
        <w:t>K.</w:t>
      </w:r>
      <w:r>
        <w:rPr>
          <w:spacing w:val="-4"/>
          <w:sz w:val="22"/>
        </w:rPr>
        <w:t> </w:t>
      </w:r>
      <w:r>
        <w:rPr>
          <w:sz w:val="22"/>
        </w:rPr>
        <w:t>(2016).</w:t>
      </w:r>
      <w:r>
        <w:rPr>
          <w:spacing w:val="-1"/>
          <w:sz w:val="22"/>
        </w:rPr>
        <w:t> </w:t>
      </w:r>
      <w:r>
        <w:rPr>
          <w:sz w:val="22"/>
        </w:rPr>
        <w:t>Linking</w:t>
      </w:r>
      <w:r>
        <w:rPr>
          <w:spacing w:val="-2"/>
          <w:sz w:val="22"/>
        </w:rPr>
        <w:t> </w:t>
      </w:r>
      <w:r>
        <w:rPr>
          <w:sz w:val="22"/>
        </w:rPr>
        <w:t>individual-level functional traits to tree growth in a subtropical forest. </w:t>
      </w:r>
      <w:r>
        <w:rPr>
          <w:i/>
          <w:sz w:val="22"/>
        </w:rPr>
        <w:t>Ecology</w:t>
      </w:r>
      <w:r>
        <w:rPr>
          <w:sz w:val="22"/>
        </w:rPr>
        <w:t>, </w:t>
      </w:r>
      <w:r>
        <w:rPr>
          <w:i/>
          <w:sz w:val="22"/>
        </w:rPr>
        <w:t>97</w:t>
      </w:r>
      <w:r>
        <w:rPr>
          <w:sz w:val="22"/>
        </w:rPr>
        <w:t>(9), 2396–2405. </w:t>
      </w:r>
      <w:hyperlink r:id="rId63">
        <w:r>
          <w:rPr>
            <w:spacing w:val="-2"/>
            <w:sz w:val="22"/>
          </w:rPr>
          <w:t>https://doi.org/10.1002/ecy.1445</w:t>
        </w:r>
      </w:hyperlink>
    </w:p>
    <w:p>
      <w:pPr>
        <w:spacing w:line="267" w:lineRule="exact" w:before="161"/>
        <w:ind w:left="157" w:right="0" w:firstLine="0"/>
        <w:jc w:val="left"/>
        <w:rPr>
          <w:sz w:val="22"/>
        </w:rPr>
      </w:pPr>
      <w:r>
        <w:rPr>
          <w:sz w:val="22"/>
        </w:rPr>
        <w:t>Mahowald,</w:t>
      </w:r>
      <w:r>
        <w:rPr>
          <w:spacing w:val="-5"/>
          <w:sz w:val="22"/>
        </w:rPr>
        <w:t> </w:t>
      </w:r>
      <w:r>
        <w:rPr>
          <w:sz w:val="22"/>
        </w:rPr>
        <w:t>N.</w:t>
      </w:r>
      <w:r>
        <w:rPr>
          <w:spacing w:val="-2"/>
          <w:sz w:val="22"/>
        </w:rPr>
        <w:t> </w:t>
      </w:r>
      <w:r>
        <w:rPr>
          <w:sz w:val="22"/>
        </w:rPr>
        <w:t>M.,</w:t>
      </w:r>
      <w:r>
        <w:rPr>
          <w:spacing w:val="-3"/>
          <w:sz w:val="22"/>
        </w:rPr>
        <w:t> </w:t>
      </w:r>
      <w:r>
        <w:rPr>
          <w:sz w:val="22"/>
        </w:rPr>
        <w:t>Baker,</w:t>
      </w:r>
      <w:r>
        <w:rPr>
          <w:spacing w:val="-5"/>
          <w:sz w:val="22"/>
        </w:rPr>
        <w:t> </w:t>
      </w:r>
      <w:r>
        <w:rPr>
          <w:sz w:val="22"/>
        </w:rPr>
        <w:t>A.</w:t>
      </w:r>
      <w:r>
        <w:rPr>
          <w:spacing w:val="-3"/>
          <w:sz w:val="22"/>
        </w:rPr>
        <w:t> </w:t>
      </w:r>
      <w:r>
        <w:rPr>
          <w:sz w:val="22"/>
        </w:rPr>
        <w:t>R.,</w:t>
      </w:r>
      <w:r>
        <w:rPr>
          <w:spacing w:val="-2"/>
          <w:sz w:val="22"/>
        </w:rPr>
        <w:t> </w:t>
      </w:r>
      <w:r>
        <w:rPr>
          <w:sz w:val="22"/>
        </w:rPr>
        <w:t>Bergametti,</w:t>
      </w:r>
      <w:r>
        <w:rPr>
          <w:spacing w:val="-5"/>
          <w:sz w:val="22"/>
        </w:rPr>
        <w:t> </w:t>
      </w:r>
      <w:r>
        <w:rPr>
          <w:sz w:val="22"/>
        </w:rPr>
        <w:t>G.,</w:t>
      </w:r>
      <w:r>
        <w:rPr>
          <w:spacing w:val="-3"/>
          <w:sz w:val="22"/>
        </w:rPr>
        <w:t> </w:t>
      </w:r>
      <w:r>
        <w:rPr>
          <w:sz w:val="22"/>
        </w:rPr>
        <w:t>Brooks,</w:t>
      </w:r>
      <w:r>
        <w:rPr>
          <w:spacing w:val="-3"/>
          <w:sz w:val="22"/>
        </w:rPr>
        <w:t> </w:t>
      </w:r>
      <w:r>
        <w:rPr>
          <w:sz w:val="22"/>
        </w:rPr>
        <w:t>N.,</w:t>
      </w:r>
      <w:r>
        <w:rPr>
          <w:spacing w:val="-3"/>
          <w:sz w:val="22"/>
        </w:rPr>
        <w:t> </w:t>
      </w:r>
      <w:r>
        <w:rPr>
          <w:sz w:val="22"/>
        </w:rPr>
        <w:t>Duce,</w:t>
      </w:r>
      <w:r>
        <w:rPr>
          <w:spacing w:val="-2"/>
          <w:sz w:val="22"/>
        </w:rPr>
        <w:t> </w:t>
      </w:r>
      <w:r>
        <w:rPr>
          <w:sz w:val="22"/>
        </w:rPr>
        <w:t>R.</w:t>
      </w:r>
      <w:r>
        <w:rPr>
          <w:spacing w:val="-4"/>
          <w:sz w:val="22"/>
        </w:rPr>
        <w:t> </w:t>
      </w:r>
      <w:r>
        <w:rPr>
          <w:sz w:val="22"/>
        </w:rPr>
        <w:t>A.,</w:t>
      </w:r>
      <w:r>
        <w:rPr>
          <w:spacing w:val="-5"/>
          <w:sz w:val="22"/>
        </w:rPr>
        <w:t> </w:t>
      </w:r>
      <w:r>
        <w:rPr>
          <w:sz w:val="22"/>
        </w:rPr>
        <w:t>Jickells,</w:t>
      </w:r>
      <w:r>
        <w:rPr>
          <w:spacing w:val="-3"/>
          <w:sz w:val="22"/>
        </w:rPr>
        <w:t> </w:t>
      </w:r>
      <w:r>
        <w:rPr>
          <w:sz w:val="22"/>
        </w:rPr>
        <w:t>T.</w:t>
      </w:r>
      <w:r>
        <w:rPr>
          <w:spacing w:val="-3"/>
          <w:sz w:val="22"/>
        </w:rPr>
        <w:t> </w:t>
      </w:r>
      <w:r>
        <w:rPr>
          <w:sz w:val="22"/>
        </w:rPr>
        <w:t>D.,</w:t>
      </w:r>
      <w:r>
        <w:rPr>
          <w:spacing w:val="3"/>
          <w:sz w:val="22"/>
        </w:rPr>
        <w:t> </w:t>
      </w:r>
      <w:r>
        <w:rPr>
          <w:sz w:val="22"/>
        </w:rPr>
        <w:t>…</w:t>
      </w:r>
      <w:r>
        <w:rPr>
          <w:spacing w:val="-5"/>
          <w:sz w:val="22"/>
        </w:rPr>
        <w:t> </w:t>
      </w:r>
      <w:r>
        <w:rPr>
          <w:sz w:val="22"/>
        </w:rPr>
        <w:t>Tegen,</w:t>
      </w:r>
      <w:r>
        <w:rPr>
          <w:spacing w:val="-2"/>
          <w:sz w:val="22"/>
        </w:rPr>
        <w:t> </w:t>
      </w:r>
      <w:r>
        <w:rPr>
          <w:sz w:val="22"/>
        </w:rPr>
        <w:t>I.</w:t>
      </w:r>
      <w:r>
        <w:rPr>
          <w:spacing w:val="-5"/>
          <w:sz w:val="22"/>
        </w:rPr>
        <w:t> </w:t>
      </w:r>
      <w:r>
        <w:rPr>
          <w:spacing w:val="-2"/>
          <w:sz w:val="22"/>
        </w:rPr>
        <w:t>(2005).</w:t>
      </w:r>
    </w:p>
    <w:p>
      <w:pPr>
        <w:spacing w:before="0"/>
        <w:ind w:left="638" w:right="0" w:firstLine="0"/>
        <w:jc w:val="left"/>
        <w:rPr>
          <w:sz w:val="22"/>
        </w:rPr>
      </w:pPr>
      <w:r>
        <w:rPr>
          <w:sz w:val="22"/>
        </w:rPr>
        <w:t>Atmospheric</w:t>
      </w:r>
      <w:r>
        <w:rPr>
          <w:spacing w:val="-4"/>
          <w:sz w:val="22"/>
        </w:rPr>
        <w:t> </w:t>
      </w:r>
      <w:r>
        <w:rPr>
          <w:sz w:val="22"/>
        </w:rPr>
        <w:t>global</w:t>
      </w:r>
      <w:r>
        <w:rPr>
          <w:spacing w:val="-3"/>
          <w:sz w:val="22"/>
        </w:rPr>
        <w:t> </w:t>
      </w:r>
      <w:r>
        <w:rPr>
          <w:sz w:val="22"/>
        </w:rPr>
        <w:t>dust</w:t>
      </w:r>
      <w:r>
        <w:rPr>
          <w:spacing w:val="-5"/>
          <w:sz w:val="22"/>
        </w:rPr>
        <w:t> </w:t>
      </w:r>
      <w:r>
        <w:rPr>
          <w:sz w:val="22"/>
        </w:rPr>
        <w:t>cycle</w:t>
      </w:r>
      <w:r>
        <w:rPr>
          <w:spacing w:val="-3"/>
          <w:sz w:val="22"/>
        </w:rPr>
        <w:t> </w:t>
      </w:r>
      <w:r>
        <w:rPr>
          <w:sz w:val="22"/>
        </w:rPr>
        <w:t>and</w:t>
      </w:r>
      <w:r>
        <w:rPr>
          <w:spacing w:val="-3"/>
          <w:sz w:val="22"/>
        </w:rPr>
        <w:t> </w:t>
      </w:r>
      <w:r>
        <w:rPr>
          <w:sz w:val="22"/>
        </w:rPr>
        <w:t>iron</w:t>
      </w:r>
      <w:r>
        <w:rPr>
          <w:spacing w:val="-2"/>
          <w:sz w:val="22"/>
        </w:rPr>
        <w:t> </w:t>
      </w:r>
      <w:r>
        <w:rPr>
          <w:sz w:val="22"/>
        </w:rPr>
        <w:t>inputs</w:t>
      </w:r>
      <w:r>
        <w:rPr>
          <w:spacing w:val="-7"/>
          <w:sz w:val="22"/>
        </w:rPr>
        <w:t> </w:t>
      </w:r>
      <w:r>
        <w:rPr>
          <w:sz w:val="22"/>
        </w:rPr>
        <w:t>to</w:t>
      </w:r>
      <w:r>
        <w:rPr>
          <w:spacing w:val="-5"/>
          <w:sz w:val="22"/>
        </w:rPr>
        <w:t> </w:t>
      </w:r>
      <w:r>
        <w:rPr>
          <w:sz w:val="22"/>
        </w:rPr>
        <w:t>the</w:t>
      </w:r>
      <w:r>
        <w:rPr>
          <w:spacing w:val="-3"/>
          <w:sz w:val="22"/>
        </w:rPr>
        <w:t> </w:t>
      </w:r>
      <w:r>
        <w:rPr>
          <w:sz w:val="22"/>
        </w:rPr>
        <w:t>ocean. </w:t>
      </w:r>
      <w:r>
        <w:rPr>
          <w:i/>
          <w:sz w:val="22"/>
        </w:rPr>
        <w:t>Global</w:t>
      </w:r>
      <w:r>
        <w:rPr>
          <w:i/>
          <w:spacing w:val="-2"/>
          <w:sz w:val="22"/>
        </w:rPr>
        <w:t> </w:t>
      </w:r>
      <w:r>
        <w:rPr>
          <w:i/>
          <w:sz w:val="22"/>
        </w:rPr>
        <w:t>Biogeochemical</w:t>
      </w:r>
      <w:r>
        <w:rPr>
          <w:i/>
          <w:spacing w:val="-5"/>
          <w:sz w:val="22"/>
        </w:rPr>
        <w:t> </w:t>
      </w:r>
      <w:r>
        <w:rPr>
          <w:i/>
          <w:sz w:val="22"/>
        </w:rPr>
        <w:t>Cycles</w:t>
      </w:r>
      <w:r>
        <w:rPr>
          <w:sz w:val="22"/>
        </w:rPr>
        <w:t>,</w:t>
      </w:r>
      <w:r>
        <w:rPr>
          <w:spacing w:val="-2"/>
          <w:sz w:val="22"/>
        </w:rPr>
        <w:t> </w:t>
      </w:r>
      <w:r>
        <w:rPr>
          <w:i/>
          <w:sz w:val="22"/>
        </w:rPr>
        <w:t>19</w:t>
      </w:r>
      <w:r>
        <w:rPr>
          <w:sz w:val="22"/>
        </w:rPr>
        <w:t>(4). </w:t>
      </w:r>
      <w:hyperlink r:id="rId64">
        <w:r>
          <w:rPr>
            <w:spacing w:val="-2"/>
            <w:sz w:val="22"/>
          </w:rPr>
          <w:t>https://doi.org/10.1029/2004GB002402</w:t>
        </w:r>
      </w:hyperlink>
    </w:p>
    <w:p>
      <w:pPr>
        <w:spacing w:before="160"/>
        <w:ind w:left="638" w:right="784" w:hanging="481"/>
        <w:jc w:val="both"/>
        <w:rPr>
          <w:sz w:val="22"/>
        </w:rPr>
      </w:pPr>
      <w:r>
        <w:rPr>
          <w:sz w:val="22"/>
        </w:rPr>
        <w:t>Mirmanto,</w:t>
      </w:r>
      <w:r>
        <w:rPr>
          <w:spacing w:val="-2"/>
          <w:sz w:val="22"/>
        </w:rPr>
        <w:t> </w:t>
      </w:r>
      <w:r>
        <w:rPr>
          <w:sz w:val="22"/>
        </w:rPr>
        <w:t>E.,</w:t>
      </w:r>
      <w:r>
        <w:rPr>
          <w:spacing w:val="-2"/>
          <w:sz w:val="22"/>
        </w:rPr>
        <w:t> </w:t>
      </w:r>
      <w:r>
        <w:rPr>
          <w:sz w:val="22"/>
        </w:rPr>
        <w:t>Proctor,</w:t>
      </w:r>
      <w:r>
        <w:rPr>
          <w:spacing w:val="-2"/>
          <w:sz w:val="22"/>
        </w:rPr>
        <w:t> </w:t>
      </w:r>
      <w:r>
        <w:rPr>
          <w:sz w:val="22"/>
        </w:rPr>
        <w:t>J.,</w:t>
      </w:r>
      <w:r>
        <w:rPr>
          <w:spacing w:val="-5"/>
          <w:sz w:val="22"/>
        </w:rPr>
        <w:t> </w:t>
      </w:r>
      <w:r>
        <w:rPr>
          <w:sz w:val="22"/>
        </w:rPr>
        <w:t>Green,</w:t>
      </w:r>
      <w:r>
        <w:rPr>
          <w:spacing w:val="-2"/>
          <w:sz w:val="22"/>
        </w:rPr>
        <w:t> </w:t>
      </w:r>
      <w:r>
        <w:rPr>
          <w:sz w:val="22"/>
        </w:rPr>
        <w:t>J.,</w:t>
      </w:r>
      <w:r>
        <w:rPr>
          <w:spacing w:val="-5"/>
          <w:sz w:val="22"/>
        </w:rPr>
        <w:t> </w:t>
      </w:r>
      <w:r>
        <w:rPr>
          <w:sz w:val="22"/>
        </w:rPr>
        <w:t>Nagy,</w:t>
      </w:r>
      <w:r>
        <w:rPr>
          <w:spacing w:val="-2"/>
          <w:sz w:val="22"/>
        </w:rPr>
        <w:t> </w:t>
      </w:r>
      <w:r>
        <w:rPr>
          <w:sz w:val="22"/>
        </w:rPr>
        <w:t>L.,</w:t>
      </w:r>
      <w:r>
        <w:rPr>
          <w:spacing w:val="-2"/>
          <w:sz w:val="22"/>
        </w:rPr>
        <w:t> </w:t>
      </w:r>
      <w:r>
        <w:rPr>
          <w:sz w:val="22"/>
        </w:rPr>
        <w:t>&amp;</w:t>
      </w:r>
      <w:r>
        <w:rPr>
          <w:spacing w:val="-4"/>
          <w:sz w:val="22"/>
        </w:rPr>
        <w:t> </w:t>
      </w:r>
      <w:r>
        <w:rPr>
          <w:sz w:val="22"/>
        </w:rPr>
        <w:t>Suriantata.</w:t>
      </w:r>
      <w:r>
        <w:rPr>
          <w:spacing w:val="-5"/>
          <w:sz w:val="22"/>
        </w:rPr>
        <w:t> </w:t>
      </w:r>
      <w:r>
        <w:rPr>
          <w:sz w:val="22"/>
        </w:rPr>
        <w:t>(1999).</w:t>
      </w:r>
      <w:r>
        <w:rPr>
          <w:spacing w:val="-2"/>
          <w:sz w:val="22"/>
        </w:rPr>
        <w:t> </w:t>
      </w:r>
      <w:r>
        <w:rPr>
          <w:sz w:val="22"/>
        </w:rPr>
        <w:t>Effects</w:t>
      </w:r>
      <w:r>
        <w:rPr>
          <w:spacing w:val="-4"/>
          <w:sz w:val="22"/>
        </w:rPr>
        <w:t> </w:t>
      </w:r>
      <w:r>
        <w:rPr>
          <w:sz w:val="22"/>
        </w:rPr>
        <w:t>of</w:t>
      </w:r>
      <w:r>
        <w:rPr>
          <w:spacing w:val="-5"/>
          <w:sz w:val="22"/>
        </w:rPr>
        <w:t> </w:t>
      </w:r>
      <w:r>
        <w:rPr>
          <w:sz w:val="22"/>
        </w:rPr>
        <w:t>nitrogen</w:t>
      </w:r>
      <w:r>
        <w:rPr>
          <w:spacing w:val="-2"/>
          <w:sz w:val="22"/>
        </w:rPr>
        <w:t> </w:t>
      </w:r>
      <w:r>
        <w:rPr>
          <w:sz w:val="22"/>
        </w:rPr>
        <w:t>and</w:t>
      </w:r>
      <w:r>
        <w:rPr>
          <w:spacing w:val="-6"/>
          <w:sz w:val="22"/>
        </w:rPr>
        <w:t> </w:t>
      </w:r>
      <w:r>
        <w:rPr>
          <w:sz w:val="22"/>
        </w:rPr>
        <w:t>phosphorus fertilization in a</w:t>
      </w:r>
      <w:r>
        <w:rPr>
          <w:spacing w:val="-2"/>
          <w:sz w:val="22"/>
        </w:rPr>
        <w:t> </w:t>
      </w:r>
      <w:r>
        <w:rPr>
          <w:sz w:val="22"/>
        </w:rPr>
        <w:t>lowland</w:t>
      </w:r>
      <w:r>
        <w:rPr>
          <w:spacing w:val="-4"/>
          <w:sz w:val="22"/>
        </w:rPr>
        <w:t> </w:t>
      </w:r>
      <w:r>
        <w:rPr>
          <w:sz w:val="22"/>
        </w:rPr>
        <w:t>evergreen</w:t>
      </w:r>
      <w:r>
        <w:rPr>
          <w:spacing w:val="-1"/>
          <w:sz w:val="22"/>
        </w:rPr>
        <w:t> </w:t>
      </w:r>
      <w:r>
        <w:rPr>
          <w:sz w:val="22"/>
        </w:rPr>
        <w:t>rainforest. </w:t>
      </w:r>
      <w:r>
        <w:rPr>
          <w:i/>
          <w:sz w:val="22"/>
        </w:rPr>
        <w:t>Philosophical</w:t>
      </w:r>
      <w:r>
        <w:rPr>
          <w:i/>
          <w:spacing w:val="-3"/>
          <w:sz w:val="22"/>
        </w:rPr>
        <w:t> </w:t>
      </w:r>
      <w:r>
        <w:rPr>
          <w:i/>
          <w:sz w:val="22"/>
        </w:rPr>
        <w:t>Transactions</w:t>
      </w:r>
      <w:r>
        <w:rPr>
          <w:i/>
          <w:spacing w:val="-3"/>
          <w:sz w:val="22"/>
        </w:rPr>
        <w:t> </w:t>
      </w:r>
      <w:r>
        <w:rPr>
          <w:i/>
          <w:sz w:val="22"/>
        </w:rPr>
        <w:t>of</w:t>
      </w:r>
      <w:r>
        <w:rPr>
          <w:i/>
          <w:spacing w:val="-3"/>
          <w:sz w:val="22"/>
        </w:rPr>
        <w:t> </w:t>
      </w:r>
      <w:r>
        <w:rPr>
          <w:i/>
          <w:sz w:val="22"/>
        </w:rPr>
        <w:t>the</w:t>
      </w:r>
      <w:r>
        <w:rPr>
          <w:i/>
          <w:spacing w:val="-1"/>
          <w:sz w:val="22"/>
        </w:rPr>
        <w:t> </w:t>
      </w:r>
      <w:r>
        <w:rPr>
          <w:i/>
          <w:sz w:val="22"/>
        </w:rPr>
        <w:t>Royal</w:t>
      </w:r>
      <w:r>
        <w:rPr>
          <w:i/>
          <w:spacing w:val="-3"/>
          <w:sz w:val="22"/>
        </w:rPr>
        <w:t> </w:t>
      </w:r>
      <w:r>
        <w:rPr>
          <w:i/>
          <w:sz w:val="22"/>
        </w:rPr>
        <w:t>Society</w:t>
      </w:r>
      <w:r>
        <w:rPr>
          <w:i/>
          <w:spacing w:val="-4"/>
          <w:sz w:val="22"/>
        </w:rPr>
        <w:t> </w:t>
      </w:r>
      <w:r>
        <w:rPr>
          <w:i/>
          <w:sz w:val="22"/>
        </w:rPr>
        <w:t>B: Biological Sciences</w:t>
      </w:r>
      <w:r>
        <w:rPr>
          <w:sz w:val="22"/>
        </w:rPr>
        <w:t>, </w:t>
      </w:r>
      <w:r>
        <w:rPr>
          <w:i/>
          <w:sz w:val="22"/>
        </w:rPr>
        <w:t>354</w:t>
      </w:r>
      <w:r>
        <w:rPr>
          <w:sz w:val="22"/>
        </w:rPr>
        <w:t>(1391), 1825–1829. </w:t>
      </w:r>
      <w:hyperlink r:id="rId65">
        <w:r>
          <w:rPr>
            <w:sz w:val="22"/>
          </w:rPr>
          <w:t>https://doi.org/10.1098/rstb.1999.0524</w:t>
        </w:r>
      </w:hyperlink>
    </w:p>
    <w:p>
      <w:pPr>
        <w:spacing w:before="160"/>
        <w:ind w:left="638" w:right="211" w:hanging="481"/>
        <w:jc w:val="left"/>
        <w:rPr>
          <w:sz w:val="22"/>
        </w:rPr>
      </w:pPr>
      <w:r>
        <w:rPr>
          <w:sz w:val="22"/>
        </w:rPr>
        <w:t>Myers, N., Mittermeler, R. A., Mittermeler, C. G., Da Fonseca, G. A. B., &amp; Kent, J. (2000). Biodiversity hotspots</w:t>
      </w:r>
      <w:r>
        <w:rPr>
          <w:spacing w:val="-7"/>
          <w:sz w:val="22"/>
        </w:rPr>
        <w:t> </w:t>
      </w:r>
      <w:r>
        <w:rPr>
          <w:sz w:val="22"/>
        </w:rPr>
        <w:t>for</w:t>
      </w:r>
      <w:r>
        <w:rPr>
          <w:spacing w:val="-6"/>
          <w:sz w:val="22"/>
        </w:rPr>
        <w:t> </w:t>
      </w:r>
      <w:r>
        <w:rPr>
          <w:sz w:val="22"/>
        </w:rPr>
        <w:t>conservation</w:t>
      </w:r>
      <w:r>
        <w:rPr>
          <w:spacing w:val="-8"/>
          <w:sz w:val="22"/>
        </w:rPr>
        <w:t> </w:t>
      </w:r>
      <w:r>
        <w:rPr>
          <w:sz w:val="22"/>
        </w:rPr>
        <w:t>priorities.</w:t>
      </w:r>
      <w:r>
        <w:rPr>
          <w:spacing w:val="-5"/>
          <w:sz w:val="22"/>
        </w:rPr>
        <w:t> </w:t>
      </w:r>
      <w:r>
        <w:rPr>
          <w:i/>
          <w:sz w:val="22"/>
        </w:rPr>
        <w:t>Nature</w:t>
      </w:r>
      <w:r>
        <w:rPr>
          <w:sz w:val="22"/>
        </w:rPr>
        <w:t>,</w:t>
      </w:r>
      <w:r>
        <w:rPr>
          <w:spacing w:val="-5"/>
          <w:sz w:val="22"/>
        </w:rPr>
        <w:t> </w:t>
      </w:r>
      <w:r>
        <w:rPr>
          <w:i/>
          <w:sz w:val="22"/>
        </w:rPr>
        <w:t>403</w:t>
      </w:r>
      <w:r>
        <w:rPr>
          <w:sz w:val="22"/>
        </w:rPr>
        <w:t>(6772),</w:t>
      </w:r>
      <w:r>
        <w:rPr>
          <w:spacing w:val="-5"/>
          <w:sz w:val="22"/>
        </w:rPr>
        <w:t> </w:t>
      </w:r>
      <w:r>
        <w:rPr>
          <w:sz w:val="22"/>
        </w:rPr>
        <w:t>853–858.</w:t>
      </w:r>
      <w:r>
        <w:rPr>
          <w:spacing w:val="-6"/>
          <w:sz w:val="22"/>
        </w:rPr>
        <w:t> </w:t>
      </w:r>
      <w:hyperlink r:id="rId66">
        <w:r>
          <w:rPr>
            <w:sz w:val="22"/>
          </w:rPr>
          <w:t>https://doi.org/10.1038/35002501</w:t>
        </w:r>
      </w:hyperlink>
    </w:p>
    <w:p>
      <w:pPr>
        <w:spacing w:before="161"/>
        <w:ind w:left="638" w:right="2668" w:hanging="481"/>
        <w:jc w:val="left"/>
        <w:rPr>
          <w:sz w:val="22"/>
        </w:rPr>
      </w:pPr>
      <w:r>
        <w:rPr>
          <w:sz w:val="22"/>
        </w:rPr>
        <w:t>Nock,</w:t>
      </w:r>
      <w:r>
        <w:rPr>
          <w:spacing w:val="-2"/>
          <w:sz w:val="22"/>
        </w:rPr>
        <w:t> </w:t>
      </w:r>
      <w:r>
        <w:rPr>
          <w:sz w:val="22"/>
        </w:rPr>
        <w:t>C.</w:t>
      </w:r>
      <w:r>
        <w:rPr>
          <w:spacing w:val="-1"/>
          <w:sz w:val="22"/>
        </w:rPr>
        <w:t> </w:t>
      </w:r>
      <w:r>
        <w:rPr>
          <w:sz w:val="22"/>
        </w:rPr>
        <w:t>A.,</w:t>
      </w:r>
      <w:r>
        <w:rPr>
          <w:spacing w:val="-4"/>
          <w:sz w:val="22"/>
        </w:rPr>
        <w:t> </w:t>
      </w:r>
      <w:r>
        <w:rPr>
          <w:sz w:val="22"/>
        </w:rPr>
        <w:t>Vogt,</w:t>
      </w:r>
      <w:r>
        <w:rPr>
          <w:spacing w:val="-1"/>
          <w:sz w:val="22"/>
        </w:rPr>
        <w:t> </w:t>
      </w:r>
      <w:r>
        <w:rPr>
          <w:sz w:val="22"/>
        </w:rPr>
        <w:t>R.</w:t>
      </w:r>
      <w:r>
        <w:rPr>
          <w:spacing w:val="-4"/>
          <w:sz w:val="22"/>
        </w:rPr>
        <w:t> </w:t>
      </w:r>
      <w:r>
        <w:rPr>
          <w:sz w:val="22"/>
        </w:rPr>
        <w:t>J.,</w:t>
      </w:r>
      <w:r>
        <w:rPr>
          <w:spacing w:val="-1"/>
          <w:sz w:val="22"/>
        </w:rPr>
        <w:t> </w:t>
      </w:r>
      <w:r>
        <w:rPr>
          <w:sz w:val="22"/>
        </w:rPr>
        <w:t>&amp;</w:t>
      </w:r>
      <w:r>
        <w:rPr>
          <w:spacing w:val="-6"/>
          <w:sz w:val="22"/>
        </w:rPr>
        <w:t> </w:t>
      </w:r>
      <w:r>
        <w:rPr>
          <w:sz w:val="22"/>
        </w:rPr>
        <w:t>Beisner,</w:t>
      </w:r>
      <w:r>
        <w:rPr>
          <w:spacing w:val="-4"/>
          <w:sz w:val="22"/>
        </w:rPr>
        <w:t> </w:t>
      </w:r>
      <w:r>
        <w:rPr>
          <w:sz w:val="22"/>
        </w:rPr>
        <w:t>B.</w:t>
      </w:r>
      <w:r>
        <w:rPr>
          <w:spacing w:val="-1"/>
          <w:sz w:val="22"/>
        </w:rPr>
        <w:t> </w:t>
      </w:r>
      <w:r>
        <w:rPr>
          <w:sz w:val="22"/>
        </w:rPr>
        <w:t>E.</w:t>
      </w:r>
      <w:r>
        <w:rPr>
          <w:spacing w:val="-1"/>
          <w:sz w:val="22"/>
        </w:rPr>
        <w:t> </w:t>
      </w:r>
      <w:r>
        <w:rPr>
          <w:sz w:val="22"/>
        </w:rPr>
        <w:t>(2016).</w:t>
      </w:r>
      <w:r>
        <w:rPr>
          <w:spacing w:val="-4"/>
          <w:sz w:val="22"/>
        </w:rPr>
        <w:t> </w:t>
      </w:r>
      <w:r>
        <w:rPr>
          <w:sz w:val="22"/>
        </w:rPr>
        <w:t>Functional</w:t>
      </w:r>
      <w:r>
        <w:rPr>
          <w:spacing w:val="-2"/>
          <w:sz w:val="22"/>
        </w:rPr>
        <w:t> </w:t>
      </w:r>
      <w:r>
        <w:rPr>
          <w:sz w:val="22"/>
        </w:rPr>
        <w:t>Traits.</w:t>
      </w:r>
      <w:r>
        <w:rPr>
          <w:spacing w:val="-2"/>
          <w:sz w:val="22"/>
        </w:rPr>
        <w:t> </w:t>
      </w:r>
      <w:r>
        <w:rPr>
          <w:sz w:val="22"/>
        </w:rPr>
        <w:t>In </w:t>
      </w:r>
      <w:r>
        <w:rPr>
          <w:i/>
          <w:sz w:val="22"/>
        </w:rPr>
        <w:t>eLS </w:t>
      </w:r>
      <w:r>
        <w:rPr>
          <w:sz w:val="22"/>
        </w:rPr>
        <w:t>(pp.</w:t>
      </w:r>
      <w:r>
        <w:rPr>
          <w:spacing w:val="-4"/>
          <w:sz w:val="22"/>
        </w:rPr>
        <w:t> </w:t>
      </w:r>
      <w:r>
        <w:rPr>
          <w:sz w:val="22"/>
        </w:rPr>
        <w:t>1–8). </w:t>
      </w:r>
      <w:hyperlink r:id="rId67">
        <w:r>
          <w:rPr>
            <w:spacing w:val="-2"/>
            <w:sz w:val="22"/>
          </w:rPr>
          <w:t>https://doi.org/10.1002/9780470015902.a0026282</w:t>
        </w:r>
      </w:hyperlink>
    </w:p>
    <w:p>
      <w:pPr>
        <w:spacing w:before="159"/>
        <w:ind w:left="638" w:right="238" w:hanging="481"/>
        <w:jc w:val="left"/>
        <w:rPr>
          <w:sz w:val="22"/>
        </w:rPr>
      </w:pPr>
      <w:r>
        <w:rPr>
          <w:sz w:val="22"/>
        </w:rPr>
        <w:t>Phoenix,</w:t>
      </w:r>
      <w:r>
        <w:rPr>
          <w:spacing w:val="-2"/>
          <w:sz w:val="22"/>
        </w:rPr>
        <w:t> </w:t>
      </w:r>
      <w:r>
        <w:rPr>
          <w:sz w:val="22"/>
        </w:rPr>
        <w:t>G. K.,</w:t>
      </w:r>
      <w:r>
        <w:rPr>
          <w:spacing w:val="-2"/>
          <w:sz w:val="22"/>
        </w:rPr>
        <w:t> </w:t>
      </w:r>
      <w:r>
        <w:rPr>
          <w:sz w:val="22"/>
        </w:rPr>
        <w:t>Hicks, W.</w:t>
      </w:r>
      <w:r>
        <w:rPr>
          <w:spacing w:val="-2"/>
          <w:sz w:val="22"/>
        </w:rPr>
        <w:t> </w:t>
      </w:r>
      <w:r>
        <w:rPr>
          <w:sz w:val="22"/>
        </w:rPr>
        <w:t>K., Cinderby, S.,</w:t>
      </w:r>
      <w:r>
        <w:rPr>
          <w:spacing w:val="-2"/>
          <w:sz w:val="22"/>
        </w:rPr>
        <w:t> </w:t>
      </w:r>
      <w:r>
        <w:rPr>
          <w:sz w:val="22"/>
        </w:rPr>
        <w:t>Kuylenstierna, J. C. I.,</w:t>
      </w:r>
      <w:r>
        <w:rPr>
          <w:spacing w:val="-2"/>
          <w:sz w:val="22"/>
        </w:rPr>
        <w:t> </w:t>
      </w:r>
      <w:r>
        <w:rPr>
          <w:sz w:val="22"/>
        </w:rPr>
        <w:t>Stock,</w:t>
      </w:r>
      <w:r>
        <w:rPr>
          <w:spacing w:val="-2"/>
          <w:sz w:val="22"/>
        </w:rPr>
        <w:t> </w:t>
      </w:r>
      <w:r>
        <w:rPr>
          <w:sz w:val="22"/>
        </w:rPr>
        <w:t>W.</w:t>
      </w:r>
      <w:r>
        <w:rPr>
          <w:spacing w:val="-2"/>
          <w:sz w:val="22"/>
        </w:rPr>
        <w:t> </w:t>
      </w:r>
      <w:r>
        <w:rPr>
          <w:sz w:val="22"/>
        </w:rPr>
        <w:t>D., Dentener,</w:t>
      </w:r>
      <w:r>
        <w:rPr>
          <w:spacing w:val="-2"/>
          <w:sz w:val="22"/>
        </w:rPr>
        <w:t> </w:t>
      </w:r>
      <w:r>
        <w:rPr>
          <w:sz w:val="22"/>
        </w:rPr>
        <w:t>F. J., …</w:t>
      </w:r>
      <w:r>
        <w:rPr>
          <w:spacing w:val="-1"/>
          <w:sz w:val="22"/>
        </w:rPr>
        <w:t> </w:t>
      </w:r>
      <w:r>
        <w:rPr>
          <w:sz w:val="22"/>
        </w:rPr>
        <w:t>Ineson, P. (2006).</w:t>
      </w:r>
      <w:r>
        <w:rPr>
          <w:spacing w:val="-2"/>
          <w:sz w:val="22"/>
        </w:rPr>
        <w:t> </w:t>
      </w:r>
      <w:r>
        <w:rPr>
          <w:sz w:val="22"/>
        </w:rPr>
        <w:t>Atmospheric</w:t>
      </w:r>
      <w:r>
        <w:rPr>
          <w:spacing w:val="-4"/>
          <w:sz w:val="22"/>
        </w:rPr>
        <w:t> </w:t>
      </w:r>
      <w:r>
        <w:rPr>
          <w:sz w:val="22"/>
        </w:rPr>
        <w:t>nitrogen</w:t>
      </w:r>
      <w:r>
        <w:rPr>
          <w:spacing w:val="-2"/>
          <w:sz w:val="22"/>
        </w:rPr>
        <w:t> </w:t>
      </w:r>
      <w:r>
        <w:rPr>
          <w:sz w:val="22"/>
        </w:rPr>
        <w:t>deposition</w:t>
      </w:r>
      <w:r>
        <w:rPr>
          <w:spacing w:val="-2"/>
          <w:sz w:val="22"/>
        </w:rPr>
        <w:t> </w:t>
      </w:r>
      <w:r>
        <w:rPr>
          <w:sz w:val="22"/>
        </w:rPr>
        <w:t>in</w:t>
      </w:r>
      <w:r>
        <w:rPr>
          <w:spacing w:val="-3"/>
          <w:sz w:val="22"/>
        </w:rPr>
        <w:t> </w:t>
      </w:r>
      <w:r>
        <w:rPr>
          <w:sz w:val="22"/>
        </w:rPr>
        <w:t>world</w:t>
      </w:r>
      <w:r>
        <w:rPr>
          <w:spacing w:val="-6"/>
          <w:sz w:val="22"/>
        </w:rPr>
        <w:t> </w:t>
      </w:r>
      <w:r>
        <w:rPr>
          <w:sz w:val="22"/>
        </w:rPr>
        <w:t>biodiversity</w:t>
      </w:r>
      <w:r>
        <w:rPr>
          <w:spacing w:val="-4"/>
          <w:sz w:val="22"/>
        </w:rPr>
        <w:t> </w:t>
      </w:r>
      <w:r>
        <w:rPr>
          <w:sz w:val="22"/>
        </w:rPr>
        <w:t>hotspots:</w:t>
      </w:r>
      <w:r>
        <w:rPr>
          <w:spacing w:val="-2"/>
          <w:sz w:val="22"/>
        </w:rPr>
        <w:t> </w:t>
      </w:r>
      <w:r>
        <w:rPr>
          <w:sz w:val="22"/>
        </w:rPr>
        <w:t>The</w:t>
      </w:r>
      <w:r>
        <w:rPr>
          <w:spacing w:val="-3"/>
          <w:sz w:val="22"/>
        </w:rPr>
        <w:t> </w:t>
      </w:r>
      <w:r>
        <w:rPr>
          <w:sz w:val="22"/>
        </w:rPr>
        <w:t>need</w:t>
      </w:r>
      <w:r>
        <w:rPr>
          <w:spacing w:val="-4"/>
          <w:sz w:val="22"/>
        </w:rPr>
        <w:t> </w:t>
      </w:r>
      <w:r>
        <w:rPr>
          <w:sz w:val="22"/>
        </w:rPr>
        <w:t>for</w:t>
      </w:r>
      <w:r>
        <w:rPr>
          <w:spacing w:val="-3"/>
          <w:sz w:val="22"/>
        </w:rPr>
        <w:t> </w:t>
      </w:r>
      <w:r>
        <w:rPr>
          <w:sz w:val="22"/>
        </w:rPr>
        <w:t>a</w:t>
      </w:r>
      <w:r>
        <w:rPr>
          <w:spacing w:val="-4"/>
          <w:sz w:val="22"/>
        </w:rPr>
        <w:t> </w:t>
      </w:r>
      <w:r>
        <w:rPr>
          <w:sz w:val="22"/>
        </w:rPr>
        <w:t>greater</w:t>
      </w:r>
      <w:r>
        <w:rPr>
          <w:spacing w:val="-4"/>
          <w:sz w:val="22"/>
        </w:rPr>
        <w:t> </w:t>
      </w:r>
      <w:r>
        <w:rPr>
          <w:sz w:val="22"/>
        </w:rPr>
        <w:t>global perspective in assessing N deposition impacts. </w:t>
      </w:r>
      <w:r>
        <w:rPr>
          <w:i/>
          <w:sz w:val="22"/>
        </w:rPr>
        <w:t>Global Change Biology</w:t>
      </w:r>
      <w:r>
        <w:rPr>
          <w:sz w:val="22"/>
        </w:rPr>
        <w:t>, </w:t>
      </w:r>
      <w:r>
        <w:rPr>
          <w:i/>
          <w:sz w:val="22"/>
        </w:rPr>
        <w:t>12</w:t>
      </w:r>
      <w:r>
        <w:rPr>
          <w:sz w:val="22"/>
        </w:rPr>
        <w:t>(3), 470–476. </w:t>
      </w:r>
      <w:hyperlink r:id="rId68">
        <w:r>
          <w:rPr>
            <w:spacing w:val="-2"/>
            <w:sz w:val="22"/>
          </w:rPr>
          <w:t>https://doi.org/10.1111/j.1365-2486.2006.01104.x</w:t>
        </w:r>
      </w:hyperlink>
    </w:p>
    <w:p>
      <w:pPr>
        <w:spacing w:after="0"/>
        <w:jc w:val="left"/>
        <w:rPr>
          <w:sz w:val="22"/>
        </w:rPr>
        <w:sectPr>
          <w:pgSz w:w="12240" w:h="15840"/>
          <w:pgMar w:header="0" w:footer="1012" w:top="1220" w:bottom="1200" w:left="850" w:right="850"/>
        </w:sectPr>
      </w:pPr>
    </w:p>
    <w:p>
      <w:pPr>
        <w:spacing w:before="37"/>
        <w:ind w:left="638" w:right="0" w:hanging="481"/>
        <w:jc w:val="left"/>
        <w:rPr>
          <w:sz w:val="22"/>
        </w:rPr>
      </w:pPr>
      <w:r>
        <w:rPr>
          <w:sz w:val="22"/>
        </w:rPr>
        <w:t>Pierick, K., Leuschner, C., &amp; Homeier, J. (2021). Topography as a factor driving small-scale variation in tree fine</w:t>
      </w:r>
      <w:r>
        <w:rPr>
          <w:spacing w:val="-3"/>
          <w:sz w:val="22"/>
        </w:rPr>
        <w:t> </w:t>
      </w:r>
      <w:r>
        <w:rPr>
          <w:sz w:val="22"/>
        </w:rPr>
        <w:t>root</w:t>
      </w:r>
      <w:r>
        <w:rPr>
          <w:spacing w:val="-2"/>
          <w:sz w:val="22"/>
        </w:rPr>
        <w:t> </w:t>
      </w:r>
      <w:r>
        <w:rPr>
          <w:sz w:val="22"/>
        </w:rPr>
        <w:t>traits</w:t>
      </w:r>
      <w:r>
        <w:rPr>
          <w:spacing w:val="-4"/>
          <w:sz w:val="22"/>
        </w:rPr>
        <w:t> </w:t>
      </w:r>
      <w:r>
        <w:rPr>
          <w:sz w:val="22"/>
        </w:rPr>
        <w:t>and</w:t>
      </w:r>
      <w:r>
        <w:rPr>
          <w:spacing w:val="-3"/>
          <w:sz w:val="22"/>
        </w:rPr>
        <w:t> </w:t>
      </w:r>
      <w:r>
        <w:rPr>
          <w:sz w:val="22"/>
        </w:rPr>
        <w:t>root</w:t>
      </w:r>
      <w:r>
        <w:rPr>
          <w:spacing w:val="-2"/>
          <w:sz w:val="22"/>
        </w:rPr>
        <w:t> </w:t>
      </w:r>
      <w:r>
        <w:rPr>
          <w:sz w:val="22"/>
        </w:rPr>
        <w:t>functional</w:t>
      </w:r>
      <w:r>
        <w:rPr>
          <w:spacing w:val="-3"/>
          <w:sz w:val="22"/>
        </w:rPr>
        <w:t> </w:t>
      </w:r>
      <w:r>
        <w:rPr>
          <w:sz w:val="22"/>
        </w:rPr>
        <w:t>diversity</w:t>
      </w:r>
      <w:r>
        <w:rPr>
          <w:spacing w:val="-4"/>
          <w:sz w:val="22"/>
        </w:rPr>
        <w:t> </w:t>
      </w:r>
      <w:r>
        <w:rPr>
          <w:sz w:val="22"/>
        </w:rPr>
        <w:t>in</w:t>
      </w:r>
      <w:r>
        <w:rPr>
          <w:spacing w:val="-2"/>
          <w:sz w:val="22"/>
        </w:rPr>
        <w:t> </w:t>
      </w:r>
      <w:r>
        <w:rPr>
          <w:sz w:val="22"/>
        </w:rPr>
        <w:t>a</w:t>
      </w:r>
      <w:r>
        <w:rPr>
          <w:spacing w:val="-4"/>
          <w:sz w:val="22"/>
        </w:rPr>
        <w:t> </w:t>
      </w:r>
      <w:r>
        <w:rPr>
          <w:sz w:val="22"/>
        </w:rPr>
        <w:t>species-rich</w:t>
      </w:r>
      <w:r>
        <w:rPr>
          <w:spacing w:val="-4"/>
          <w:sz w:val="22"/>
        </w:rPr>
        <w:t> </w:t>
      </w:r>
      <w:r>
        <w:rPr>
          <w:sz w:val="22"/>
        </w:rPr>
        <w:t>tropical</w:t>
      </w:r>
      <w:r>
        <w:rPr>
          <w:spacing w:val="-6"/>
          <w:sz w:val="22"/>
        </w:rPr>
        <w:t> </w:t>
      </w:r>
      <w:r>
        <w:rPr>
          <w:sz w:val="22"/>
        </w:rPr>
        <w:t>montane</w:t>
      </w:r>
      <w:r>
        <w:rPr>
          <w:spacing w:val="-3"/>
          <w:sz w:val="22"/>
        </w:rPr>
        <w:t> </w:t>
      </w:r>
      <w:r>
        <w:rPr>
          <w:sz w:val="22"/>
        </w:rPr>
        <w:t>forest.</w:t>
      </w:r>
      <w:r>
        <w:rPr>
          <w:spacing w:val="-1"/>
          <w:sz w:val="22"/>
        </w:rPr>
        <w:t> </w:t>
      </w:r>
      <w:r>
        <w:rPr>
          <w:i/>
          <w:sz w:val="22"/>
        </w:rPr>
        <w:t>New</w:t>
      </w:r>
      <w:r>
        <w:rPr>
          <w:i/>
          <w:spacing w:val="-4"/>
          <w:sz w:val="22"/>
        </w:rPr>
        <w:t> </w:t>
      </w:r>
      <w:r>
        <w:rPr>
          <w:i/>
          <w:sz w:val="22"/>
        </w:rPr>
        <w:t>Phytologist</w:t>
      </w:r>
      <w:r>
        <w:rPr>
          <w:sz w:val="22"/>
        </w:rPr>
        <w:t>, </w:t>
      </w:r>
      <w:r>
        <w:rPr>
          <w:i/>
          <w:sz w:val="22"/>
        </w:rPr>
        <w:t>230</w:t>
      </w:r>
      <w:r>
        <w:rPr>
          <w:sz w:val="22"/>
        </w:rPr>
        <w:t>, 129–138. </w:t>
      </w:r>
      <w:hyperlink r:id="rId69">
        <w:r>
          <w:rPr>
            <w:sz w:val="22"/>
          </w:rPr>
          <w:t>https://doi.org/10.1111/nph.17136</w:t>
        </w:r>
      </w:hyperlink>
    </w:p>
    <w:p>
      <w:pPr>
        <w:spacing w:before="159"/>
        <w:ind w:left="638" w:right="352" w:hanging="481"/>
        <w:jc w:val="left"/>
        <w:rPr>
          <w:sz w:val="22"/>
        </w:rPr>
      </w:pPr>
      <w:r>
        <w:rPr>
          <w:sz w:val="22"/>
        </w:rPr>
        <w:t>Pohle,</w:t>
      </w:r>
      <w:r>
        <w:rPr>
          <w:spacing w:val="-5"/>
          <w:sz w:val="22"/>
        </w:rPr>
        <w:t> </w:t>
      </w:r>
      <w:r>
        <w:rPr>
          <w:sz w:val="22"/>
        </w:rPr>
        <w:t>P.,</w:t>
      </w:r>
      <w:r>
        <w:rPr>
          <w:spacing w:val="-2"/>
          <w:sz w:val="22"/>
        </w:rPr>
        <w:t> </w:t>
      </w:r>
      <w:r>
        <w:rPr>
          <w:sz w:val="22"/>
        </w:rPr>
        <w:t>Gerique,</w:t>
      </w:r>
      <w:r>
        <w:rPr>
          <w:spacing w:val="-2"/>
          <w:sz w:val="22"/>
        </w:rPr>
        <w:t> </w:t>
      </w:r>
      <w:r>
        <w:rPr>
          <w:sz w:val="22"/>
        </w:rPr>
        <w:t>A.,</w:t>
      </w:r>
      <w:r>
        <w:rPr>
          <w:spacing w:val="-2"/>
          <w:sz w:val="22"/>
        </w:rPr>
        <w:t> </w:t>
      </w:r>
      <w:r>
        <w:rPr>
          <w:sz w:val="22"/>
        </w:rPr>
        <w:t>López,</w:t>
      </w:r>
      <w:r>
        <w:rPr>
          <w:spacing w:val="-3"/>
          <w:sz w:val="22"/>
        </w:rPr>
        <w:t> </w:t>
      </w:r>
      <w:r>
        <w:rPr>
          <w:sz w:val="22"/>
        </w:rPr>
        <w:t>M.</w:t>
      </w:r>
      <w:r>
        <w:rPr>
          <w:spacing w:val="-2"/>
          <w:sz w:val="22"/>
        </w:rPr>
        <w:t> </w:t>
      </w:r>
      <w:r>
        <w:rPr>
          <w:sz w:val="22"/>
        </w:rPr>
        <w:t>F.,</w:t>
      </w:r>
      <w:r>
        <w:rPr>
          <w:spacing w:val="-2"/>
          <w:sz w:val="22"/>
        </w:rPr>
        <w:t> </w:t>
      </w:r>
      <w:r>
        <w:rPr>
          <w:sz w:val="22"/>
        </w:rPr>
        <w:t>&amp;</w:t>
      </w:r>
      <w:r>
        <w:rPr>
          <w:spacing w:val="-4"/>
          <w:sz w:val="22"/>
        </w:rPr>
        <w:t> </w:t>
      </w:r>
      <w:r>
        <w:rPr>
          <w:sz w:val="22"/>
        </w:rPr>
        <w:t>Spohner,</w:t>
      </w:r>
      <w:r>
        <w:rPr>
          <w:spacing w:val="-2"/>
          <w:sz w:val="22"/>
        </w:rPr>
        <w:t> </w:t>
      </w:r>
      <w:r>
        <w:rPr>
          <w:sz w:val="22"/>
        </w:rPr>
        <w:t>R.</w:t>
      </w:r>
      <w:r>
        <w:rPr>
          <w:spacing w:val="-5"/>
          <w:sz w:val="22"/>
        </w:rPr>
        <w:t> </w:t>
      </w:r>
      <w:r>
        <w:rPr>
          <w:sz w:val="22"/>
        </w:rPr>
        <w:t>(2013).</w:t>
      </w:r>
      <w:r>
        <w:rPr>
          <w:spacing w:val="-2"/>
          <w:sz w:val="22"/>
        </w:rPr>
        <w:t> </w:t>
      </w:r>
      <w:r>
        <w:rPr>
          <w:sz w:val="22"/>
        </w:rPr>
        <w:t>Current</w:t>
      </w:r>
      <w:r>
        <w:rPr>
          <w:spacing w:val="-2"/>
          <w:sz w:val="22"/>
        </w:rPr>
        <w:t> </w:t>
      </w:r>
      <w:r>
        <w:rPr>
          <w:sz w:val="22"/>
        </w:rPr>
        <w:t>Provisioning</w:t>
      </w:r>
      <w:r>
        <w:rPr>
          <w:spacing w:val="-3"/>
          <w:sz w:val="22"/>
        </w:rPr>
        <w:t> </w:t>
      </w:r>
      <w:r>
        <w:rPr>
          <w:sz w:val="22"/>
        </w:rPr>
        <w:t>Ecosystem</w:t>
      </w:r>
      <w:r>
        <w:rPr>
          <w:spacing w:val="-3"/>
          <w:sz w:val="22"/>
        </w:rPr>
        <w:t> </w:t>
      </w:r>
      <w:r>
        <w:rPr>
          <w:sz w:val="22"/>
        </w:rPr>
        <w:t>Services</w:t>
      </w:r>
      <w:r>
        <w:rPr>
          <w:spacing w:val="-4"/>
          <w:sz w:val="22"/>
        </w:rPr>
        <w:t> </w:t>
      </w:r>
      <w:r>
        <w:rPr>
          <w:sz w:val="22"/>
        </w:rPr>
        <w:t>for</w:t>
      </w:r>
      <w:r>
        <w:rPr>
          <w:spacing w:val="-6"/>
          <w:sz w:val="22"/>
        </w:rPr>
        <w:t> </w:t>
      </w:r>
      <w:r>
        <w:rPr>
          <w:sz w:val="22"/>
        </w:rPr>
        <w:t>the Local Population: Landscape Transformation, Land Use, and Plant Use. In </w:t>
      </w:r>
      <w:r>
        <w:rPr>
          <w:i/>
          <w:sz w:val="22"/>
        </w:rPr>
        <w:t>Ecosystem Services, Biodiversity</w:t>
      </w:r>
      <w:r>
        <w:rPr>
          <w:i/>
          <w:spacing w:val="-1"/>
          <w:sz w:val="22"/>
        </w:rPr>
        <w:t> </w:t>
      </w:r>
      <w:r>
        <w:rPr>
          <w:i/>
          <w:sz w:val="22"/>
        </w:rPr>
        <w:t>and</w:t>
      </w:r>
      <w:r>
        <w:rPr>
          <w:i/>
          <w:spacing w:val="-2"/>
          <w:sz w:val="22"/>
        </w:rPr>
        <w:t> </w:t>
      </w:r>
      <w:r>
        <w:rPr>
          <w:i/>
          <w:sz w:val="22"/>
        </w:rPr>
        <w:t>Environmental Change in</w:t>
      </w:r>
      <w:r>
        <w:rPr>
          <w:i/>
          <w:spacing w:val="-2"/>
          <w:sz w:val="22"/>
        </w:rPr>
        <w:t> </w:t>
      </w:r>
      <w:r>
        <w:rPr>
          <w:i/>
          <w:sz w:val="22"/>
        </w:rPr>
        <w:t>a</w:t>
      </w:r>
      <w:r>
        <w:rPr>
          <w:i/>
          <w:spacing w:val="-4"/>
          <w:sz w:val="22"/>
        </w:rPr>
        <w:t> </w:t>
      </w:r>
      <w:r>
        <w:rPr>
          <w:i/>
          <w:sz w:val="22"/>
        </w:rPr>
        <w:t>Tropical Mountain</w:t>
      </w:r>
      <w:r>
        <w:rPr>
          <w:i/>
          <w:spacing w:val="-2"/>
          <w:sz w:val="22"/>
        </w:rPr>
        <w:t> </w:t>
      </w:r>
      <w:r>
        <w:rPr>
          <w:i/>
          <w:sz w:val="22"/>
        </w:rPr>
        <w:t>Ecosystem</w:t>
      </w:r>
      <w:r>
        <w:rPr>
          <w:i/>
          <w:spacing w:val="-2"/>
          <w:sz w:val="22"/>
        </w:rPr>
        <w:t> </w:t>
      </w:r>
      <w:r>
        <w:rPr>
          <w:i/>
          <w:sz w:val="22"/>
        </w:rPr>
        <w:t>of South Ecuador </w:t>
      </w:r>
      <w:r>
        <w:rPr>
          <w:sz w:val="22"/>
        </w:rPr>
        <w:t>(pp.</w:t>
      </w:r>
      <w:r>
        <w:rPr>
          <w:spacing w:val="-3"/>
          <w:sz w:val="22"/>
        </w:rPr>
        <w:t> </w:t>
      </w:r>
      <w:r>
        <w:rPr>
          <w:sz w:val="22"/>
        </w:rPr>
        <w:t>219–234). </w:t>
      </w:r>
      <w:hyperlink r:id="rId70">
        <w:r>
          <w:rPr>
            <w:sz w:val="22"/>
          </w:rPr>
          <w:t>https://doi.org/10.1007/978-3-642-38137-9_16</w:t>
        </w:r>
      </w:hyperlink>
    </w:p>
    <w:p>
      <w:pPr>
        <w:spacing w:before="160"/>
        <w:ind w:left="157" w:right="0" w:firstLine="0"/>
        <w:jc w:val="left"/>
        <w:rPr>
          <w:sz w:val="22"/>
        </w:rPr>
      </w:pPr>
      <w:r>
        <w:rPr>
          <w:sz w:val="22"/>
        </w:rPr>
        <w:t>Poorter,</w:t>
      </w:r>
      <w:r>
        <w:rPr>
          <w:spacing w:val="-5"/>
          <w:sz w:val="22"/>
        </w:rPr>
        <w:t> </w:t>
      </w:r>
      <w:r>
        <w:rPr>
          <w:sz w:val="22"/>
        </w:rPr>
        <w:t>L.,</w:t>
      </w:r>
      <w:r>
        <w:rPr>
          <w:spacing w:val="-2"/>
          <w:sz w:val="22"/>
        </w:rPr>
        <w:t> </w:t>
      </w:r>
      <w:r>
        <w:rPr>
          <w:sz w:val="22"/>
        </w:rPr>
        <w:t>McDonald,</w:t>
      </w:r>
      <w:r>
        <w:rPr>
          <w:spacing w:val="-4"/>
          <w:sz w:val="22"/>
        </w:rPr>
        <w:t> </w:t>
      </w:r>
      <w:r>
        <w:rPr>
          <w:sz w:val="22"/>
        </w:rPr>
        <w:t>I.,</w:t>
      </w:r>
      <w:r>
        <w:rPr>
          <w:spacing w:val="-5"/>
          <w:sz w:val="22"/>
        </w:rPr>
        <w:t> </w:t>
      </w:r>
      <w:r>
        <w:rPr>
          <w:sz w:val="22"/>
        </w:rPr>
        <w:t>Alarcón,</w:t>
      </w:r>
      <w:r>
        <w:rPr>
          <w:spacing w:val="-3"/>
          <w:sz w:val="22"/>
        </w:rPr>
        <w:t> </w:t>
      </w:r>
      <w:r>
        <w:rPr>
          <w:sz w:val="22"/>
        </w:rPr>
        <w:t>A.,</w:t>
      </w:r>
      <w:r>
        <w:rPr>
          <w:spacing w:val="-2"/>
          <w:sz w:val="22"/>
        </w:rPr>
        <w:t> </w:t>
      </w:r>
      <w:r>
        <w:rPr>
          <w:sz w:val="22"/>
        </w:rPr>
        <w:t>Fichtler,</w:t>
      </w:r>
      <w:r>
        <w:rPr>
          <w:spacing w:val="-3"/>
          <w:sz w:val="22"/>
        </w:rPr>
        <w:t> </w:t>
      </w:r>
      <w:r>
        <w:rPr>
          <w:sz w:val="22"/>
        </w:rPr>
        <w:t>E.,</w:t>
      </w:r>
      <w:r>
        <w:rPr>
          <w:spacing w:val="-6"/>
          <w:sz w:val="22"/>
        </w:rPr>
        <w:t> </w:t>
      </w:r>
      <w:r>
        <w:rPr>
          <w:sz w:val="22"/>
        </w:rPr>
        <w:t>Licona,</w:t>
      </w:r>
      <w:r>
        <w:rPr>
          <w:spacing w:val="-5"/>
          <w:sz w:val="22"/>
        </w:rPr>
        <w:t> </w:t>
      </w:r>
      <w:r>
        <w:rPr>
          <w:sz w:val="22"/>
        </w:rPr>
        <w:t>J.</w:t>
      </w:r>
      <w:r>
        <w:rPr>
          <w:spacing w:val="-5"/>
          <w:sz w:val="22"/>
        </w:rPr>
        <w:t> </w:t>
      </w:r>
      <w:r>
        <w:rPr>
          <w:sz w:val="22"/>
        </w:rPr>
        <w:t>C.,</w:t>
      </w:r>
      <w:r>
        <w:rPr>
          <w:spacing w:val="-3"/>
          <w:sz w:val="22"/>
        </w:rPr>
        <w:t> </w:t>
      </w:r>
      <w:r>
        <w:rPr>
          <w:sz w:val="22"/>
        </w:rPr>
        <w:t>Peña-Claros,</w:t>
      </w:r>
      <w:r>
        <w:rPr>
          <w:spacing w:val="-5"/>
          <w:sz w:val="22"/>
        </w:rPr>
        <w:t> </w:t>
      </w:r>
      <w:r>
        <w:rPr>
          <w:sz w:val="22"/>
        </w:rPr>
        <w:t>M.,</w:t>
      </w:r>
      <w:r>
        <w:rPr>
          <w:spacing w:val="-2"/>
          <w:sz w:val="22"/>
        </w:rPr>
        <w:t> </w:t>
      </w:r>
      <w:r>
        <w:rPr>
          <w:sz w:val="22"/>
        </w:rPr>
        <w:t>…</w:t>
      </w:r>
      <w:r>
        <w:rPr>
          <w:spacing w:val="-5"/>
          <w:sz w:val="22"/>
        </w:rPr>
        <w:t> </w:t>
      </w:r>
      <w:r>
        <w:rPr>
          <w:sz w:val="22"/>
        </w:rPr>
        <w:t>Sass-Klaassen,</w:t>
      </w:r>
      <w:r>
        <w:rPr>
          <w:spacing w:val="-2"/>
          <w:sz w:val="22"/>
        </w:rPr>
        <w:t> </w:t>
      </w:r>
      <w:r>
        <w:rPr>
          <w:sz w:val="22"/>
        </w:rPr>
        <w:t>U.</w:t>
      </w:r>
      <w:r>
        <w:rPr>
          <w:spacing w:val="-5"/>
          <w:sz w:val="22"/>
        </w:rPr>
        <w:t> </w:t>
      </w:r>
      <w:r>
        <w:rPr>
          <w:spacing w:val="-2"/>
          <w:sz w:val="22"/>
        </w:rPr>
        <w:t>(2010).</w:t>
      </w:r>
    </w:p>
    <w:p>
      <w:pPr>
        <w:spacing w:before="0"/>
        <w:ind w:left="638" w:right="319" w:firstLine="0"/>
        <w:jc w:val="left"/>
        <w:rPr>
          <w:sz w:val="22"/>
        </w:rPr>
      </w:pPr>
      <w:r>
        <w:rPr>
          <w:sz w:val="22"/>
        </w:rPr>
        <w:t>The importance of wood traits and hydraulic conductance for the performance and life history strategies</w:t>
      </w:r>
      <w:r>
        <w:rPr>
          <w:spacing w:val="-4"/>
          <w:sz w:val="22"/>
        </w:rPr>
        <w:t> </w:t>
      </w:r>
      <w:r>
        <w:rPr>
          <w:sz w:val="22"/>
        </w:rPr>
        <w:t>of</w:t>
      </w:r>
      <w:r>
        <w:rPr>
          <w:spacing w:val="-3"/>
          <w:sz w:val="22"/>
        </w:rPr>
        <w:t> </w:t>
      </w:r>
      <w:r>
        <w:rPr>
          <w:sz w:val="22"/>
        </w:rPr>
        <w:t>42</w:t>
      </w:r>
      <w:r>
        <w:rPr>
          <w:spacing w:val="-3"/>
          <w:sz w:val="22"/>
        </w:rPr>
        <w:t> </w:t>
      </w:r>
      <w:r>
        <w:rPr>
          <w:sz w:val="22"/>
        </w:rPr>
        <w:t>rainforest</w:t>
      </w:r>
      <w:r>
        <w:rPr>
          <w:spacing w:val="-5"/>
          <w:sz w:val="22"/>
        </w:rPr>
        <w:t> </w:t>
      </w:r>
      <w:r>
        <w:rPr>
          <w:sz w:val="22"/>
        </w:rPr>
        <w:t>tree</w:t>
      </w:r>
      <w:r>
        <w:rPr>
          <w:spacing w:val="-4"/>
          <w:sz w:val="22"/>
        </w:rPr>
        <w:t> </w:t>
      </w:r>
      <w:r>
        <w:rPr>
          <w:sz w:val="22"/>
        </w:rPr>
        <w:t>species.</w:t>
      </w:r>
      <w:r>
        <w:rPr>
          <w:spacing w:val="-2"/>
          <w:sz w:val="22"/>
        </w:rPr>
        <w:t> </w:t>
      </w:r>
      <w:r>
        <w:rPr>
          <w:i/>
          <w:sz w:val="22"/>
        </w:rPr>
        <w:t>New</w:t>
      </w:r>
      <w:r>
        <w:rPr>
          <w:i/>
          <w:spacing w:val="-6"/>
          <w:sz w:val="22"/>
        </w:rPr>
        <w:t> </w:t>
      </w:r>
      <w:r>
        <w:rPr>
          <w:i/>
          <w:sz w:val="22"/>
        </w:rPr>
        <w:t>Phytologist</w:t>
      </w:r>
      <w:r>
        <w:rPr>
          <w:sz w:val="22"/>
        </w:rPr>
        <w:t>,</w:t>
      </w:r>
      <w:r>
        <w:rPr>
          <w:spacing w:val="-3"/>
          <w:sz w:val="22"/>
        </w:rPr>
        <w:t> </w:t>
      </w:r>
      <w:r>
        <w:rPr>
          <w:i/>
          <w:sz w:val="22"/>
        </w:rPr>
        <w:t>185</w:t>
      </w:r>
      <w:r>
        <w:rPr>
          <w:sz w:val="22"/>
        </w:rPr>
        <w:t>(2),</w:t>
      </w:r>
      <w:r>
        <w:rPr>
          <w:spacing w:val="-3"/>
          <w:sz w:val="22"/>
        </w:rPr>
        <w:t> </w:t>
      </w:r>
      <w:r>
        <w:rPr>
          <w:sz w:val="22"/>
        </w:rPr>
        <w:t>481–492.</w:t>
      </w:r>
      <w:r>
        <w:rPr>
          <w:spacing w:val="-3"/>
          <w:sz w:val="22"/>
        </w:rPr>
        <w:t> </w:t>
      </w:r>
      <w:hyperlink r:id="rId71">
        <w:r>
          <w:rPr>
            <w:sz w:val="22"/>
          </w:rPr>
          <w:t>https://doi.org/10.1111/j.1469-</w:t>
        </w:r>
      </w:hyperlink>
      <w:r>
        <w:rPr>
          <w:spacing w:val="-2"/>
          <w:sz w:val="22"/>
        </w:rPr>
        <w:t>8137.2009.03092.x</w:t>
      </w:r>
    </w:p>
    <w:p>
      <w:pPr>
        <w:spacing w:before="161"/>
        <w:ind w:left="638" w:right="0" w:hanging="481"/>
        <w:jc w:val="left"/>
        <w:rPr>
          <w:sz w:val="22"/>
        </w:rPr>
      </w:pPr>
      <w:r>
        <w:rPr>
          <w:sz w:val="22"/>
        </w:rPr>
        <w:t>Porta,</w:t>
      </w:r>
      <w:r>
        <w:rPr>
          <w:spacing w:val="-4"/>
          <w:sz w:val="22"/>
        </w:rPr>
        <w:t> </w:t>
      </w:r>
      <w:r>
        <w:rPr>
          <w:sz w:val="22"/>
        </w:rPr>
        <w:t>J.</w:t>
      </w:r>
      <w:r>
        <w:rPr>
          <w:spacing w:val="-1"/>
          <w:sz w:val="22"/>
        </w:rPr>
        <w:t> </w:t>
      </w:r>
      <w:r>
        <w:rPr>
          <w:sz w:val="22"/>
        </w:rPr>
        <w:t>M.,</w:t>
      </w:r>
      <w:r>
        <w:rPr>
          <w:spacing w:val="-4"/>
          <w:sz w:val="22"/>
        </w:rPr>
        <w:t> </w:t>
      </w:r>
      <w:r>
        <w:rPr>
          <w:sz w:val="22"/>
        </w:rPr>
        <w:t>Verbeek,</w:t>
      </w:r>
      <w:r>
        <w:rPr>
          <w:spacing w:val="-4"/>
          <w:sz w:val="22"/>
        </w:rPr>
        <w:t> </w:t>
      </w:r>
      <w:r>
        <w:rPr>
          <w:sz w:val="22"/>
        </w:rPr>
        <w:t>J.</w:t>
      </w:r>
      <w:r>
        <w:rPr>
          <w:spacing w:val="-1"/>
          <w:sz w:val="22"/>
        </w:rPr>
        <w:t> </w:t>
      </w:r>
      <w:r>
        <w:rPr>
          <w:sz w:val="22"/>
        </w:rPr>
        <w:t>J.,</w:t>
      </w:r>
      <w:r>
        <w:rPr>
          <w:spacing w:val="-4"/>
          <w:sz w:val="22"/>
        </w:rPr>
        <w:t> </w:t>
      </w:r>
      <w:r>
        <w:rPr>
          <w:sz w:val="22"/>
        </w:rPr>
        <w:t>&amp;</w:t>
      </w:r>
      <w:r>
        <w:rPr>
          <w:spacing w:val="-3"/>
          <w:sz w:val="22"/>
        </w:rPr>
        <w:t> </w:t>
      </w:r>
      <w:r>
        <w:rPr>
          <w:sz w:val="22"/>
        </w:rPr>
        <w:t>Kröse,</w:t>
      </w:r>
      <w:r>
        <w:rPr>
          <w:spacing w:val="-4"/>
          <w:sz w:val="22"/>
        </w:rPr>
        <w:t> </w:t>
      </w:r>
      <w:r>
        <w:rPr>
          <w:sz w:val="22"/>
        </w:rPr>
        <w:t>B.</w:t>
      </w:r>
      <w:r>
        <w:rPr>
          <w:spacing w:val="-1"/>
          <w:sz w:val="22"/>
        </w:rPr>
        <w:t> </w:t>
      </w:r>
      <w:r>
        <w:rPr>
          <w:sz w:val="22"/>
        </w:rPr>
        <w:t>J.</w:t>
      </w:r>
      <w:r>
        <w:rPr>
          <w:spacing w:val="-1"/>
          <w:sz w:val="22"/>
        </w:rPr>
        <w:t> </w:t>
      </w:r>
      <w:r>
        <w:rPr>
          <w:sz w:val="22"/>
        </w:rPr>
        <w:t>A.</w:t>
      </w:r>
      <w:r>
        <w:rPr>
          <w:spacing w:val="-1"/>
          <w:sz w:val="22"/>
        </w:rPr>
        <w:t> </w:t>
      </w:r>
      <w:r>
        <w:rPr>
          <w:sz w:val="22"/>
        </w:rPr>
        <w:t>(2005).</w:t>
      </w:r>
      <w:r>
        <w:rPr>
          <w:spacing w:val="-4"/>
          <w:sz w:val="22"/>
        </w:rPr>
        <w:t> </w:t>
      </w:r>
      <w:r>
        <w:rPr>
          <w:sz w:val="22"/>
        </w:rPr>
        <w:t>Active</w:t>
      </w:r>
      <w:r>
        <w:rPr>
          <w:spacing w:val="-2"/>
          <w:sz w:val="22"/>
        </w:rPr>
        <w:t> </w:t>
      </w:r>
      <w:r>
        <w:rPr>
          <w:sz w:val="22"/>
        </w:rPr>
        <w:t>appearance-based</w:t>
      </w:r>
      <w:r>
        <w:rPr>
          <w:spacing w:val="-5"/>
          <w:sz w:val="22"/>
        </w:rPr>
        <w:t> </w:t>
      </w:r>
      <w:r>
        <w:rPr>
          <w:sz w:val="22"/>
        </w:rPr>
        <w:t>robot</w:t>
      </w:r>
      <w:r>
        <w:rPr>
          <w:spacing w:val="-4"/>
          <w:sz w:val="22"/>
        </w:rPr>
        <w:t> </w:t>
      </w:r>
      <w:r>
        <w:rPr>
          <w:sz w:val="22"/>
        </w:rPr>
        <w:t>localization</w:t>
      </w:r>
      <w:r>
        <w:rPr>
          <w:spacing w:val="-1"/>
          <w:sz w:val="22"/>
        </w:rPr>
        <w:t> </w:t>
      </w:r>
      <w:r>
        <w:rPr>
          <w:sz w:val="22"/>
        </w:rPr>
        <w:t>using</w:t>
      </w:r>
      <w:r>
        <w:rPr>
          <w:spacing w:val="-2"/>
          <w:sz w:val="22"/>
        </w:rPr>
        <w:t> </w:t>
      </w:r>
      <w:r>
        <w:rPr>
          <w:sz w:val="22"/>
        </w:rPr>
        <w:t>stereo vision. </w:t>
      </w:r>
      <w:r>
        <w:rPr>
          <w:i/>
          <w:sz w:val="22"/>
        </w:rPr>
        <w:t>Autonomous Robots</w:t>
      </w:r>
      <w:r>
        <w:rPr>
          <w:sz w:val="22"/>
        </w:rPr>
        <w:t>, </w:t>
      </w:r>
      <w:r>
        <w:rPr>
          <w:i/>
          <w:sz w:val="22"/>
        </w:rPr>
        <w:t>18</w:t>
      </w:r>
      <w:r>
        <w:rPr>
          <w:sz w:val="22"/>
        </w:rPr>
        <w:t>(1), 59–80. https://doi.org/10.1023/B:AURO.0000047287.00119.b6</w:t>
      </w:r>
    </w:p>
    <w:p>
      <w:pPr>
        <w:spacing w:before="160"/>
        <w:ind w:left="638" w:right="187" w:hanging="481"/>
        <w:jc w:val="left"/>
        <w:rPr>
          <w:sz w:val="22"/>
        </w:rPr>
      </w:pPr>
      <w:r>
        <w:rPr>
          <w:sz w:val="22"/>
        </w:rPr>
        <w:t>R</w:t>
      </w:r>
      <w:r>
        <w:rPr>
          <w:spacing w:val="-3"/>
          <w:sz w:val="22"/>
        </w:rPr>
        <w:t> </w:t>
      </w:r>
      <w:r>
        <w:rPr>
          <w:sz w:val="22"/>
        </w:rPr>
        <w:t>Core</w:t>
      </w:r>
      <w:r>
        <w:rPr>
          <w:spacing w:val="-3"/>
          <w:sz w:val="22"/>
        </w:rPr>
        <w:t> </w:t>
      </w:r>
      <w:r>
        <w:rPr>
          <w:sz w:val="22"/>
        </w:rPr>
        <w:t>Team.</w:t>
      </w:r>
      <w:r>
        <w:rPr>
          <w:spacing w:val="-2"/>
          <w:sz w:val="22"/>
        </w:rPr>
        <w:t> </w:t>
      </w:r>
      <w:r>
        <w:rPr>
          <w:sz w:val="22"/>
        </w:rPr>
        <w:t>(2013).</w:t>
      </w:r>
      <w:r>
        <w:rPr>
          <w:spacing w:val="-1"/>
          <w:sz w:val="22"/>
        </w:rPr>
        <w:t> </w:t>
      </w:r>
      <w:r>
        <w:rPr>
          <w:i/>
          <w:sz w:val="22"/>
        </w:rPr>
        <w:t>R:</w:t>
      </w:r>
      <w:r>
        <w:rPr>
          <w:i/>
          <w:spacing w:val="-4"/>
          <w:sz w:val="22"/>
        </w:rPr>
        <w:t> </w:t>
      </w:r>
      <w:r>
        <w:rPr>
          <w:i/>
          <w:sz w:val="22"/>
        </w:rPr>
        <w:t>A</w:t>
      </w:r>
      <w:r>
        <w:rPr>
          <w:i/>
          <w:spacing w:val="-5"/>
          <w:sz w:val="22"/>
        </w:rPr>
        <w:t> </w:t>
      </w:r>
      <w:r>
        <w:rPr>
          <w:i/>
          <w:sz w:val="22"/>
        </w:rPr>
        <w:t>Language</w:t>
      </w:r>
      <w:r>
        <w:rPr>
          <w:i/>
          <w:spacing w:val="-3"/>
          <w:sz w:val="22"/>
        </w:rPr>
        <w:t> </w:t>
      </w:r>
      <w:r>
        <w:rPr>
          <w:i/>
          <w:sz w:val="22"/>
        </w:rPr>
        <w:t>and</w:t>
      </w:r>
      <w:r>
        <w:rPr>
          <w:i/>
          <w:spacing w:val="-2"/>
          <w:sz w:val="22"/>
        </w:rPr>
        <w:t> </w:t>
      </w:r>
      <w:r>
        <w:rPr>
          <w:i/>
          <w:sz w:val="22"/>
        </w:rPr>
        <w:t>enviroment</w:t>
      </w:r>
      <w:r>
        <w:rPr>
          <w:i/>
          <w:spacing w:val="-3"/>
          <w:sz w:val="22"/>
        </w:rPr>
        <w:t> </w:t>
      </w:r>
      <w:r>
        <w:rPr>
          <w:i/>
          <w:sz w:val="22"/>
        </w:rPr>
        <w:t>for</w:t>
      </w:r>
      <w:r>
        <w:rPr>
          <w:i/>
          <w:spacing w:val="-5"/>
          <w:sz w:val="22"/>
        </w:rPr>
        <w:t> </w:t>
      </w:r>
      <w:r>
        <w:rPr>
          <w:i/>
          <w:sz w:val="22"/>
        </w:rPr>
        <w:t>statistical</w:t>
      </w:r>
      <w:r>
        <w:rPr>
          <w:i/>
          <w:spacing w:val="-2"/>
          <w:sz w:val="22"/>
        </w:rPr>
        <w:t> </w:t>
      </w:r>
      <w:r>
        <w:rPr>
          <w:i/>
          <w:sz w:val="22"/>
        </w:rPr>
        <w:t>computing</w:t>
      </w:r>
      <w:r>
        <w:rPr>
          <w:sz w:val="22"/>
        </w:rPr>
        <w:t>.</w:t>
      </w:r>
      <w:r>
        <w:rPr>
          <w:spacing w:val="-2"/>
          <w:sz w:val="22"/>
        </w:rPr>
        <w:t> </w:t>
      </w:r>
      <w:r>
        <w:rPr>
          <w:sz w:val="22"/>
        </w:rPr>
        <w:t>Retrieved</w:t>
      </w:r>
      <w:r>
        <w:rPr>
          <w:spacing w:val="-6"/>
          <w:sz w:val="22"/>
        </w:rPr>
        <w:t> </w:t>
      </w:r>
      <w:r>
        <w:rPr>
          <w:sz w:val="22"/>
        </w:rPr>
        <w:t>from</w:t>
      </w:r>
      <w:r>
        <w:rPr>
          <w:spacing w:val="-3"/>
          <w:sz w:val="22"/>
        </w:rPr>
        <w:t> </w:t>
      </w:r>
      <w:r>
        <w:rPr>
          <w:sz w:val="22"/>
        </w:rPr>
        <w:t>http://www.r-</w:t>
      </w:r>
      <w:r>
        <w:rPr>
          <w:spacing w:val="-2"/>
          <w:sz w:val="22"/>
        </w:rPr>
        <w:t>project.org</w:t>
      </w:r>
    </w:p>
    <w:p>
      <w:pPr>
        <w:spacing w:before="159"/>
        <w:ind w:left="638" w:right="0" w:hanging="481"/>
        <w:jc w:val="left"/>
        <w:rPr>
          <w:sz w:val="22"/>
        </w:rPr>
      </w:pPr>
      <w:r>
        <w:rPr>
          <w:sz w:val="22"/>
        </w:rPr>
        <w:t>Reich,</w:t>
      </w:r>
      <w:r>
        <w:rPr>
          <w:spacing w:val="-2"/>
          <w:sz w:val="22"/>
        </w:rPr>
        <w:t> </w:t>
      </w:r>
      <w:r>
        <w:rPr>
          <w:sz w:val="22"/>
        </w:rPr>
        <w:t>P.</w:t>
      </w:r>
      <w:r>
        <w:rPr>
          <w:spacing w:val="-2"/>
          <w:sz w:val="22"/>
        </w:rPr>
        <w:t> </w:t>
      </w:r>
      <w:r>
        <w:rPr>
          <w:sz w:val="22"/>
        </w:rPr>
        <w:t>B.</w:t>
      </w:r>
      <w:r>
        <w:rPr>
          <w:spacing w:val="-4"/>
          <w:sz w:val="22"/>
        </w:rPr>
        <w:t> </w:t>
      </w:r>
      <w:r>
        <w:rPr>
          <w:sz w:val="22"/>
        </w:rPr>
        <w:t>(2014).</w:t>
      </w:r>
      <w:r>
        <w:rPr>
          <w:spacing w:val="-2"/>
          <w:sz w:val="22"/>
        </w:rPr>
        <w:t> </w:t>
      </w:r>
      <w:r>
        <w:rPr>
          <w:sz w:val="22"/>
        </w:rPr>
        <w:t>The</w:t>
      </w:r>
      <w:r>
        <w:rPr>
          <w:spacing w:val="-3"/>
          <w:sz w:val="22"/>
        </w:rPr>
        <w:t> </w:t>
      </w:r>
      <w:r>
        <w:rPr>
          <w:sz w:val="22"/>
        </w:rPr>
        <w:t>world-wide</w:t>
      </w:r>
      <w:r>
        <w:rPr>
          <w:spacing w:val="-4"/>
          <w:sz w:val="22"/>
        </w:rPr>
        <w:t> </w:t>
      </w:r>
      <w:r>
        <w:rPr>
          <w:sz w:val="22"/>
        </w:rPr>
        <w:t>‘fast-slow’</w:t>
      </w:r>
      <w:r>
        <w:rPr>
          <w:spacing w:val="-5"/>
          <w:sz w:val="22"/>
        </w:rPr>
        <w:t> </w:t>
      </w:r>
      <w:r>
        <w:rPr>
          <w:sz w:val="22"/>
        </w:rPr>
        <w:t>plant</w:t>
      </w:r>
      <w:r>
        <w:rPr>
          <w:spacing w:val="-2"/>
          <w:sz w:val="22"/>
        </w:rPr>
        <w:t> </w:t>
      </w:r>
      <w:r>
        <w:rPr>
          <w:sz w:val="22"/>
        </w:rPr>
        <w:t>economics</w:t>
      </w:r>
      <w:r>
        <w:rPr>
          <w:spacing w:val="-4"/>
          <w:sz w:val="22"/>
        </w:rPr>
        <w:t> </w:t>
      </w:r>
      <w:r>
        <w:rPr>
          <w:sz w:val="22"/>
        </w:rPr>
        <w:t>spectrum:</w:t>
      </w:r>
      <w:r>
        <w:rPr>
          <w:spacing w:val="-2"/>
          <w:sz w:val="22"/>
        </w:rPr>
        <w:t> </w:t>
      </w:r>
      <w:r>
        <w:rPr>
          <w:sz w:val="22"/>
        </w:rPr>
        <w:t>A</w:t>
      </w:r>
      <w:r>
        <w:rPr>
          <w:spacing w:val="-5"/>
          <w:sz w:val="22"/>
        </w:rPr>
        <w:t> </w:t>
      </w:r>
      <w:r>
        <w:rPr>
          <w:sz w:val="22"/>
        </w:rPr>
        <w:t>traits</w:t>
      </w:r>
      <w:r>
        <w:rPr>
          <w:spacing w:val="-6"/>
          <w:sz w:val="22"/>
        </w:rPr>
        <w:t> </w:t>
      </w:r>
      <w:r>
        <w:rPr>
          <w:sz w:val="22"/>
        </w:rPr>
        <w:t>manifesto. </w:t>
      </w:r>
      <w:r>
        <w:rPr>
          <w:i/>
          <w:sz w:val="22"/>
        </w:rPr>
        <w:t>Journal</w:t>
      </w:r>
      <w:r>
        <w:rPr>
          <w:i/>
          <w:spacing w:val="-3"/>
          <w:sz w:val="22"/>
        </w:rPr>
        <w:t> </w:t>
      </w:r>
      <w:r>
        <w:rPr>
          <w:i/>
          <w:sz w:val="22"/>
        </w:rPr>
        <w:t>of Ecology</w:t>
      </w:r>
      <w:r>
        <w:rPr>
          <w:sz w:val="22"/>
        </w:rPr>
        <w:t>, </w:t>
      </w:r>
      <w:r>
        <w:rPr>
          <w:i/>
          <w:sz w:val="22"/>
        </w:rPr>
        <w:t>102</w:t>
      </w:r>
      <w:r>
        <w:rPr>
          <w:sz w:val="22"/>
        </w:rPr>
        <w:t>(2), 275–301. </w:t>
      </w:r>
      <w:hyperlink r:id="rId72">
        <w:r>
          <w:rPr>
            <w:sz w:val="22"/>
          </w:rPr>
          <w:t>https://doi.org/10.1111/1365-2745.12211</w:t>
        </w:r>
      </w:hyperlink>
    </w:p>
    <w:p>
      <w:pPr>
        <w:spacing w:before="161"/>
        <w:ind w:left="638" w:right="194" w:hanging="481"/>
        <w:jc w:val="left"/>
        <w:rPr>
          <w:sz w:val="22"/>
        </w:rPr>
      </w:pPr>
      <w:r>
        <w:rPr>
          <w:sz w:val="22"/>
        </w:rPr>
        <w:t>Richter,</w:t>
      </w:r>
      <w:r>
        <w:rPr>
          <w:spacing w:val="-2"/>
          <w:sz w:val="22"/>
        </w:rPr>
        <w:t> </w:t>
      </w:r>
      <w:r>
        <w:rPr>
          <w:sz w:val="22"/>
        </w:rPr>
        <w:t>M.,</w:t>
      </w:r>
      <w:r>
        <w:rPr>
          <w:spacing w:val="-2"/>
          <w:sz w:val="22"/>
        </w:rPr>
        <w:t> </w:t>
      </w:r>
      <w:r>
        <w:rPr>
          <w:sz w:val="22"/>
        </w:rPr>
        <w:t>Beck,</w:t>
      </w:r>
      <w:r>
        <w:rPr>
          <w:spacing w:val="-2"/>
          <w:sz w:val="22"/>
        </w:rPr>
        <w:t> </w:t>
      </w:r>
      <w:r>
        <w:rPr>
          <w:sz w:val="22"/>
        </w:rPr>
        <w:t>E.,</w:t>
      </w:r>
      <w:r>
        <w:rPr>
          <w:spacing w:val="-2"/>
          <w:sz w:val="22"/>
        </w:rPr>
        <w:t> </w:t>
      </w:r>
      <w:r>
        <w:rPr>
          <w:sz w:val="22"/>
        </w:rPr>
        <w:t>Rollenbeck,</w:t>
      </w:r>
      <w:r>
        <w:rPr>
          <w:spacing w:val="-3"/>
          <w:sz w:val="22"/>
        </w:rPr>
        <w:t> </w:t>
      </w:r>
      <w:r>
        <w:rPr>
          <w:sz w:val="22"/>
        </w:rPr>
        <w:t>R.,</w:t>
      </w:r>
      <w:r>
        <w:rPr>
          <w:spacing w:val="-2"/>
          <w:sz w:val="22"/>
        </w:rPr>
        <w:t> </w:t>
      </w:r>
      <w:r>
        <w:rPr>
          <w:sz w:val="22"/>
        </w:rPr>
        <w:t>&amp;</w:t>
      </w:r>
      <w:r>
        <w:rPr>
          <w:spacing w:val="-4"/>
          <w:sz w:val="22"/>
        </w:rPr>
        <w:t> </w:t>
      </w:r>
      <w:r>
        <w:rPr>
          <w:sz w:val="22"/>
        </w:rPr>
        <w:t>Bendix,</w:t>
      </w:r>
      <w:r>
        <w:rPr>
          <w:spacing w:val="-2"/>
          <w:sz w:val="22"/>
        </w:rPr>
        <w:t> </w:t>
      </w:r>
      <w:r>
        <w:rPr>
          <w:sz w:val="22"/>
        </w:rPr>
        <w:t>J.</w:t>
      </w:r>
      <w:r>
        <w:rPr>
          <w:spacing w:val="-2"/>
          <w:sz w:val="22"/>
        </w:rPr>
        <w:t> </w:t>
      </w:r>
      <w:r>
        <w:rPr>
          <w:sz w:val="22"/>
        </w:rPr>
        <w:t>(2013).</w:t>
      </w:r>
      <w:r>
        <w:rPr>
          <w:spacing w:val="-2"/>
          <w:sz w:val="22"/>
        </w:rPr>
        <w:t> </w:t>
      </w:r>
      <w:r>
        <w:rPr>
          <w:sz w:val="22"/>
        </w:rPr>
        <w:t>The</w:t>
      </w:r>
      <w:r>
        <w:rPr>
          <w:spacing w:val="-3"/>
          <w:sz w:val="22"/>
        </w:rPr>
        <w:t> </w:t>
      </w:r>
      <w:r>
        <w:rPr>
          <w:sz w:val="22"/>
        </w:rPr>
        <w:t>Study</w:t>
      </w:r>
      <w:r>
        <w:rPr>
          <w:spacing w:val="-4"/>
          <w:sz w:val="22"/>
        </w:rPr>
        <w:t> </w:t>
      </w:r>
      <w:r>
        <w:rPr>
          <w:sz w:val="22"/>
        </w:rPr>
        <w:t>Area.</w:t>
      </w:r>
      <w:r>
        <w:rPr>
          <w:spacing w:val="-2"/>
          <w:sz w:val="22"/>
        </w:rPr>
        <w:t> </w:t>
      </w:r>
      <w:r>
        <w:rPr>
          <w:sz w:val="22"/>
        </w:rPr>
        <w:t>In </w:t>
      </w:r>
      <w:r>
        <w:rPr>
          <w:i/>
          <w:sz w:val="22"/>
        </w:rPr>
        <w:t>Ecosystem</w:t>
      </w:r>
      <w:r>
        <w:rPr>
          <w:i/>
          <w:spacing w:val="-5"/>
          <w:sz w:val="22"/>
        </w:rPr>
        <w:t> </w:t>
      </w:r>
      <w:r>
        <w:rPr>
          <w:i/>
          <w:sz w:val="22"/>
        </w:rPr>
        <w:t>Services,</w:t>
      </w:r>
      <w:r>
        <w:rPr>
          <w:i/>
          <w:spacing w:val="-3"/>
          <w:sz w:val="22"/>
        </w:rPr>
        <w:t> </w:t>
      </w:r>
      <w:r>
        <w:rPr>
          <w:i/>
          <w:sz w:val="22"/>
        </w:rPr>
        <w:t>Biodiversity and Environmental Change in a Tropical Mountain Ecosystem of South Ecuador </w:t>
      </w:r>
      <w:r>
        <w:rPr>
          <w:sz w:val="22"/>
        </w:rPr>
        <w:t>(pp. 3–17). </w:t>
      </w:r>
      <w:hyperlink r:id="rId73">
        <w:r>
          <w:rPr>
            <w:spacing w:val="-2"/>
            <w:sz w:val="22"/>
          </w:rPr>
          <w:t>https://doi.org/10.1007/978-3-642-38137-9_1</w:t>
        </w:r>
      </w:hyperlink>
    </w:p>
    <w:p>
      <w:pPr>
        <w:spacing w:before="159"/>
        <w:ind w:left="638" w:right="211" w:hanging="481"/>
        <w:jc w:val="left"/>
        <w:rPr>
          <w:sz w:val="22"/>
        </w:rPr>
      </w:pPr>
      <w:r>
        <w:rPr>
          <w:sz w:val="22"/>
        </w:rPr>
        <w:t>Richter,</w:t>
      </w:r>
      <w:r>
        <w:rPr>
          <w:spacing w:val="-1"/>
          <w:sz w:val="22"/>
        </w:rPr>
        <w:t> </w:t>
      </w:r>
      <w:r>
        <w:rPr>
          <w:sz w:val="22"/>
        </w:rPr>
        <w:t>M.,</w:t>
      </w:r>
      <w:r>
        <w:rPr>
          <w:spacing w:val="-1"/>
          <w:sz w:val="22"/>
        </w:rPr>
        <w:t> </w:t>
      </w:r>
      <w:r>
        <w:rPr>
          <w:sz w:val="22"/>
        </w:rPr>
        <w:t>Diertl,</w:t>
      </w:r>
      <w:r>
        <w:rPr>
          <w:spacing w:val="-1"/>
          <w:sz w:val="22"/>
        </w:rPr>
        <w:t> </w:t>
      </w:r>
      <w:r>
        <w:rPr>
          <w:sz w:val="22"/>
        </w:rPr>
        <w:t>K.</w:t>
      </w:r>
      <w:r>
        <w:rPr>
          <w:spacing w:val="-1"/>
          <w:sz w:val="22"/>
        </w:rPr>
        <w:t> </w:t>
      </w:r>
      <w:r>
        <w:rPr>
          <w:sz w:val="22"/>
        </w:rPr>
        <w:t>H.,</w:t>
      </w:r>
      <w:r>
        <w:rPr>
          <w:spacing w:val="-4"/>
          <w:sz w:val="22"/>
        </w:rPr>
        <w:t> </w:t>
      </w:r>
      <w:r>
        <w:rPr>
          <w:sz w:val="22"/>
        </w:rPr>
        <w:t>Emck,</w:t>
      </w:r>
      <w:r>
        <w:rPr>
          <w:spacing w:val="-2"/>
          <w:sz w:val="22"/>
        </w:rPr>
        <w:t> </w:t>
      </w:r>
      <w:r>
        <w:rPr>
          <w:sz w:val="22"/>
        </w:rPr>
        <w:t>P.,</w:t>
      </w:r>
      <w:r>
        <w:rPr>
          <w:spacing w:val="-4"/>
          <w:sz w:val="22"/>
        </w:rPr>
        <w:t> </w:t>
      </w:r>
      <w:r>
        <w:rPr>
          <w:sz w:val="22"/>
        </w:rPr>
        <w:t>Peters,</w:t>
      </w:r>
      <w:r>
        <w:rPr>
          <w:spacing w:val="-2"/>
          <w:sz w:val="22"/>
        </w:rPr>
        <w:t> </w:t>
      </w:r>
      <w:r>
        <w:rPr>
          <w:sz w:val="22"/>
        </w:rPr>
        <w:t>T.,</w:t>
      </w:r>
      <w:r>
        <w:rPr>
          <w:spacing w:val="-1"/>
          <w:sz w:val="22"/>
        </w:rPr>
        <w:t> </w:t>
      </w:r>
      <w:r>
        <w:rPr>
          <w:sz w:val="22"/>
        </w:rPr>
        <w:t>&amp;</w:t>
      </w:r>
      <w:r>
        <w:rPr>
          <w:spacing w:val="-3"/>
          <w:sz w:val="22"/>
        </w:rPr>
        <w:t> </w:t>
      </w:r>
      <w:r>
        <w:rPr>
          <w:sz w:val="22"/>
        </w:rPr>
        <w:t>Beck,</w:t>
      </w:r>
      <w:r>
        <w:rPr>
          <w:spacing w:val="-2"/>
          <w:sz w:val="22"/>
        </w:rPr>
        <w:t> </w:t>
      </w:r>
      <w:r>
        <w:rPr>
          <w:sz w:val="22"/>
        </w:rPr>
        <w:t>E.</w:t>
      </w:r>
      <w:r>
        <w:rPr>
          <w:spacing w:val="-1"/>
          <w:sz w:val="22"/>
        </w:rPr>
        <w:t> </w:t>
      </w:r>
      <w:r>
        <w:rPr>
          <w:sz w:val="22"/>
        </w:rPr>
        <w:t>(2009).</w:t>
      </w:r>
      <w:r>
        <w:rPr>
          <w:spacing w:val="-2"/>
          <w:sz w:val="22"/>
        </w:rPr>
        <w:t> </w:t>
      </w:r>
      <w:r>
        <w:rPr>
          <w:sz w:val="22"/>
        </w:rPr>
        <w:t>Reasons</w:t>
      </w:r>
      <w:r>
        <w:rPr>
          <w:spacing w:val="-6"/>
          <w:sz w:val="22"/>
        </w:rPr>
        <w:t> </w:t>
      </w:r>
      <w:r>
        <w:rPr>
          <w:sz w:val="22"/>
        </w:rPr>
        <w:t>for</w:t>
      </w:r>
      <w:r>
        <w:rPr>
          <w:spacing w:val="-5"/>
          <w:sz w:val="22"/>
        </w:rPr>
        <w:t> </w:t>
      </w:r>
      <w:r>
        <w:rPr>
          <w:sz w:val="22"/>
        </w:rPr>
        <w:t>an</w:t>
      </w:r>
      <w:r>
        <w:rPr>
          <w:spacing w:val="-2"/>
          <w:sz w:val="22"/>
        </w:rPr>
        <w:t> </w:t>
      </w:r>
      <w:r>
        <w:rPr>
          <w:sz w:val="22"/>
        </w:rPr>
        <w:t>outstanding</w:t>
      </w:r>
      <w:r>
        <w:rPr>
          <w:spacing w:val="-2"/>
          <w:sz w:val="22"/>
        </w:rPr>
        <w:t> </w:t>
      </w:r>
      <w:r>
        <w:rPr>
          <w:sz w:val="22"/>
        </w:rPr>
        <w:t>plant</w:t>
      </w:r>
      <w:r>
        <w:rPr>
          <w:spacing w:val="-1"/>
          <w:sz w:val="22"/>
        </w:rPr>
        <w:t> </w:t>
      </w:r>
      <w:r>
        <w:rPr>
          <w:sz w:val="22"/>
        </w:rPr>
        <w:t>diversity in the tropical Andes of Southern Ecuador. </w:t>
      </w:r>
      <w:r>
        <w:rPr>
          <w:i/>
          <w:sz w:val="22"/>
        </w:rPr>
        <w:t>Landscape Online</w:t>
      </w:r>
      <w:r>
        <w:rPr>
          <w:sz w:val="22"/>
        </w:rPr>
        <w:t>, </w:t>
      </w:r>
      <w:r>
        <w:rPr>
          <w:i/>
          <w:sz w:val="22"/>
        </w:rPr>
        <w:t>12</w:t>
      </w:r>
      <w:r>
        <w:rPr>
          <w:sz w:val="22"/>
        </w:rPr>
        <w:t>(1), 1–35. </w:t>
      </w:r>
      <w:hyperlink r:id="rId74">
        <w:r>
          <w:rPr>
            <w:spacing w:val="-2"/>
            <w:sz w:val="22"/>
          </w:rPr>
          <w:t>https://doi.org/10.3097/LO.200912</w:t>
        </w:r>
      </w:hyperlink>
    </w:p>
    <w:p>
      <w:pPr>
        <w:spacing w:before="162"/>
        <w:ind w:left="638" w:right="211" w:hanging="481"/>
        <w:jc w:val="left"/>
        <w:rPr>
          <w:sz w:val="22"/>
        </w:rPr>
      </w:pPr>
      <w:r>
        <w:rPr>
          <w:sz w:val="22"/>
        </w:rPr>
        <w:t>Roweis,</w:t>
      </w:r>
      <w:r>
        <w:rPr>
          <w:spacing w:val="-1"/>
          <w:sz w:val="22"/>
        </w:rPr>
        <w:t> </w:t>
      </w:r>
      <w:r>
        <w:rPr>
          <w:sz w:val="22"/>
        </w:rPr>
        <w:t>S.</w:t>
      </w:r>
      <w:r>
        <w:rPr>
          <w:spacing w:val="-1"/>
          <w:sz w:val="22"/>
        </w:rPr>
        <w:t> </w:t>
      </w:r>
      <w:r>
        <w:rPr>
          <w:sz w:val="22"/>
        </w:rPr>
        <w:t>(1998).</w:t>
      </w:r>
      <w:r>
        <w:rPr>
          <w:spacing w:val="-1"/>
          <w:sz w:val="22"/>
        </w:rPr>
        <w:t> </w:t>
      </w:r>
      <w:r>
        <w:rPr>
          <w:sz w:val="22"/>
        </w:rPr>
        <w:t>EM</w:t>
      </w:r>
      <w:r>
        <w:rPr>
          <w:spacing w:val="-3"/>
          <w:sz w:val="22"/>
        </w:rPr>
        <w:t> </w:t>
      </w:r>
      <w:r>
        <w:rPr>
          <w:sz w:val="22"/>
        </w:rPr>
        <w:t>algorithms</w:t>
      </w:r>
      <w:r>
        <w:rPr>
          <w:spacing w:val="-6"/>
          <w:sz w:val="22"/>
        </w:rPr>
        <w:t> </w:t>
      </w:r>
      <w:r>
        <w:rPr>
          <w:sz w:val="22"/>
        </w:rPr>
        <w:t>for</w:t>
      </w:r>
      <w:r>
        <w:rPr>
          <w:spacing w:val="-5"/>
          <w:sz w:val="22"/>
        </w:rPr>
        <w:t> </w:t>
      </w:r>
      <w:r>
        <w:rPr>
          <w:sz w:val="22"/>
        </w:rPr>
        <w:t>PCA</w:t>
      </w:r>
      <w:r>
        <w:rPr>
          <w:spacing w:val="-2"/>
          <w:sz w:val="22"/>
        </w:rPr>
        <w:t> </w:t>
      </w:r>
      <w:r>
        <w:rPr>
          <w:sz w:val="22"/>
        </w:rPr>
        <w:t>and</w:t>
      </w:r>
      <w:r>
        <w:rPr>
          <w:spacing w:val="-2"/>
          <w:sz w:val="22"/>
        </w:rPr>
        <w:t> </w:t>
      </w:r>
      <w:r>
        <w:rPr>
          <w:sz w:val="22"/>
        </w:rPr>
        <w:t>SPCA. </w:t>
      </w:r>
      <w:r>
        <w:rPr>
          <w:i/>
          <w:sz w:val="22"/>
        </w:rPr>
        <w:t>Advances</w:t>
      </w:r>
      <w:r>
        <w:rPr>
          <w:i/>
          <w:spacing w:val="-2"/>
          <w:sz w:val="22"/>
        </w:rPr>
        <w:t> </w:t>
      </w:r>
      <w:r>
        <w:rPr>
          <w:i/>
          <w:sz w:val="22"/>
        </w:rPr>
        <w:t>in</w:t>
      </w:r>
      <w:r>
        <w:rPr>
          <w:i/>
          <w:spacing w:val="-5"/>
          <w:sz w:val="22"/>
        </w:rPr>
        <w:t> </w:t>
      </w:r>
      <w:r>
        <w:rPr>
          <w:i/>
          <w:sz w:val="22"/>
        </w:rPr>
        <w:t>Neural</w:t>
      </w:r>
      <w:r>
        <w:rPr>
          <w:i/>
          <w:spacing w:val="-1"/>
          <w:sz w:val="22"/>
        </w:rPr>
        <w:t> </w:t>
      </w:r>
      <w:r>
        <w:rPr>
          <w:i/>
          <w:sz w:val="22"/>
        </w:rPr>
        <w:t>Information</w:t>
      </w:r>
      <w:r>
        <w:rPr>
          <w:i/>
          <w:spacing w:val="-5"/>
          <w:sz w:val="22"/>
        </w:rPr>
        <w:t> </w:t>
      </w:r>
      <w:r>
        <w:rPr>
          <w:i/>
          <w:sz w:val="22"/>
        </w:rPr>
        <w:t>Processing</w:t>
      </w:r>
      <w:r>
        <w:rPr>
          <w:i/>
          <w:spacing w:val="-4"/>
          <w:sz w:val="22"/>
        </w:rPr>
        <w:t> </w:t>
      </w:r>
      <w:r>
        <w:rPr>
          <w:i/>
          <w:sz w:val="22"/>
        </w:rPr>
        <w:t>Systems</w:t>
      </w:r>
      <w:r>
        <w:rPr>
          <w:sz w:val="22"/>
        </w:rPr>
        <w:t>, </w:t>
      </w:r>
      <w:r>
        <w:rPr>
          <w:spacing w:val="-2"/>
          <w:sz w:val="22"/>
        </w:rPr>
        <w:t>626–632.</w:t>
      </w:r>
    </w:p>
    <w:p>
      <w:pPr>
        <w:spacing w:before="159"/>
        <w:ind w:left="638" w:right="0" w:hanging="481"/>
        <w:jc w:val="left"/>
        <w:rPr>
          <w:sz w:val="22"/>
        </w:rPr>
      </w:pPr>
      <w:r>
        <w:rPr>
          <w:sz w:val="22"/>
        </w:rPr>
        <w:t>Roy,</w:t>
      </w:r>
      <w:r>
        <w:rPr>
          <w:spacing w:val="-3"/>
          <w:sz w:val="22"/>
        </w:rPr>
        <w:t> </w:t>
      </w:r>
      <w:r>
        <w:rPr>
          <w:sz w:val="22"/>
        </w:rPr>
        <w:t>B.</w:t>
      </w:r>
      <w:r>
        <w:rPr>
          <w:spacing w:val="-2"/>
          <w:sz w:val="22"/>
        </w:rPr>
        <w:t> </w:t>
      </w:r>
      <w:r>
        <w:rPr>
          <w:sz w:val="22"/>
        </w:rPr>
        <w:t>A.,</w:t>
      </w:r>
      <w:r>
        <w:rPr>
          <w:spacing w:val="-2"/>
          <w:sz w:val="22"/>
        </w:rPr>
        <w:t> </w:t>
      </w:r>
      <w:r>
        <w:rPr>
          <w:sz w:val="22"/>
        </w:rPr>
        <w:t>Zorrilla,</w:t>
      </w:r>
      <w:r>
        <w:rPr>
          <w:spacing w:val="-3"/>
          <w:sz w:val="22"/>
        </w:rPr>
        <w:t> </w:t>
      </w:r>
      <w:r>
        <w:rPr>
          <w:sz w:val="22"/>
        </w:rPr>
        <w:t>M.,</w:t>
      </w:r>
      <w:r>
        <w:rPr>
          <w:spacing w:val="-2"/>
          <w:sz w:val="22"/>
        </w:rPr>
        <w:t> </w:t>
      </w:r>
      <w:r>
        <w:rPr>
          <w:sz w:val="22"/>
        </w:rPr>
        <w:t>Endara,</w:t>
      </w:r>
      <w:r>
        <w:rPr>
          <w:spacing w:val="-2"/>
          <w:sz w:val="22"/>
        </w:rPr>
        <w:t> </w:t>
      </w:r>
      <w:r>
        <w:rPr>
          <w:sz w:val="22"/>
        </w:rPr>
        <w:t>L.,</w:t>
      </w:r>
      <w:r>
        <w:rPr>
          <w:spacing w:val="-2"/>
          <w:sz w:val="22"/>
        </w:rPr>
        <w:t> </w:t>
      </w:r>
      <w:r>
        <w:rPr>
          <w:sz w:val="22"/>
        </w:rPr>
        <w:t>Thomas,</w:t>
      </w:r>
      <w:r>
        <w:rPr>
          <w:spacing w:val="-2"/>
          <w:sz w:val="22"/>
        </w:rPr>
        <w:t> </w:t>
      </w:r>
      <w:r>
        <w:rPr>
          <w:sz w:val="22"/>
        </w:rPr>
        <w:t>D.</w:t>
      </w:r>
      <w:r>
        <w:rPr>
          <w:spacing w:val="-2"/>
          <w:sz w:val="22"/>
        </w:rPr>
        <w:t> </w:t>
      </w:r>
      <w:r>
        <w:rPr>
          <w:sz w:val="22"/>
        </w:rPr>
        <w:t>C.,</w:t>
      </w:r>
      <w:r>
        <w:rPr>
          <w:spacing w:val="-5"/>
          <w:sz w:val="22"/>
        </w:rPr>
        <w:t> </w:t>
      </w:r>
      <w:r>
        <w:rPr>
          <w:sz w:val="22"/>
        </w:rPr>
        <w:t>Vandegrift,</w:t>
      </w:r>
      <w:r>
        <w:rPr>
          <w:spacing w:val="-2"/>
          <w:sz w:val="22"/>
        </w:rPr>
        <w:t> </w:t>
      </w:r>
      <w:r>
        <w:rPr>
          <w:sz w:val="22"/>
        </w:rPr>
        <w:t>R.,</w:t>
      </w:r>
      <w:r>
        <w:rPr>
          <w:spacing w:val="-2"/>
          <w:sz w:val="22"/>
        </w:rPr>
        <w:t> </w:t>
      </w:r>
      <w:r>
        <w:rPr>
          <w:sz w:val="22"/>
        </w:rPr>
        <w:t>Rubenstein,</w:t>
      </w:r>
      <w:r>
        <w:rPr>
          <w:spacing w:val="-5"/>
          <w:sz w:val="22"/>
        </w:rPr>
        <w:t> </w:t>
      </w:r>
      <w:r>
        <w:rPr>
          <w:sz w:val="22"/>
        </w:rPr>
        <w:t>J.</w:t>
      </w:r>
      <w:r>
        <w:rPr>
          <w:spacing w:val="-2"/>
          <w:sz w:val="22"/>
        </w:rPr>
        <w:t> </w:t>
      </w:r>
      <w:r>
        <w:rPr>
          <w:sz w:val="22"/>
        </w:rPr>
        <w:t>M., …</w:t>
      </w:r>
      <w:r>
        <w:rPr>
          <w:spacing w:val="-4"/>
          <w:sz w:val="22"/>
        </w:rPr>
        <w:t> </w:t>
      </w:r>
      <w:r>
        <w:rPr>
          <w:sz w:val="22"/>
        </w:rPr>
        <w:t>Read,</w:t>
      </w:r>
      <w:r>
        <w:rPr>
          <w:spacing w:val="-2"/>
          <w:sz w:val="22"/>
        </w:rPr>
        <w:t> </w:t>
      </w:r>
      <w:r>
        <w:rPr>
          <w:sz w:val="22"/>
        </w:rPr>
        <w:t>M.</w:t>
      </w:r>
      <w:r>
        <w:rPr>
          <w:spacing w:val="-5"/>
          <w:sz w:val="22"/>
        </w:rPr>
        <w:t> </w:t>
      </w:r>
      <w:r>
        <w:rPr>
          <w:sz w:val="22"/>
        </w:rPr>
        <w:t>(2018).</w:t>
      </w:r>
      <w:r>
        <w:rPr>
          <w:spacing w:val="-2"/>
          <w:sz w:val="22"/>
        </w:rPr>
        <w:t> </w:t>
      </w:r>
      <w:r>
        <w:rPr>
          <w:sz w:val="22"/>
        </w:rPr>
        <w:t>New Mining Concessions Could Severely Decrease Biodiversity and Ecosystem Services in Ecuador.</w:t>
      </w:r>
    </w:p>
    <w:p>
      <w:pPr>
        <w:spacing w:before="0"/>
        <w:ind w:left="638" w:right="0" w:firstLine="0"/>
        <w:jc w:val="left"/>
        <w:rPr>
          <w:sz w:val="22"/>
        </w:rPr>
      </w:pPr>
      <w:r>
        <w:rPr>
          <w:i/>
          <w:sz w:val="22"/>
        </w:rPr>
        <w:t>Tropical</w:t>
      </w:r>
      <w:r>
        <w:rPr>
          <w:i/>
          <w:spacing w:val="-6"/>
          <w:sz w:val="22"/>
        </w:rPr>
        <w:t> </w:t>
      </w:r>
      <w:r>
        <w:rPr>
          <w:i/>
          <w:sz w:val="22"/>
        </w:rPr>
        <w:t>Conservation</w:t>
      </w:r>
      <w:r>
        <w:rPr>
          <w:i/>
          <w:spacing w:val="-7"/>
          <w:sz w:val="22"/>
        </w:rPr>
        <w:t> </w:t>
      </w:r>
      <w:r>
        <w:rPr>
          <w:i/>
          <w:sz w:val="22"/>
        </w:rPr>
        <w:t>Science</w:t>
      </w:r>
      <w:r>
        <w:rPr>
          <w:sz w:val="22"/>
        </w:rPr>
        <w:t>,</w:t>
      </w:r>
      <w:r>
        <w:rPr>
          <w:spacing w:val="-4"/>
          <w:sz w:val="22"/>
        </w:rPr>
        <w:t> </w:t>
      </w:r>
      <w:r>
        <w:rPr>
          <w:i/>
          <w:sz w:val="22"/>
        </w:rPr>
        <w:t>11</w:t>
      </w:r>
      <w:r>
        <w:rPr>
          <w:sz w:val="22"/>
        </w:rPr>
        <w:t>,</w:t>
      </w:r>
      <w:r>
        <w:rPr>
          <w:spacing w:val="-4"/>
          <w:sz w:val="22"/>
        </w:rPr>
        <w:t> </w:t>
      </w:r>
      <w:r>
        <w:rPr>
          <w:sz w:val="22"/>
        </w:rPr>
        <w:t>1–2.</w:t>
      </w:r>
      <w:r>
        <w:rPr>
          <w:spacing w:val="-3"/>
          <w:sz w:val="22"/>
        </w:rPr>
        <w:t> </w:t>
      </w:r>
      <w:hyperlink r:id="rId75">
        <w:r>
          <w:rPr>
            <w:spacing w:val="-2"/>
            <w:sz w:val="22"/>
          </w:rPr>
          <w:t>https://doi.org/10.1177/1940082918780427</w:t>
        </w:r>
      </w:hyperlink>
    </w:p>
    <w:p>
      <w:pPr>
        <w:spacing w:before="159"/>
        <w:ind w:left="638" w:right="0" w:hanging="481"/>
        <w:jc w:val="left"/>
        <w:rPr>
          <w:sz w:val="22"/>
        </w:rPr>
      </w:pPr>
      <w:r>
        <w:rPr>
          <w:sz w:val="22"/>
        </w:rPr>
        <w:t>Sala,</w:t>
      </w:r>
      <w:r>
        <w:rPr>
          <w:spacing w:val="-2"/>
          <w:sz w:val="22"/>
        </w:rPr>
        <w:t> </w:t>
      </w:r>
      <w:r>
        <w:rPr>
          <w:sz w:val="22"/>
        </w:rPr>
        <w:t>O.</w:t>
      </w:r>
      <w:r>
        <w:rPr>
          <w:spacing w:val="-1"/>
          <w:sz w:val="22"/>
        </w:rPr>
        <w:t> </w:t>
      </w:r>
      <w:r>
        <w:rPr>
          <w:sz w:val="22"/>
        </w:rPr>
        <w:t>E.,</w:t>
      </w:r>
      <w:r>
        <w:rPr>
          <w:spacing w:val="-1"/>
          <w:sz w:val="22"/>
        </w:rPr>
        <w:t> </w:t>
      </w:r>
      <w:r>
        <w:rPr>
          <w:sz w:val="22"/>
        </w:rPr>
        <w:t>Chapin,</w:t>
      </w:r>
      <w:r>
        <w:rPr>
          <w:spacing w:val="-1"/>
          <w:sz w:val="22"/>
        </w:rPr>
        <w:t> </w:t>
      </w:r>
      <w:r>
        <w:rPr>
          <w:sz w:val="22"/>
        </w:rPr>
        <w:t>F.</w:t>
      </w:r>
      <w:r>
        <w:rPr>
          <w:spacing w:val="-1"/>
          <w:sz w:val="22"/>
        </w:rPr>
        <w:t> </w:t>
      </w:r>
      <w:r>
        <w:rPr>
          <w:sz w:val="22"/>
        </w:rPr>
        <w:t>S.,</w:t>
      </w:r>
      <w:r>
        <w:rPr>
          <w:spacing w:val="-4"/>
          <w:sz w:val="22"/>
        </w:rPr>
        <w:t> </w:t>
      </w:r>
      <w:r>
        <w:rPr>
          <w:sz w:val="22"/>
        </w:rPr>
        <w:t>Armesto,</w:t>
      </w:r>
      <w:r>
        <w:rPr>
          <w:spacing w:val="-4"/>
          <w:sz w:val="22"/>
        </w:rPr>
        <w:t> </w:t>
      </w:r>
      <w:r>
        <w:rPr>
          <w:sz w:val="22"/>
        </w:rPr>
        <w:t>J.</w:t>
      </w:r>
      <w:r>
        <w:rPr>
          <w:spacing w:val="-1"/>
          <w:sz w:val="22"/>
        </w:rPr>
        <w:t> </w:t>
      </w:r>
      <w:r>
        <w:rPr>
          <w:sz w:val="22"/>
        </w:rPr>
        <w:t>J.,</w:t>
      </w:r>
      <w:r>
        <w:rPr>
          <w:spacing w:val="-1"/>
          <w:sz w:val="22"/>
        </w:rPr>
        <w:t> </w:t>
      </w:r>
      <w:r>
        <w:rPr>
          <w:sz w:val="22"/>
        </w:rPr>
        <w:t>Berlow,</w:t>
      </w:r>
      <w:r>
        <w:rPr>
          <w:spacing w:val="-1"/>
          <w:sz w:val="22"/>
        </w:rPr>
        <w:t> </w:t>
      </w:r>
      <w:r>
        <w:rPr>
          <w:sz w:val="22"/>
        </w:rPr>
        <w:t>E.,</w:t>
      </w:r>
      <w:r>
        <w:rPr>
          <w:spacing w:val="-4"/>
          <w:sz w:val="22"/>
        </w:rPr>
        <w:t> </w:t>
      </w:r>
      <w:r>
        <w:rPr>
          <w:sz w:val="22"/>
        </w:rPr>
        <w:t>Bloomfield,</w:t>
      </w:r>
      <w:r>
        <w:rPr>
          <w:spacing w:val="-1"/>
          <w:sz w:val="22"/>
        </w:rPr>
        <w:t> </w:t>
      </w:r>
      <w:r>
        <w:rPr>
          <w:sz w:val="22"/>
        </w:rPr>
        <w:t>J.,</w:t>
      </w:r>
      <w:r>
        <w:rPr>
          <w:spacing w:val="-1"/>
          <w:sz w:val="22"/>
        </w:rPr>
        <w:t> </w:t>
      </w:r>
      <w:r>
        <w:rPr>
          <w:sz w:val="22"/>
        </w:rPr>
        <w:t>Dirzo,</w:t>
      </w:r>
      <w:r>
        <w:rPr>
          <w:spacing w:val="-1"/>
          <w:sz w:val="22"/>
        </w:rPr>
        <w:t> </w:t>
      </w:r>
      <w:r>
        <w:rPr>
          <w:sz w:val="22"/>
        </w:rPr>
        <w:t>R., …</w:t>
      </w:r>
      <w:r>
        <w:rPr>
          <w:spacing w:val="-3"/>
          <w:sz w:val="22"/>
        </w:rPr>
        <w:t> </w:t>
      </w:r>
      <w:r>
        <w:rPr>
          <w:sz w:val="22"/>
        </w:rPr>
        <w:t>Wall,</w:t>
      </w:r>
      <w:r>
        <w:rPr>
          <w:spacing w:val="-4"/>
          <w:sz w:val="22"/>
        </w:rPr>
        <w:t> </w:t>
      </w:r>
      <w:r>
        <w:rPr>
          <w:sz w:val="22"/>
        </w:rPr>
        <w:t>D.</w:t>
      </w:r>
      <w:r>
        <w:rPr>
          <w:spacing w:val="-4"/>
          <w:sz w:val="22"/>
        </w:rPr>
        <w:t> </w:t>
      </w:r>
      <w:r>
        <w:rPr>
          <w:sz w:val="22"/>
        </w:rPr>
        <w:t>H.</w:t>
      </w:r>
      <w:r>
        <w:rPr>
          <w:spacing w:val="-1"/>
          <w:sz w:val="22"/>
        </w:rPr>
        <w:t> </w:t>
      </w:r>
      <w:r>
        <w:rPr>
          <w:sz w:val="22"/>
        </w:rPr>
        <w:t>(2000).</w:t>
      </w:r>
      <w:r>
        <w:rPr>
          <w:spacing w:val="-1"/>
          <w:sz w:val="22"/>
        </w:rPr>
        <w:t> </w:t>
      </w:r>
      <w:r>
        <w:rPr>
          <w:sz w:val="22"/>
        </w:rPr>
        <w:t>Global biodiversity scenarios for the year 2100. </w:t>
      </w:r>
      <w:r>
        <w:rPr>
          <w:i/>
          <w:sz w:val="22"/>
        </w:rPr>
        <w:t>Science (New York, N.Y.)</w:t>
      </w:r>
      <w:r>
        <w:rPr>
          <w:sz w:val="22"/>
        </w:rPr>
        <w:t>, </w:t>
      </w:r>
      <w:r>
        <w:rPr>
          <w:i/>
          <w:sz w:val="22"/>
        </w:rPr>
        <w:t>287</w:t>
      </w:r>
      <w:r>
        <w:rPr>
          <w:sz w:val="22"/>
        </w:rPr>
        <w:t>(5459), 1770–1774. </w:t>
      </w:r>
      <w:hyperlink r:id="rId76">
        <w:r>
          <w:rPr>
            <w:spacing w:val="-2"/>
            <w:sz w:val="22"/>
          </w:rPr>
          <w:t>https://doi.org/10.1126/science.287.5459.1770</w:t>
        </w:r>
      </w:hyperlink>
    </w:p>
    <w:p>
      <w:pPr>
        <w:spacing w:before="162"/>
        <w:ind w:left="638" w:right="353" w:hanging="481"/>
        <w:jc w:val="left"/>
        <w:rPr>
          <w:sz w:val="22"/>
        </w:rPr>
      </w:pPr>
      <w:r>
        <w:rPr>
          <w:sz w:val="22"/>
        </w:rPr>
        <w:t>Salinas, N., Malhi, Y., Meir, P., Silman, M., Roman Cuesta, R., Huaman, J., … Farfan, F. (2011). The sensitivity of tropical leaf litter decomposition to temperature: Results from a large-scale leaf translocation</w:t>
      </w:r>
      <w:r>
        <w:rPr>
          <w:spacing w:val="-3"/>
          <w:sz w:val="22"/>
        </w:rPr>
        <w:t> </w:t>
      </w:r>
      <w:r>
        <w:rPr>
          <w:sz w:val="22"/>
        </w:rPr>
        <w:t>experiment</w:t>
      </w:r>
      <w:r>
        <w:rPr>
          <w:spacing w:val="-5"/>
          <w:sz w:val="22"/>
        </w:rPr>
        <w:t> </w:t>
      </w:r>
      <w:r>
        <w:rPr>
          <w:sz w:val="22"/>
        </w:rPr>
        <w:t>along</w:t>
      </w:r>
      <w:r>
        <w:rPr>
          <w:spacing w:val="-4"/>
          <w:sz w:val="22"/>
        </w:rPr>
        <w:t> </w:t>
      </w:r>
      <w:r>
        <w:rPr>
          <w:sz w:val="22"/>
        </w:rPr>
        <w:t>an</w:t>
      </w:r>
      <w:r>
        <w:rPr>
          <w:spacing w:val="-6"/>
          <w:sz w:val="22"/>
        </w:rPr>
        <w:t> </w:t>
      </w:r>
      <w:r>
        <w:rPr>
          <w:sz w:val="22"/>
        </w:rPr>
        <w:t>elevation</w:t>
      </w:r>
      <w:r>
        <w:rPr>
          <w:spacing w:val="-6"/>
          <w:sz w:val="22"/>
        </w:rPr>
        <w:t> </w:t>
      </w:r>
      <w:r>
        <w:rPr>
          <w:sz w:val="22"/>
        </w:rPr>
        <w:t>gradient</w:t>
      </w:r>
      <w:r>
        <w:rPr>
          <w:spacing w:val="-3"/>
          <w:sz w:val="22"/>
        </w:rPr>
        <w:t> </w:t>
      </w:r>
      <w:r>
        <w:rPr>
          <w:sz w:val="22"/>
        </w:rPr>
        <w:t>in</w:t>
      </w:r>
      <w:r>
        <w:rPr>
          <w:spacing w:val="-6"/>
          <w:sz w:val="22"/>
        </w:rPr>
        <w:t> </w:t>
      </w:r>
      <w:r>
        <w:rPr>
          <w:sz w:val="22"/>
        </w:rPr>
        <w:t>Peruvian</w:t>
      </w:r>
      <w:r>
        <w:rPr>
          <w:spacing w:val="-4"/>
          <w:sz w:val="22"/>
        </w:rPr>
        <w:t> </w:t>
      </w:r>
      <w:r>
        <w:rPr>
          <w:sz w:val="22"/>
        </w:rPr>
        <w:t>forests. </w:t>
      </w:r>
      <w:r>
        <w:rPr>
          <w:i/>
          <w:sz w:val="22"/>
        </w:rPr>
        <w:t>New</w:t>
      </w:r>
      <w:r>
        <w:rPr>
          <w:i/>
          <w:spacing w:val="-4"/>
          <w:sz w:val="22"/>
        </w:rPr>
        <w:t> </w:t>
      </w:r>
      <w:r>
        <w:rPr>
          <w:i/>
          <w:sz w:val="22"/>
        </w:rPr>
        <w:t>Phytologist</w:t>
      </w:r>
      <w:r>
        <w:rPr>
          <w:sz w:val="22"/>
        </w:rPr>
        <w:t>,</w:t>
      </w:r>
      <w:r>
        <w:rPr>
          <w:spacing w:val="-3"/>
          <w:sz w:val="22"/>
        </w:rPr>
        <w:t> </w:t>
      </w:r>
      <w:r>
        <w:rPr>
          <w:i/>
          <w:sz w:val="22"/>
        </w:rPr>
        <w:t>189</w:t>
      </w:r>
      <w:r>
        <w:rPr>
          <w:sz w:val="22"/>
        </w:rPr>
        <w:t>(4), 967–977. </w:t>
      </w:r>
      <w:hyperlink r:id="rId77">
        <w:r>
          <w:rPr>
            <w:sz w:val="22"/>
          </w:rPr>
          <w:t>https://doi.org/10.1111/j.1469-8137.2010.03521.x</w:t>
        </w:r>
      </w:hyperlink>
    </w:p>
    <w:p>
      <w:pPr>
        <w:spacing w:before="160"/>
        <w:ind w:left="638" w:right="497" w:hanging="481"/>
        <w:jc w:val="left"/>
        <w:rPr>
          <w:sz w:val="22"/>
        </w:rPr>
      </w:pPr>
      <w:r>
        <w:rPr>
          <w:sz w:val="22"/>
        </w:rPr>
        <w:t>Sedio,</w:t>
      </w:r>
      <w:r>
        <w:rPr>
          <w:spacing w:val="-4"/>
          <w:sz w:val="22"/>
        </w:rPr>
        <w:t> </w:t>
      </w:r>
      <w:r>
        <w:rPr>
          <w:sz w:val="22"/>
        </w:rPr>
        <w:t>B.</w:t>
      </w:r>
      <w:r>
        <w:rPr>
          <w:spacing w:val="-1"/>
          <w:sz w:val="22"/>
        </w:rPr>
        <w:t> </w:t>
      </w:r>
      <w:r>
        <w:rPr>
          <w:sz w:val="22"/>
        </w:rPr>
        <w:t>E.,</w:t>
      </w:r>
      <w:r>
        <w:rPr>
          <w:spacing w:val="-4"/>
          <w:sz w:val="22"/>
        </w:rPr>
        <w:t> </w:t>
      </w:r>
      <w:r>
        <w:rPr>
          <w:sz w:val="22"/>
        </w:rPr>
        <w:t>Wright,</w:t>
      </w:r>
      <w:r>
        <w:rPr>
          <w:spacing w:val="-1"/>
          <w:sz w:val="22"/>
        </w:rPr>
        <w:t> </w:t>
      </w:r>
      <w:r>
        <w:rPr>
          <w:sz w:val="22"/>
        </w:rPr>
        <w:t>S.</w:t>
      </w:r>
      <w:r>
        <w:rPr>
          <w:spacing w:val="-1"/>
          <w:sz w:val="22"/>
        </w:rPr>
        <w:t> </w:t>
      </w:r>
      <w:r>
        <w:rPr>
          <w:sz w:val="22"/>
        </w:rPr>
        <w:t>J.,</w:t>
      </w:r>
      <w:r>
        <w:rPr>
          <w:spacing w:val="-4"/>
          <w:sz w:val="22"/>
        </w:rPr>
        <w:t> </w:t>
      </w:r>
      <w:r>
        <w:rPr>
          <w:sz w:val="22"/>
        </w:rPr>
        <w:t>&amp;</w:t>
      </w:r>
      <w:r>
        <w:rPr>
          <w:spacing w:val="-3"/>
          <w:sz w:val="22"/>
        </w:rPr>
        <w:t> </w:t>
      </w:r>
      <w:r>
        <w:rPr>
          <w:sz w:val="22"/>
        </w:rPr>
        <w:t>Dick,</w:t>
      </w:r>
      <w:r>
        <w:rPr>
          <w:spacing w:val="-2"/>
          <w:sz w:val="22"/>
        </w:rPr>
        <w:t> </w:t>
      </w:r>
      <w:r>
        <w:rPr>
          <w:sz w:val="22"/>
        </w:rPr>
        <w:t>C.</w:t>
      </w:r>
      <w:r>
        <w:rPr>
          <w:spacing w:val="-3"/>
          <w:sz w:val="22"/>
        </w:rPr>
        <w:t> </w:t>
      </w:r>
      <w:r>
        <w:rPr>
          <w:sz w:val="22"/>
        </w:rPr>
        <w:t>W.</w:t>
      </w:r>
      <w:r>
        <w:rPr>
          <w:spacing w:val="-1"/>
          <w:sz w:val="22"/>
        </w:rPr>
        <w:t> </w:t>
      </w:r>
      <w:r>
        <w:rPr>
          <w:sz w:val="22"/>
        </w:rPr>
        <w:t>(2012).</w:t>
      </w:r>
      <w:r>
        <w:rPr>
          <w:spacing w:val="-1"/>
          <w:sz w:val="22"/>
        </w:rPr>
        <w:t> </w:t>
      </w:r>
      <w:r>
        <w:rPr>
          <w:sz w:val="22"/>
        </w:rPr>
        <w:t>Trait</w:t>
      </w:r>
      <w:r>
        <w:rPr>
          <w:spacing w:val="-1"/>
          <w:sz w:val="22"/>
        </w:rPr>
        <w:t> </w:t>
      </w:r>
      <w:r>
        <w:rPr>
          <w:sz w:val="22"/>
        </w:rPr>
        <w:t>evolution</w:t>
      </w:r>
      <w:r>
        <w:rPr>
          <w:spacing w:val="-1"/>
          <w:sz w:val="22"/>
        </w:rPr>
        <w:t> </w:t>
      </w:r>
      <w:r>
        <w:rPr>
          <w:sz w:val="22"/>
        </w:rPr>
        <w:t>and</w:t>
      </w:r>
      <w:r>
        <w:rPr>
          <w:spacing w:val="-5"/>
          <w:sz w:val="22"/>
        </w:rPr>
        <w:t> </w:t>
      </w:r>
      <w:r>
        <w:rPr>
          <w:sz w:val="22"/>
        </w:rPr>
        <w:t>the</w:t>
      </w:r>
      <w:r>
        <w:rPr>
          <w:spacing w:val="-2"/>
          <w:sz w:val="22"/>
        </w:rPr>
        <w:t> </w:t>
      </w:r>
      <w:r>
        <w:rPr>
          <w:sz w:val="22"/>
        </w:rPr>
        <w:t>coexistence</w:t>
      </w:r>
      <w:r>
        <w:rPr>
          <w:spacing w:val="-5"/>
          <w:sz w:val="22"/>
        </w:rPr>
        <w:t> </w:t>
      </w:r>
      <w:r>
        <w:rPr>
          <w:sz w:val="22"/>
        </w:rPr>
        <w:t>of</w:t>
      </w:r>
      <w:r>
        <w:rPr>
          <w:spacing w:val="-1"/>
          <w:sz w:val="22"/>
        </w:rPr>
        <w:t> </w:t>
      </w:r>
      <w:r>
        <w:rPr>
          <w:sz w:val="22"/>
        </w:rPr>
        <w:t>a</w:t>
      </w:r>
      <w:r>
        <w:rPr>
          <w:spacing w:val="-3"/>
          <w:sz w:val="22"/>
        </w:rPr>
        <w:t> </w:t>
      </w:r>
      <w:r>
        <w:rPr>
          <w:sz w:val="22"/>
        </w:rPr>
        <w:t>species</w:t>
      </w:r>
      <w:r>
        <w:rPr>
          <w:spacing w:val="-3"/>
          <w:sz w:val="22"/>
        </w:rPr>
        <w:t> </w:t>
      </w:r>
      <w:r>
        <w:rPr>
          <w:sz w:val="22"/>
        </w:rPr>
        <w:t>swarm</w:t>
      </w:r>
      <w:r>
        <w:rPr>
          <w:spacing w:val="-2"/>
          <w:sz w:val="22"/>
        </w:rPr>
        <w:t> </w:t>
      </w:r>
      <w:r>
        <w:rPr>
          <w:sz w:val="22"/>
        </w:rPr>
        <w:t>in the tropical forest understorey. </w:t>
      </w:r>
      <w:r>
        <w:rPr>
          <w:i/>
          <w:sz w:val="22"/>
        </w:rPr>
        <w:t>Journal of Ecology</w:t>
      </w:r>
      <w:r>
        <w:rPr>
          <w:sz w:val="22"/>
        </w:rPr>
        <w:t>, </w:t>
      </w:r>
      <w:r>
        <w:rPr>
          <w:i/>
          <w:sz w:val="22"/>
        </w:rPr>
        <w:t>100</w:t>
      </w:r>
      <w:r>
        <w:rPr>
          <w:sz w:val="22"/>
        </w:rPr>
        <w:t>(5), 1183–1193. </w:t>
      </w:r>
      <w:hyperlink r:id="rId78">
        <w:r>
          <w:rPr>
            <w:sz w:val="22"/>
          </w:rPr>
          <w:t>https://doi.org/10.1111/j.1365-</w:t>
        </w:r>
      </w:hyperlink>
      <w:r>
        <w:rPr>
          <w:spacing w:val="-2"/>
          <w:sz w:val="22"/>
        </w:rPr>
        <w:t>2745.2012.01993.x</w:t>
      </w:r>
    </w:p>
    <w:p>
      <w:pPr>
        <w:spacing w:before="159"/>
        <w:ind w:left="638" w:right="0" w:hanging="481"/>
        <w:jc w:val="left"/>
        <w:rPr>
          <w:sz w:val="22"/>
        </w:rPr>
      </w:pPr>
      <w:r>
        <w:rPr>
          <w:sz w:val="22"/>
        </w:rPr>
        <w:t>Siegel,</w:t>
      </w:r>
      <w:r>
        <w:rPr>
          <w:spacing w:val="-2"/>
          <w:sz w:val="22"/>
        </w:rPr>
        <w:t> </w:t>
      </w:r>
      <w:r>
        <w:rPr>
          <w:sz w:val="22"/>
        </w:rPr>
        <w:t>J.</w:t>
      </w:r>
      <w:r>
        <w:rPr>
          <w:spacing w:val="-2"/>
          <w:sz w:val="22"/>
        </w:rPr>
        <w:t> </w:t>
      </w:r>
      <w:r>
        <w:rPr>
          <w:sz w:val="22"/>
        </w:rPr>
        <w:t>(2019).</w:t>
      </w:r>
      <w:r>
        <w:rPr>
          <w:spacing w:val="-2"/>
          <w:sz w:val="22"/>
        </w:rPr>
        <w:t> </w:t>
      </w:r>
      <w:r>
        <w:rPr>
          <w:i/>
          <w:sz w:val="22"/>
        </w:rPr>
        <w:t>Effects</w:t>
      </w:r>
      <w:r>
        <w:rPr>
          <w:i/>
          <w:spacing w:val="-2"/>
          <w:sz w:val="22"/>
        </w:rPr>
        <w:t> </w:t>
      </w:r>
      <w:r>
        <w:rPr>
          <w:i/>
          <w:sz w:val="22"/>
        </w:rPr>
        <w:t>of</w:t>
      </w:r>
      <w:r>
        <w:rPr>
          <w:i/>
          <w:spacing w:val="-5"/>
          <w:sz w:val="22"/>
        </w:rPr>
        <w:t> </w:t>
      </w:r>
      <w:r>
        <w:rPr>
          <w:i/>
          <w:sz w:val="22"/>
        </w:rPr>
        <w:t>long-term</w:t>
      </w:r>
      <w:r>
        <w:rPr>
          <w:i/>
          <w:spacing w:val="-2"/>
          <w:sz w:val="22"/>
        </w:rPr>
        <w:t> </w:t>
      </w:r>
      <w:r>
        <w:rPr>
          <w:i/>
          <w:sz w:val="22"/>
        </w:rPr>
        <w:t>nitrogen</w:t>
      </w:r>
      <w:r>
        <w:rPr>
          <w:i/>
          <w:spacing w:val="-3"/>
          <w:sz w:val="22"/>
        </w:rPr>
        <w:t> </w:t>
      </w:r>
      <w:r>
        <w:rPr>
          <w:i/>
          <w:sz w:val="22"/>
        </w:rPr>
        <w:t>and</w:t>
      </w:r>
      <w:r>
        <w:rPr>
          <w:i/>
          <w:spacing w:val="-4"/>
          <w:sz w:val="22"/>
        </w:rPr>
        <w:t> </w:t>
      </w:r>
      <w:r>
        <w:rPr>
          <w:i/>
          <w:sz w:val="22"/>
        </w:rPr>
        <w:t>phosphorus</w:t>
      </w:r>
      <w:r>
        <w:rPr>
          <w:i/>
          <w:spacing w:val="-5"/>
          <w:sz w:val="22"/>
        </w:rPr>
        <w:t> </w:t>
      </w:r>
      <w:r>
        <w:rPr>
          <w:i/>
          <w:sz w:val="22"/>
        </w:rPr>
        <w:t>addition</w:t>
      </w:r>
      <w:r>
        <w:rPr>
          <w:i/>
          <w:spacing w:val="-4"/>
          <w:sz w:val="22"/>
        </w:rPr>
        <w:t> </w:t>
      </w:r>
      <w:r>
        <w:rPr>
          <w:i/>
          <w:sz w:val="22"/>
        </w:rPr>
        <w:t>on</w:t>
      </w:r>
      <w:r>
        <w:rPr>
          <w:i/>
          <w:spacing w:val="-6"/>
          <w:sz w:val="22"/>
        </w:rPr>
        <w:t> </w:t>
      </w:r>
      <w:r>
        <w:rPr>
          <w:i/>
          <w:sz w:val="22"/>
        </w:rPr>
        <w:t>leaf</w:t>
      </w:r>
      <w:r>
        <w:rPr>
          <w:i/>
          <w:spacing w:val="-3"/>
          <w:sz w:val="22"/>
        </w:rPr>
        <w:t> </w:t>
      </w:r>
      <w:r>
        <w:rPr>
          <w:i/>
          <w:sz w:val="22"/>
        </w:rPr>
        <w:t>morphology</w:t>
      </w:r>
      <w:r>
        <w:rPr>
          <w:i/>
          <w:spacing w:val="-5"/>
          <w:sz w:val="22"/>
        </w:rPr>
        <w:t> </w:t>
      </w:r>
      <w:r>
        <w:rPr>
          <w:i/>
          <w:sz w:val="22"/>
        </w:rPr>
        <w:t>and</w:t>
      </w:r>
      <w:r>
        <w:rPr>
          <w:i/>
          <w:spacing w:val="-2"/>
          <w:sz w:val="22"/>
        </w:rPr>
        <w:t> </w:t>
      </w:r>
      <w:r>
        <w:rPr>
          <w:i/>
          <w:sz w:val="22"/>
        </w:rPr>
        <w:t>nutrient contents of tropical montane forest trees in southern Ecuador</w:t>
      </w:r>
      <w:r>
        <w:rPr>
          <w:sz w:val="22"/>
        </w:rPr>
        <w:t>. HLUW Yspertal.</w:t>
      </w:r>
    </w:p>
    <w:p>
      <w:pPr>
        <w:spacing w:after="0"/>
        <w:jc w:val="left"/>
        <w:rPr>
          <w:sz w:val="22"/>
        </w:rPr>
        <w:sectPr>
          <w:pgSz w:w="12240" w:h="15840"/>
          <w:pgMar w:header="0" w:footer="1012" w:top="1220" w:bottom="1200" w:left="850" w:right="850"/>
        </w:sectPr>
      </w:pPr>
    </w:p>
    <w:p>
      <w:pPr>
        <w:spacing w:before="37"/>
        <w:ind w:left="638" w:right="211" w:hanging="481"/>
        <w:jc w:val="left"/>
        <w:rPr>
          <w:sz w:val="22"/>
        </w:rPr>
      </w:pPr>
      <w:r>
        <w:rPr>
          <w:sz w:val="22"/>
        </w:rPr>
        <w:t>Soethe,</w:t>
      </w:r>
      <w:r>
        <w:rPr>
          <w:spacing w:val="-2"/>
          <w:sz w:val="22"/>
        </w:rPr>
        <w:t> </w:t>
      </w:r>
      <w:r>
        <w:rPr>
          <w:sz w:val="22"/>
        </w:rPr>
        <w:t>N.,</w:t>
      </w:r>
      <w:r>
        <w:rPr>
          <w:spacing w:val="-2"/>
          <w:sz w:val="22"/>
        </w:rPr>
        <w:t> </w:t>
      </w:r>
      <w:r>
        <w:rPr>
          <w:sz w:val="22"/>
        </w:rPr>
        <w:t>Lehmann,</w:t>
      </w:r>
      <w:r>
        <w:rPr>
          <w:spacing w:val="-2"/>
          <w:sz w:val="22"/>
        </w:rPr>
        <w:t> </w:t>
      </w:r>
      <w:r>
        <w:rPr>
          <w:sz w:val="22"/>
        </w:rPr>
        <w:t>J.,</w:t>
      </w:r>
      <w:r>
        <w:rPr>
          <w:spacing w:val="-5"/>
          <w:sz w:val="22"/>
        </w:rPr>
        <w:t> </w:t>
      </w:r>
      <w:r>
        <w:rPr>
          <w:sz w:val="22"/>
        </w:rPr>
        <w:t>&amp;</w:t>
      </w:r>
      <w:r>
        <w:rPr>
          <w:spacing w:val="-4"/>
          <w:sz w:val="22"/>
        </w:rPr>
        <w:t> </w:t>
      </w:r>
      <w:r>
        <w:rPr>
          <w:sz w:val="22"/>
        </w:rPr>
        <w:t>Engels,</w:t>
      </w:r>
      <w:r>
        <w:rPr>
          <w:spacing w:val="-2"/>
          <w:sz w:val="22"/>
        </w:rPr>
        <w:t> </w:t>
      </w:r>
      <w:r>
        <w:rPr>
          <w:sz w:val="22"/>
        </w:rPr>
        <w:t>C.</w:t>
      </w:r>
      <w:r>
        <w:rPr>
          <w:spacing w:val="-5"/>
          <w:sz w:val="22"/>
        </w:rPr>
        <w:t> </w:t>
      </w:r>
      <w:r>
        <w:rPr>
          <w:sz w:val="22"/>
        </w:rPr>
        <w:t>(2008).</w:t>
      </w:r>
      <w:r>
        <w:rPr>
          <w:spacing w:val="-2"/>
          <w:sz w:val="22"/>
        </w:rPr>
        <w:t> </w:t>
      </w:r>
      <w:r>
        <w:rPr>
          <w:sz w:val="22"/>
        </w:rPr>
        <w:t>Nutrient</w:t>
      </w:r>
      <w:r>
        <w:rPr>
          <w:spacing w:val="-2"/>
          <w:sz w:val="22"/>
        </w:rPr>
        <w:t> </w:t>
      </w:r>
      <w:r>
        <w:rPr>
          <w:sz w:val="22"/>
        </w:rPr>
        <w:t>availability</w:t>
      </w:r>
      <w:r>
        <w:rPr>
          <w:spacing w:val="-4"/>
          <w:sz w:val="22"/>
        </w:rPr>
        <w:t> </w:t>
      </w:r>
      <w:r>
        <w:rPr>
          <w:sz w:val="22"/>
        </w:rPr>
        <w:t>at</w:t>
      </w:r>
      <w:r>
        <w:rPr>
          <w:spacing w:val="-2"/>
          <w:sz w:val="22"/>
        </w:rPr>
        <w:t> </w:t>
      </w:r>
      <w:r>
        <w:rPr>
          <w:sz w:val="22"/>
        </w:rPr>
        <w:t>different</w:t>
      </w:r>
      <w:r>
        <w:rPr>
          <w:spacing w:val="-2"/>
          <w:sz w:val="22"/>
        </w:rPr>
        <w:t> </w:t>
      </w:r>
      <w:r>
        <w:rPr>
          <w:sz w:val="22"/>
        </w:rPr>
        <w:t>altitudes</w:t>
      </w:r>
      <w:r>
        <w:rPr>
          <w:spacing w:val="-4"/>
          <w:sz w:val="22"/>
        </w:rPr>
        <w:t> </w:t>
      </w:r>
      <w:r>
        <w:rPr>
          <w:sz w:val="22"/>
        </w:rPr>
        <w:t>in</w:t>
      </w:r>
      <w:r>
        <w:rPr>
          <w:spacing w:val="-2"/>
          <w:sz w:val="22"/>
        </w:rPr>
        <w:t> </w:t>
      </w:r>
      <w:r>
        <w:rPr>
          <w:sz w:val="22"/>
        </w:rPr>
        <w:t>a</w:t>
      </w:r>
      <w:r>
        <w:rPr>
          <w:spacing w:val="-4"/>
          <w:sz w:val="22"/>
        </w:rPr>
        <w:t> </w:t>
      </w:r>
      <w:r>
        <w:rPr>
          <w:sz w:val="22"/>
        </w:rPr>
        <w:t>tropical montane forest in Ecuador. </w:t>
      </w:r>
      <w:r>
        <w:rPr>
          <w:i/>
          <w:sz w:val="22"/>
        </w:rPr>
        <w:t>Journal of Tropical Ecology</w:t>
      </w:r>
      <w:r>
        <w:rPr>
          <w:sz w:val="22"/>
        </w:rPr>
        <w:t>, </w:t>
      </w:r>
      <w:r>
        <w:rPr>
          <w:i/>
          <w:sz w:val="22"/>
        </w:rPr>
        <w:t>24</w:t>
      </w:r>
      <w:r>
        <w:rPr>
          <w:sz w:val="22"/>
        </w:rPr>
        <w:t>(4), 397–406. </w:t>
      </w:r>
      <w:hyperlink r:id="rId79">
        <w:r>
          <w:rPr>
            <w:spacing w:val="-2"/>
            <w:sz w:val="22"/>
          </w:rPr>
          <w:t>https://doi.org/10.1017/S026646740800504X</w:t>
        </w:r>
      </w:hyperlink>
    </w:p>
    <w:p>
      <w:pPr>
        <w:spacing w:before="159"/>
        <w:ind w:left="638" w:right="211" w:hanging="481"/>
        <w:jc w:val="left"/>
        <w:rPr>
          <w:sz w:val="22"/>
        </w:rPr>
      </w:pPr>
      <w:r>
        <w:rPr>
          <w:sz w:val="22"/>
        </w:rPr>
        <w:t>Song,</w:t>
      </w:r>
      <w:r>
        <w:rPr>
          <w:spacing w:val="-3"/>
          <w:sz w:val="22"/>
        </w:rPr>
        <w:t> </w:t>
      </w:r>
      <w:r>
        <w:rPr>
          <w:sz w:val="22"/>
        </w:rPr>
        <w:t>J.,</w:t>
      </w:r>
      <w:r>
        <w:rPr>
          <w:spacing w:val="-2"/>
          <w:sz w:val="22"/>
        </w:rPr>
        <w:t> </w:t>
      </w:r>
      <w:r>
        <w:rPr>
          <w:sz w:val="22"/>
        </w:rPr>
        <w:t>Yang,</w:t>
      </w:r>
      <w:r>
        <w:rPr>
          <w:spacing w:val="-2"/>
          <w:sz w:val="22"/>
        </w:rPr>
        <w:t> </w:t>
      </w:r>
      <w:r>
        <w:rPr>
          <w:sz w:val="22"/>
        </w:rPr>
        <w:t>D.,</w:t>
      </w:r>
      <w:r>
        <w:rPr>
          <w:spacing w:val="-4"/>
          <w:sz w:val="22"/>
        </w:rPr>
        <w:t> </w:t>
      </w:r>
      <w:r>
        <w:rPr>
          <w:sz w:val="22"/>
        </w:rPr>
        <w:t>Niu,</w:t>
      </w:r>
      <w:r>
        <w:rPr>
          <w:spacing w:val="-2"/>
          <w:sz w:val="22"/>
        </w:rPr>
        <w:t> </w:t>
      </w:r>
      <w:r>
        <w:rPr>
          <w:sz w:val="22"/>
        </w:rPr>
        <w:t>C.-Y.,</w:t>
      </w:r>
      <w:r>
        <w:rPr>
          <w:spacing w:val="-2"/>
          <w:sz w:val="22"/>
        </w:rPr>
        <w:t> </w:t>
      </w:r>
      <w:r>
        <w:rPr>
          <w:sz w:val="22"/>
        </w:rPr>
        <w:t>Zhang,</w:t>
      </w:r>
      <w:r>
        <w:rPr>
          <w:spacing w:val="-3"/>
          <w:sz w:val="22"/>
        </w:rPr>
        <w:t> </w:t>
      </w:r>
      <w:r>
        <w:rPr>
          <w:sz w:val="22"/>
        </w:rPr>
        <w:t>W.-W.,</w:t>
      </w:r>
      <w:r>
        <w:rPr>
          <w:spacing w:val="-4"/>
          <w:sz w:val="22"/>
        </w:rPr>
        <w:t> </w:t>
      </w:r>
      <w:r>
        <w:rPr>
          <w:sz w:val="22"/>
        </w:rPr>
        <w:t>Wang,</w:t>
      </w:r>
      <w:r>
        <w:rPr>
          <w:spacing w:val="-2"/>
          <w:sz w:val="22"/>
        </w:rPr>
        <w:t> </w:t>
      </w:r>
      <w:r>
        <w:rPr>
          <w:sz w:val="22"/>
        </w:rPr>
        <w:t>M.,</w:t>
      </w:r>
      <w:r>
        <w:rPr>
          <w:spacing w:val="-2"/>
          <w:sz w:val="22"/>
        </w:rPr>
        <w:t> </w:t>
      </w:r>
      <w:r>
        <w:rPr>
          <w:sz w:val="22"/>
        </w:rPr>
        <w:t>&amp;</w:t>
      </w:r>
      <w:r>
        <w:rPr>
          <w:spacing w:val="-3"/>
          <w:sz w:val="22"/>
        </w:rPr>
        <w:t> </w:t>
      </w:r>
      <w:r>
        <w:rPr>
          <w:sz w:val="22"/>
        </w:rPr>
        <w:t>Hao,</w:t>
      </w:r>
      <w:r>
        <w:rPr>
          <w:spacing w:val="-4"/>
          <w:sz w:val="22"/>
        </w:rPr>
        <w:t> </w:t>
      </w:r>
      <w:r>
        <w:rPr>
          <w:sz w:val="22"/>
        </w:rPr>
        <w:t>G.-Y.</w:t>
      </w:r>
      <w:r>
        <w:rPr>
          <w:spacing w:val="-2"/>
          <w:sz w:val="22"/>
        </w:rPr>
        <w:t> </w:t>
      </w:r>
      <w:r>
        <w:rPr>
          <w:sz w:val="22"/>
        </w:rPr>
        <w:t>(2018).</w:t>
      </w:r>
      <w:r>
        <w:rPr>
          <w:spacing w:val="-4"/>
          <w:sz w:val="22"/>
        </w:rPr>
        <w:t> </w:t>
      </w:r>
      <w:r>
        <w:rPr>
          <w:sz w:val="22"/>
        </w:rPr>
        <w:t>Correlation</w:t>
      </w:r>
      <w:r>
        <w:rPr>
          <w:spacing w:val="-2"/>
          <w:sz w:val="22"/>
        </w:rPr>
        <w:t> </w:t>
      </w:r>
      <w:r>
        <w:rPr>
          <w:sz w:val="22"/>
        </w:rPr>
        <w:t>between</w:t>
      </w:r>
      <w:r>
        <w:rPr>
          <w:spacing w:val="-2"/>
          <w:sz w:val="22"/>
        </w:rPr>
        <w:t> </w:t>
      </w:r>
      <w:r>
        <w:rPr>
          <w:sz w:val="22"/>
        </w:rPr>
        <w:t>leaf</w:t>
      </w:r>
      <w:r>
        <w:rPr>
          <w:spacing w:val="-4"/>
          <w:sz w:val="22"/>
        </w:rPr>
        <w:t> </w:t>
      </w:r>
      <w:r>
        <w:rPr>
          <w:sz w:val="22"/>
        </w:rPr>
        <w:t>size and hydraulic architecture in five compound-leaved tree species of a temperate forest in NE China. </w:t>
      </w:r>
      <w:r>
        <w:rPr>
          <w:i/>
          <w:sz w:val="22"/>
        </w:rPr>
        <w:t>Forest Ecology and Management</w:t>
      </w:r>
      <w:r>
        <w:rPr>
          <w:sz w:val="22"/>
        </w:rPr>
        <w:t>, </w:t>
      </w:r>
      <w:r>
        <w:rPr>
          <w:i/>
          <w:sz w:val="22"/>
        </w:rPr>
        <w:t>418</w:t>
      </w:r>
      <w:r>
        <w:rPr>
          <w:sz w:val="22"/>
        </w:rPr>
        <w:t>, 63–72. </w:t>
      </w:r>
      <w:hyperlink r:id="rId80">
        <w:r>
          <w:rPr>
            <w:sz w:val="22"/>
          </w:rPr>
          <w:t>https://doi.org/10.1016/j.foreco.2017.08.005</w:t>
        </w:r>
      </w:hyperlink>
    </w:p>
    <w:p>
      <w:pPr>
        <w:spacing w:before="159"/>
        <w:ind w:left="638" w:right="211" w:hanging="481"/>
        <w:jc w:val="left"/>
        <w:rPr>
          <w:sz w:val="22"/>
        </w:rPr>
      </w:pPr>
      <w:r>
        <w:rPr>
          <w:sz w:val="22"/>
        </w:rPr>
        <w:t>Stacklies,</w:t>
      </w:r>
      <w:r>
        <w:rPr>
          <w:spacing w:val="-4"/>
          <w:sz w:val="22"/>
        </w:rPr>
        <w:t> </w:t>
      </w:r>
      <w:r>
        <w:rPr>
          <w:sz w:val="22"/>
        </w:rPr>
        <w:t>W.,</w:t>
      </w:r>
      <w:r>
        <w:rPr>
          <w:spacing w:val="-1"/>
          <w:sz w:val="22"/>
        </w:rPr>
        <w:t> </w:t>
      </w:r>
      <w:r>
        <w:rPr>
          <w:sz w:val="22"/>
        </w:rPr>
        <w:t>Redestig,</w:t>
      </w:r>
      <w:r>
        <w:rPr>
          <w:spacing w:val="-1"/>
          <w:sz w:val="22"/>
        </w:rPr>
        <w:t> </w:t>
      </w:r>
      <w:r>
        <w:rPr>
          <w:sz w:val="22"/>
        </w:rPr>
        <w:t>H.,</w:t>
      </w:r>
      <w:r>
        <w:rPr>
          <w:spacing w:val="-1"/>
          <w:sz w:val="22"/>
        </w:rPr>
        <w:t> </w:t>
      </w:r>
      <w:r>
        <w:rPr>
          <w:sz w:val="22"/>
        </w:rPr>
        <w:t>Scholz,</w:t>
      </w:r>
      <w:r>
        <w:rPr>
          <w:spacing w:val="-1"/>
          <w:sz w:val="22"/>
        </w:rPr>
        <w:t> </w:t>
      </w:r>
      <w:r>
        <w:rPr>
          <w:sz w:val="22"/>
        </w:rPr>
        <w:t>M.,</w:t>
      </w:r>
      <w:r>
        <w:rPr>
          <w:spacing w:val="-4"/>
          <w:sz w:val="22"/>
        </w:rPr>
        <w:t> </w:t>
      </w:r>
      <w:r>
        <w:rPr>
          <w:sz w:val="22"/>
        </w:rPr>
        <w:t>Walther,</w:t>
      </w:r>
      <w:r>
        <w:rPr>
          <w:spacing w:val="-1"/>
          <w:sz w:val="22"/>
        </w:rPr>
        <w:t> </w:t>
      </w:r>
      <w:r>
        <w:rPr>
          <w:sz w:val="22"/>
        </w:rPr>
        <w:t>D.,</w:t>
      </w:r>
      <w:r>
        <w:rPr>
          <w:spacing w:val="-4"/>
          <w:sz w:val="22"/>
        </w:rPr>
        <w:t> </w:t>
      </w:r>
      <w:r>
        <w:rPr>
          <w:sz w:val="22"/>
        </w:rPr>
        <w:t>&amp;</w:t>
      </w:r>
      <w:r>
        <w:rPr>
          <w:spacing w:val="-3"/>
          <w:sz w:val="22"/>
        </w:rPr>
        <w:t> </w:t>
      </w:r>
      <w:r>
        <w:rPr>
          <w:sz w:val="22"/>
        </w:rPr>
        <w:t>Selbig,</w:t>
      </w:r>
      <w:r>
        <w:rPr>
          <w:spacing w:val="-1"/>
          <w:sz w:val="22"/>
        </w:rPr>
        <w:t> </w:t>
      </w:r>
      <w:r>
        <w:rPr>
          <w:sz w:val="22"/>
        </w:rPr>
        <w:t>J.</w:t>
      </w:r>
      <w:r>
        <w:rPr>
          <w:spacing w:val="-4"/>
          <w:sz w:val="22"/>
        </w:rPr>
        <w:t> </w:t>
      </w:r>
      <w:r>
        <w:rPr>
          <w:sz w:val="22"/>
        </w:rPr>
        <w:t>(2007).</w:t>
      </w:r>
      <w:r>
        <w:rPr>
          <w:spacing w:val="-4"/>
          <w:sz w:val="22"/>
        </w:rPr>
        <w:t> </w:t>
      </w:r>
      <w:r>
        <w:rPr>
          <w:sz w:val="22"/>
        </w:rPr>
        <w:t>pcaMethods -</w:t>
      </w:r>
      <w:r>
        <w:rPr>
          <w:spacing w:val="-3"/>
          <w:sz w:val="22"/>
        </w:rPr>
        <w:t> </w:t>
      </w:r>
      <w:r>
        <w:rPr>
          <w:sz w:val="22"/>
        </w:rPr>
        <w:t>A</w:t>
      </w:r>
      <w:r>
        <w:rPr>
          <w:spacing w:val="-2"/>
          <w:sz w:val="22"/>
        </w:rPr>
        <w:t> </w:t>
      </w:r>
      <w:r>
        <w:rPr>
          <w:sz w:val="22"/>
        </w:rPr>
        <w:t>bioconductor package providing PCA methods for incomplete data. </w:t>
      </w:r>
      <w:r>
        <w:rPr>
          <w:i/>
          <w:sz w:val="22"/>
        </w:rPr>
        <w:t>Bioinformatics</w:t>
      </w:r>
      <w:r>
        <w:rPr>
          <w:sz w:val="22"/>
        </w:rPr>
        <w:t>, </w:t>
      </w:r>
      <w:r>
        <w:rPr>
          <w:i/>
          <w:sz w:val="22"/>
        </w:rPr>
        <w:t>23</w:t>
      </w:r>
      <w:r>
        <w:rPr>
          <w:sz w:val="22"/>
        </w:rPr>
        <w:t>(9), 1164–1167. </w:t>
      </w:r>
      <w:hyperlink r:id="rId81">
        <w:r>
          <w:rPr>
            <w:spacing w:val="-2"/>
            <w:sz w:val="22"/>
          </w:rPr>
          <w:t>https://doi.org/10.1093/bioinformatics/btm069</w:t>
        </w:r>
      </w:hyperlink>
    </w:p>
    <w:p>
      <w:pPr>
        <w:spacing w:before="162"/>
        <w:ind w:left="638" w:right="1082" w:hanging="481"/>
        <w:jc w:val="left"/>
        <w:rPr>
          <w:sz w:val="22"/>
        </w:rPr>
      </w:pPr>
      <w:r>
        <w:rPr>
          <w:sz w:val="22"/>
        </w:rPr>
        <w:t>Suding,</w:t>
      </w:r>
      <w:r>
        <w:rPr>
          <w:spacing w:val="-1"/>
          <w:sz w:val="22"/>
        </w:rPr>
        <w:t> </w:t>
      </w:r>
      <w:r>
        <w:rPr>
          <w:sz w:val="22"/>
        </w:rPr>
        <w:t>K.</w:t>
      </w:r>
      <w:r>
        <w:rPr>
          <w:spacing w:val="-1"/>
          <w:sz w:val="22"/>
        </w:rPr>
        <w:t> </w:t>
      </w:r>
      <w:r>
        <w:rPr>
          <w:sz w:val="22"/>
        </w:rPr>
        <w:t>N.,</w:t>
      </w:r>
      <w:r>
        <w:rPr>
          <w:spacing w:val="-4"/>
          <w:sz w:val="22"/>
        </w:rPr>
        <w:t> </w:t>
      </w:r>
      <w:r>
        <w:rPr>
          <w:sz w:val="22"/>
        </w:rPr>
        <w:t>Collins,</w:t>
      </w:r>
      <w:r>
        <w:rPr>
          <w:spacing w:val="-1"/>
          <w:sz w:val="22"/>
        </w:rPr>
        <w:t> </w:t>
      </w:r>
      <w:r>
        <w:rPr>
          <w:sz w:val="22"/>
        </w:rPr>
        <w:t>S.</w:t>
      </w:r>
      <w:r>
        <w:rPr>
          <w:spacing w:val="-4"/>
          <w:sz w:val="22"/>
        </w:rPr>
        <w:t> </w:t>
      </w:r>
      <w:r>
        <w:rPr>
          <w:sz w:val="22"/>
        </w:rPr>
        <w:t>L.,</w:t>
      </w:r>
      <w:r>
        <w:rPr>
          <w:spacing w:val="-4"/>
          <w:sz w:val="22"/>
        </w:rPr>
        <w:t> </w:t>
      </w:r>
      <w:r>
        <w:rPr>
          <w:sz w:val="22"/>
        </w:rPr>
        <w:t>Gough, L.,</w:t>
      </w:r>
      <w:r>
        <w:rPr>
          <w:spacing w:val="-1"/>
          <w:sz w:val="22"/>
        </w:rPr>
        <w:t> </w:t>
      </w:r>
      <w:r>
        <w:rPr>
          <w:sz w:val="22"/>
        </w:rPr>
        <w:t>Clark,</w:t>
      </w:r>
      <w:r>
        <w:rPr>
          <w:spacing w:val="-1"/>
          <w:sz w:val="22"/>
        </w:rPr>
        <w:t> </w:t>
      </w:r>
      <w:r>
        <w:rPr>
          <w:sz w:val="22"/>
        </w:rPr>
        <w:t>C.,</w:t>
      </w:r>
      <w:r>
        <w:rPr>
          <w:spacing w:val="-4"/>
          <w:sz w:val="22"/>
        </w:rPr>
        <w:t> </w:t>
      </w:r>
      <w:r>
        <w:rPr>
          <w:sz w:val="22"/>
        </w:rPr>
        <w:t>Cleland,</w:t>
      </w:r>
      <w:r>
        <w:rPr>
          <w:spacing w:val="-1"/>
          <w:sz w:val="22"/>
        </w:rPr>
        <w:t> </w:t>
      </w:r>
      <w:r>
        <w:rPr>
          <w:sz w:val="22"/>
        </w:rPr>
        <w:t>E.</w:t>
      </w:r>
      <w:r>
        <w:rPr>
          <w:spacing w:val="-1"/>
          <w:sz w:val="22"/>
        </w:rPr>
        <w:t> </w:t>
      </w:r>
      <w:r>
        <w:rPr>
          <w:sz w:val="22"/>
        </w:rPr>
        <w:t>E.,</w:t>
      </w:r>
      <w:r>
        <w:rPr>
          <w:spacing w:val="-4"/>
          <w:sz w:val="22"/>
        </w:rPr>
        <w:t> </w:t>
      </w:r>
      <w:r>
        <w:rPr>
          <w:sz w:val="22"/>
        </w:rPr>
        <w:t>Gross,</w:t>
      </w:r>
      <w:r>
        <w:rPr>
          <w:spacing w:val="-4"/>
          <w:sz w:val="22"/>
        </w:rPr>
        <w:t> </w:t>
      </w:r>
      <w:r>
        <w:rPr>
          <w:sz w:val="22"/>
        </w:rPr>
        <w:t>K.</w:t>
      </w:r>
      <w:r>
        <w:rPr>
          <w:spacing w:val="-4"/>
          <w:sz w:val="22"/>
        </w:rPr>
        <w:t> </w:t>
      </w:r>
      <w:r>
        <w:rPr>
          <w:sz w:val="22"/>
        </w:rPr>
        <w:t>L., …</w:t>
      </w:r>
      <w:r>
        <w:rPr>
          <w:spacing w:val="-3"/>
          <w:sz w:val="22"/>
        </w:rPr>
        <w:t> </w:t>
      </w:r>
      <w:r>
        <w:rPr>
          <w:sz w:val="22"/>
        </w:rPr>
        <w:t>Pennings,</w:t>
      </w:r>
      <w:r>
        <w:rPr>
          <w:spacing w:val="-1"/>
          <w:sz w:val="22"/>
        </w:rPr>
        <w:t> </w:t>
      </w:r>
      <w:r>
        <w:rPr>
          <w:sz w:val="22"/>
        </w:rPr>
        <w:t>S.</w:t>
      </w:r>
      <w:r>
        <w:rPr>
          <w:spacing w:val="-4"/>
          <w:sz w:val="22"/>
        </w:rPr>
        <w:t> </w:t>
      </w:r>
      <w:r>
        <w:rPr>
          <w:sz w:val="22"/>
        </w:rPr>
        <w:t>(2005). Functional- and abundance-based mechanisms explain diversity loss due to N fertilization. </w:t>
      </w:r>
      <w:r>
        <w:rPr>
          <w:i/>
          <w:sz w:val="22"/>
        </w:rPr>
        <w:t>Proceedings of the National Academy of Sciences</w:t>
      </w:r>
      <w:r>
        <w:rPr>
          <w:sz w:val="22"/>
        </w:rPr>
        <w:t>, </w:t>
      </w:r>
      <w:r>
        <w:rPr>
          <w:i/>
          <w:sz w:val="22"/>
        </w:rPr>
        <w:t>102</w:t>
      </w:r>
      <w:r>
        <w:rPr>
          <w:sz w:val="22"/>
        </w:rPr>
        <w:t>(12), 4387–4392. </w:t>
      </w:r>
      <w:hyperlink r:id="rId82">
        <w:r>
          <w:rPr>
            <w:spacing w:val="-2"/>
            <w:sz w:val="22"/>
          </w:rPr>
          <w:t>https://doi.org/10.1073/pnas.0408648102</w:t>
        </w:r>
      </w:hyperlink>
    </w:p>
    <w:p>
      <w:pPr>
        <w:spacing w:before="160"/>
        <w:ind w:left="638" w:right="211" w:hanging="481"/>
        <w:jc w:val="left"/>
        <w:rPr>
          <w:sz w:val="22"/>
        </w:rPr>
      </w:pPr>
      <w:r>
        <w:rPr>
          <w:sz w:val="22"/>
        </w:rPr>
        <w:t>Symonds, M. R. E., &amp; Moussalli, A. (2011). A brief guide to model selection, multimodel inference and model</w:t>
      </w:r>
      <w:r>
        <w:rPr>
          <w:spacing w:val="-4"/>
          <w:sz w:val="22"/>
        </w:rPr>
        <w:t> </w:t>
      </w:r>
      <w:r>
        <w:rPr>
          <w:sz w:val="22"/>
        </w:rPr>
        <w:t>averaging</w:t>
      </w:r>
      <w:r>
        <w:rPr>
          <w:spacing w:val="-4"/>
          <w:sz w:val="22"/>
        </w:rPr>
        <w:t> </w:t>
      </w:r>
      <w:r>
        <w:rPr>
          <w:sz w:val="22"/>
        </w:rPr>
        <w:t>in</w:t>
      </w:r>
      <w:r>
        <w:rPr>
          <w:spacing w:val="-3"/>
          <w:sz w:val="22"/>
        </w:rPr>
        <w:t> </w:t>
      </w:r>
      <w:r>
        <w:rPr>
          <w:sz w:val="22"/>
        </w:rPr>
        <w:t>behavioural</w:t>
      </w:r>
      <w:r>
        <w:rPr>
          <w:spacing w:val="-4"/>
          <w:sz w:val="22"/>
        </w:rPr>
        <w:t> </w:t>
      </w:r>
      <w:r>
        <w:rPr>
          <w:sz w:val="22"/>
        </w:rPr>
        <w:t>ecology</w:t>
      </w:r>
      <w:r>
        <w:rPr>
          <w:spacing w:val="-4"/>
          <w:sz w:val="22"/>
        </w:rPr>
        <w:t> </w:t>
      </w:r>
      <w:r>
        <w:rPr>
          <w:sz w:val="22"/>
        </w:rPr>
        <w:t>using</w:t>
      </w:r>
      <w:r>
        <w:rPr>
          <w:spacing w:val="-6"/>
          <w:sz w:val="22"/>
        </w:rPr>
        <w:t> </w:t>
      </w:r>
      <w:r>
        <w:rPr>
          <w:sz w:val="22"/>
        </w:rPr>
        <w:t>Akaike’s</w:t>
      </w:r>
      <w:r>
        <w:rPr>
          <w:spacing w:val="-5"/>
          <w:sz w:val="22"/>
        </w:rPr>
        <w:t> </w:t>
      </w:r>
      <w:r>
        <w:rPr>
          <w:sz w:val="22"/>
        </w:rPr>
        <w:t>information</w:t>
      </w:r>
      <w:r>
        <w:rPr>
          <w:spacing w:val="-3"/>
          <w:sz w:val="22"/>
        </w:rPr>
        <w:t> </w:t>
      </w:r>
      <w:r>
        <w:rPr>
          <w:sz w:val="22"/>
        </w:rPr>
        <w:t>criterion.</w:t>
      </w:r>
      <w:r>
        <w:rPr>
          <w:spacing w:val="-2"/>
          <w:sz w:val="22"/>
        </w:rPr>
        <w:t> </w:t>
      </w:r>
      <w:r>
        <w:rPr>
          <w:i/>
          <w:sz w:val="22"/>
        </w:rPr>
        <w:t>Behavioral</w:t>
      </w:r>
      <w:r>
        <w:rPr>
          <w:i/>
          <w:spacing w:val="-3"/>
          <w:sz w:val="22"/>
        </w:rPr>
        <w:t> </w:t>
      </w:r>
      <w:r>
        <w:rPr>
          <w:i/>
          <w:sz w:val="22"/>
        </w:rPr>
        <w:t>Ecology</w:t>
      </w:r>
      <w:r>
        <w:rPr>
          <w:i/>
          <w:spacing w:val="-4"/>
          <w:sz w:val="22"/>
        </w:rPr>
        <w:t> </w:t>
      </w:r>
      <w:r>
        <w:rPr>
          <w:i/>
          <w:sz w:val="22"/>
        </w:rPr>
        <w:t>and Sociobiology</w:t>
      </w:r>
      <w:r>
        <w:rPr>
          <w:sz w:val="22"/>
        </w:rPr>
        <w:t>, </w:t>
      </w:r>
      <w:r>
        <w:rPr>
          <w:i/>
          <w:sz w:val="22"/>
        </w:rPr>
        <w:t>65</w:t>
      </w:r>
      <w:r>
        <w:rPr>
          <w:sz w:val="22"/>
        </w:rPr>
        <w:t>(1), 13–21. </w:t>
      </w:r>
      <w:hyperlink r:id="rId83">
        <w:r>
          <w:rPr>
            <w:sz w:val="22"/>
          </w:rPr>
          <w:t>https://doi.org/10.1007/s00265-010-1037-6</w:t>
        </w:r>
      </w:hyperlink>
    </w:p>
    <w:p>
      <w:pPr>
        <w:spacing w:before="159"/>
        <w:ind w:left="638" w:right="211" w:hanging="481"/>
        <w:jc w:val="left"/>
        <w:rPr>
          <w:sz w:val="22"/>
        </w:rPr>
      </w:pPr>
      <w:r>
        <w:rPr>
          <w:sz w:val="22"/>
        </w:rPr>
        <w:t>Tabata, K., Hashimoto,</w:t>
      </w:r>
      <w:r>
        <w:rPr>
          <w:spacing w:val="-2"/>
          <w:sz w:val="22"/>
        </w:rPr>
        <w:t> </w:t>
      </w:r>
      <w:r>
        <w:rPr>
          <w:sz w:val="22"/>
        </w:rPr>
        <w:t>H., &amp;</w:t>
      </w:r>
      <w:r>
        <w:rPr>
          <w:spacing w:val="-1"/>
          <w:sz w:val="22"/>
        </w:rPr>
        <w:t> </w:t>
      </w:r>
      <w:r>
        <w:rPr>
          <w:sz w:val="22"/>
        </w:rPr>
        <w:t>Morimoto,</w:t>
      </w:r>
      <w:r>
        <w:rPr>
          <w:spacing w:val="-2"/>
          <w:sz w:val="22"/>
        </w:rPr>
        <w:t> </w:t>
      </w:r>
      <w:r>
        <w:rPr>
          <w:sz w:val="22"/>
        </w:rPr>
        <w:t>Y. (2015).</w:t>
      </w:r>
      <w:r>
        <w:rPr>
          <w:spacing w:val="-2"/>
          <w:sz w:val="22"/>
        </w:rPr>
        <w:t> </w:t>
      </w:r>
      <w:r>
        <w:rPr>
          <w:sz w:val="22"/>
        </w:rPr>
        <w:t>The effects</w:t>
      </w:r>
      <w:r>
        <w:rPr>
          <w:spacing w:val="-4"/>
          <w:sz w:val="22"/>
        </w:rPr>
        <w:t> </w:t>
      </w:r>
      <w:r>
        <w:rPr>
          <w:sz w:val="22"/>
        </w:rPr>
        <w:t>of initial size</w:t>
      </w:r>
      <w:r>
        <w:rPr>
          <w:spacing w:val="-4"/>
          <w:sz w:val="22"/>
        </w:rPr>
        <w:t> </w:t>
      </w:r>
      <w:r>
        <w:rPr>
          <w:sz w:val="22"/>
        </w:rPr>
        <w:t>and competing</w:t>
      </w:r>
      <w:r>
        <w:rPr>
          <w:spacing w:val="-2"/>
          <w:sz w:val="22"/>
        </w:rPr>
        <w:t> </w:t>
      </w:r>
      <w:r>
        <w:rPr>
          <w:sz w:val="22"/>
        </w:rPr>
        <w:t>trees</w:t>
      </w:r>
      <w:r>
        <w:rPr>
          <w:spacing w:val="-1"/>
          <w:sz w:val="22"/>
        </w:rPr>
        <w:t> </w:t>
      </w:r>
      <w:r>
        <w:rPr>
          <w:sz w:val="22"/>
        </w:rPr>
        <w:t>on the growth</w:t>
      </w:r>
      <w:r>
        <w:rPr>
          <w:spacing w:val="-6"/>
          <w:sz w:val="22"/>
        </w:rPr>
        <w:t> </w:t>
      </w:r>
      <w:r>
        <w:rPr>
          <w:sz w:val="22"/>
        </w:rPr>
        <w:t>of</w:t>
      </w:r>
      <w:r>
        <w:rPr>
          <w:spacing w:val="-1"/>
          <w:sz w:val="22"/>
        </w:rPr>
        <w:t> </w:t>
      </w:r>
      <w:r>
        <w:rPr>
          <w:sz w:val="22"/>
        </w:rPr>
        <w:t>Quercus</w:t>
      </w:r>
      <w:r>
        <w:rPr>
          <w:spacing w:val="-3"/>
          <w:sz w:val="22"/>
        </w:rPr>
        <w:t> </w:t>
      </w:r>
      <w:r>
        <w:rPr>
          <w:sz w:val="22"/>
        </w:rPr>
        <w:t>glauca</w:t>
      </w:r>
      <w:r>
        <w:rPr>
          <w:spacing w:val="-5"/>
          <w:sz w:val="22"/>
        </w:rPr>
        <w:t> </w:t>
      </w:r>
      <w:r>
        <w:rPr>
          <w:sz w:val="22"/>
        </w:rPr>
        <w:t>thunb.</w:t>
      </w:r>
      <w:r>
        <w:rPr>
          <w:spacing w:val="-2"/>
          <w:sz w:val="22"/>
        </w:rPr>
        <w:t> </w:t>
      </w:r>
      <w:r>
        <w:rPr>
          <w:sz w:val="22"/>
        </w:rPr>
        <w:t>and</w:t>
      </w:r>
      <w:r>
        <w:rPr>
          <w:spacing w:val="-2"/>
          <w:sz w:val="22"/>
        </w:rPr>
        <w:t> </w:t>
      </w:r>
      <w:r>
        <w:rPr>
          <w:sz w:val="22"/>
        </w:rPr>
        <w:t>Quercus</w:t>
      </w:r>
      <w:r>
        <w:rPr>
          <w:spacing w:val="-3"/>
          <w:sz w:val="22"/>
        </w:rPr>
        <w:t> </w:t>
      </w:r>
      <w:r>
        <w:rPr>
          <w:sz w:val="22"/>
        </w:rPr>
        <w:t>myrsinaefolia</w:t>
      </w:r>
      <w:r>
        <w:rPr>
          <w:spacing w:val="-3"/>
          <w:sz w:val="22"/>
        </w:rPr>
        <w:t> </w:t>
      </w:r>
      <w:r>
        <w:rPr>
          <w:sz w:val="22"/>
        </w:rPr>
        <w:t>blume.</w:t>
      </w:r>
      <w:r>
        <w:rPr>
          <w:spacing w:val="-2"/>
          <w:sz w:val="22"/>
        </w:rPr>
        <w:t> </w:t>
      </w:r>
      <w:r>
        <w:rPr>
          <w:sz w:val="22"/>
        </w:rPr>
        <w:t>in</w:t>
      </w:r>
      <w:r>
        <w:rPr>
          <w:spacing w:val="-1"/>
          <w:sz w:val="22"/>
        </w:rPr>
        <w:t> </w:t>
      </w:r>
      <w:r>
        <w:rPr>
          <w:sz w:val="22"/>
        </w:rPr>
        <w:t>a</w:t>
      </w:r>
      <w:r>
        <w:rPr>
          <w:spacing w:val="-3"/>
          <w:sz w:val="22"/>
        </w:rPr>
        <w:t> </w:t>
      </w:r>
      <w:r>
        <w:rPr>
          <w:sz w:val="22"/>
        </w:rPr>
        <w:t>large-scale</w:t>
      </w:r>
      <w:r>
        <w:rPr>
          <w:spacing w:val="-2"/>
          <w:sz w:val="22"/>
        </w:rPr>
        <w:t> </w:t>
      </w:r>
      <w:r>
        <w:rPr>
          <w:sz w:val="22"/>
        </w:rPr>
        <w:t>mature</w:t>
      </w:r>
      <w:r>
        <w:rPr>
          <w:spacing w:val="-3"/>
          <w:sz w:val="22"/>
        </w:rPr>
        <w:t> </w:t>
      </w:r>
      <w:r>
        <w:rPr>
          <w:sz w:val="22"/>
        </w:rPr>
        <w:t>urban forest. </w:t>
      </w:r>
      <w:r>
        <w:rPr>
          <w:i/>
          <w:sz w:val="22"/>
        </w:rPr>
        <w:t>Journal of the Japanese Society of Revegetation Technology</w:t>
      </w:r>
      <w:r>
        <w:rPr>
          <w:sz w:val="22"/>
        </w:rPr>
        <w:t>, </w:t>
      </w:r>
      <w:r>
        <w:rPr>
          <w:i/>
          <w:sz w:val="22"/>
        </w:rPr>
        <w:t>41</w:t>
      </w:r>
      <w:r>
        <w:rPr>
          <w:sz w:val="22"/>
        </w:rPr>
        <w:t>(1), 97–102. </w:t>
      </w:r>
      <w:hyperlink r:id="rId84">
        <w:r>
          <w:rPr>
            <w:spacing w:val="-2"/>
            <w:sz w:val="22"/>
          </w:rPr>
          <w:t>https://doi.org/10.7211/jjsrt.41.97</w:t>
        </w:r>
      </w:hyperlink>
    </w:p>
    <w:p>
      <w:pPr>
        <w:spacing w:before="162"/>
        <w:ind w:left="638" w:right="226" w:hanging="481"/>
        <w:jc w:val="left"/>
        <w:rPr>
          <w:sz w:val="22"/>
        </w:rPr>
      </w:pPr>
      <w:r>
        <w:rPr>
          <w:sz w:val="22"/>
        </w:rPr>
        <w:t>Tanner,</w:t>
      </w:r>
      <w:r>
        <w:rPr>
          <w:spacing w:val="-2"/>
          <w:sz w:val="22"/>
        </w:rPr>
        <w:t> </w:t>
      </w:r>
      <w:r>
        <w:rPr>
          <w:sz w:val="22"/>
        </w:rPr>
        <w:t>E.</w:t>
      </w:r>
      <w:r>
        <w:rPr>
          <w:spacing w:val="-2"/>
          <w:sz w:val="22"/>
        </w:rPr>
        <w:t> </w:t>
      </w:r>
      <w:r>
        <w:rPr>
          <w:sz w:val="22"/>
        </w:rPr>
        <w:t>V.</w:t>
      </w:r>
      <w:r>
        <w:rPr>
          <w:spacing w:val="-2"/>
          <w:sz w:val="22"/>
        </w:rPr>
        <w:t> </w:t>
      </w:r>
      <w:r>
        <w:rPr>
          <w:sz w:val="22"/>
        </w:rPr>
        <w:t>J.,</w:t>
      </w:r>
      <w:r>
        <w:rPr>
          <w:spacing w:val="-5"/>
          <w:sz w:val="22"/>
        </w:rPr>
        <w:t> </w:t>
      </w:r>
      <w:r>
        <w:rPr>
          <w:sz w:val="22"/>
        </w:rPr>
        <w:t>Vitousek,</w:t>
      </w:r>
      <w:r>
        <w:rPr>
          <w:spacing w:val="-5"/>
          <w:sz w:val="22"/>
        </w:rPr>
        <w:t> </w:t>
      </w:r>
      <w:r>
        <w:rPr>
          <w:sz w:val="22"/>
        </w:rPr>
        <w:t>P.</w:t>
      </w:r>
      <w:r>
        <w:rPr>
          <w:spacing w:val="-2"/>
          <w:sz w:val="22"/>
        </w:rPr>
        <w:t> </w:t>
      </w:r>
      <w:r>
        <w:rPr>
          <w:sz w:val="22"/>
        </w:rPr>
        <w:t>M.,</w:t>
      </w:r>
      <w:r>
        <w:rPr>
          <w:spacing w:val="-2"/>
          <w:sz w:val="22"/>
        </w:rPr>
        <w:t> </w:t>
      </w:r>
      <w:r>
        <w:rPr>
          <w:sz w:val="22"/>
        </w:rPr>
        <w:t>&amp;</w:t>
      </w:r>
      <w:r>
        <w:rPr>
          <w:spacing w:val="-7"/>
          <w:sz w:val="22"/>
        </w:rPr>
        <w:t> </w:t>
      </w:r>
      <w:r>
        <w:rPr>
          <w:sz w:val="22"/>
        </w:rPr>
        <w:t>Cuevas,</w:t>
      </w:r>
      <w:r>
        <w:rPr>
          <w:spacing w:val="-2"/>
          <w:sz w:val="22"/>
        </w:rPr>
        <w:t> </w:t>
      </w:r>
      <w:r>
        <w:rPr>
          <w:sz w:val="22"/>
        </w:rPr>
        <w:t>E.</w:t>
      </w:r>
      <w:r>
        <w:rPr>
          <w:spacing w:val="-2"/>
          <w:sz w:val="22"/>
        </w:rPr>
        <w:t> </w:t>
      </w:r>
      <w:r>
        <w:rPr>
          <w:sz w:val="22"/>
        </w:rPr>
        <w:t>(1998).</w:t>
      </w:r>
      <w:r>
        <w:rPr>
          <w:spacing w:val="-2"/>
          <w:sz w:val="22"/>
        </w:rPr>
        <w:t> </w:t>
      </w:r>
      <w:r>
        <w:rPr>
          <w:sz w:val="22"/>
        </w:rPr>
        <w:t>Experimental</w:t>
      </w:r>
      <w:r>
        <w:rPr>
          <w:spacing w:val="-3"/>
          <w:sz w:val="22"/>
        </w:rPr>
        <w:t> </w:t>
      </w:r>
      <w:r>
        <w:rPr>
          <w:sz w:val="22"/>
        </w:rPr>
        <w:t>Investigation</w:t>
      </w:r>
      <w:r>
        <w:rPr>
          <w:spacing w:val="-2"/>
          <w:sz w:val="22"/>
        </w:rPr>
        <w:t> </w:t>
      </w:r>
      <w:r>
        <w:rPr>
          <w:sz w:val="22"/>
        </w:rPr>
        <w:t>of</w:t>
      </w:r>
      <w:r>
        <w:rPr>
          <w:spacing w:val="-2"/>
          <w:sz w:val="22"/>
        </w:rPr>
        <w:t> </w:t>
      </w:r>
      <w:r>
        <w:rPr>
          <w:sz w:val="22"/>
        </w:rPr>
        <w:t>Nutruient</w:t>
      </w:r>
      <w:r>
        <w:rPr>
          <w:spacing w:val="-2"/>
          <w:sz w:val="22"/>
        </w:rPr>
        <w:t> </w:t>
      </w:r>
      <w:r>
        <w:rPr>
          <w:sz w:val="22"/>
        </w:rPr>
        <w:t>Limitation</w:t>
      </w:r>
      <w:r>
        <w:rPr>
          <w:spacing w:val="-5"/>
          <w:sz w:val="22"/>
        </w:rPr>
        <w:t> </w:t>
      </w:r>
      <w:r>
        <w:rPr>
          <w:sz w:val="22"/>
        </w:rPr>
        <w:t>of Forest Growth on wet tropical Mountains. </w:t>
      </w:r>
      <w:r>
        <w:rPr>
          <w:i/>
          <w:sz w:val="22"/>
        </w:rPr>
        <w:t>Ecology</w:t>
      </w:r>
      <w:r>
        <w:rPr>
          <w:sz w:val="22"/>
        </w:rPr>
        <w:t>, </w:t>
      </w:r>
      <w:r>
        <w:rPr>
          <w:i/>
          <w:sz w:val="22"/>
        </w:rPr>
        <w:t>79</w:t>
      </w:r>
      <w:r>
        <w:rPr>
          <w:sz w:val="22"/>
        </w:rPr>
        <w:t>(1), 10–22. </w:t>
      </w:r>
      <w:hyperlink r:id="rId85">
        <w:r>
          <w:rPr>
            <w:sz w:val="22"/>
          </w:rPr>
          <w:t>https://doi.org/10.1890/0012-</w:t>
        </w:r>
      </w:hyperlink>
      <w:r>
        <w:rPr>
          <w:spacing w:val="-2"/>
          <w:sz w:val="22"/>
        </w:rPr>
        <w:t>9658(1998)079[0010:EIONLO]2.0.CO;2</w:t>
      </w:r>
    </w:p>
    <w:p>
      <w:pPr>
        <w:spacing w:before="159"/>
        <w:ind w:left="638" w:right="0" w:hanging="481"/>
        <w:jc w:val="left"/>
        <w:rPr>
          <w:sz w:val="22"/>
        </w:rPr>
      </w:pPr>
      <w:r>
        <w:rPr>
          <w:sz w:val="22"/>
        </w:rPr>
        <w:t>Tapia-Armijos, M. F., Homeier, J., Espinosa, C. I., Leuschner, C., &amp; de la Cruz, M. (2015). Deforestation and Forest</w:t>
      </w:r>
      <w:r>
        <w:rPr>
          <w:spacing w:val="-2"/>
          <w:sz w:val="22"/>
        </w:rPr>
        <w:t> </w:t>
      </w:r>
      <w:r>
        <w:rPr>
          <w:sz w:val="22"/>
        </w:rPr>
        <w:t>Fragmentation</w:t>
      </w:r>
      <w:r>
        <w:rPr>
          <w:spacing w:val="-2"/>
          <w:sz w:val="22"/>
        </w:rPr>
        <w:t> </w:t>
      </w:r>
      <w:r>
        <w:rPr>
          <w:sz w:val="22"/>
        </w:rPr>
        <w:t>in</w:t>
      </w:r>
      <w:r>
        <w:rPr>
          <w:spacing w:val="-4"/>
          <w:sz w:val="22"/>
        </w:rPr>
        <w:t> </w:t>
      </w:r>
      <w:r>
        <w:rPr>
          <w:sz w:val="22"/>
        </w:rPr>
        <w:t>South</w:t>
      </w:r>
      <w:r>
        <w:rPr>
          <w:spacing w:val="-4"/>
          <w:sz w:val="22"/>
        </w:rPr>
        <w:t> </w:t>
      </w:r>
      <w:r>
        <w:rPr>
          <w:sz w:val="22"/>
        </w:rPr>
        <w:t>Ecuador</w:t>
      </w:r>
      <w:r>
        <w:rPr>
          <w:spacing w:val="-3"/>
          <w:sz w:val="22"/>
        </w:rPr>
        <w:t> </w:t>
      </w:r>
      <w:r>
        <w:rPr>
          <w:sz w:val="22"/>
        </w:rPr>
        <w:t>since</w:t>
      </w:r>
      <w:r>
        <w:rPr>
          <w:spacing w:val="-5"/>
          <w:sz w:val="22"/>
        </w:rPr>
        <w:t> </w:t>
      </w:r>
      <w:r>
        <w:rPr>
          <w:sz w:val="22"/>
        </w:rPr>
        <w:t>the</w:t>
      </w:r>
      <w:r>
        <w:rPr>
          <w:spacing w:val="-3"/>
          <w:sz w:val="22"/>
        </w:rPr>
        <w:t> </w:t>
      </w:r>
      <w:r>
        <w:rPr>
          <w:sz w:val="22"/>
        </w:rPr>
        <w:t>1970s –</w:t>
      </w:r>
      <w:r>
        <w:rPr>
          <w:spacing w:val="-4"/>
          <w:sz w:val="22"/>
        </w:rPr>
        <w:t> </w:t>
      </w:r>
      <w:r>
        <w:rPr>
          <w:sz w:val="22"/>
        </w:rPr>
        <w:t>Losing</w:t>
      </w:r>
      <w:r>
        <w:rPr>
          <w:spacing w:val="-3"/>
          <w:sz w:val="22"/>
        </w:rPr>
        <w:t> </w:t>
      </w:r>
      <w:r>
        <w:rPr>
          <w:sz w:val="22"/>
        </w:rPr>
        <w:t>a</w:t>
      </w:r>
      <w:r>
        <w:rPr>
          <w:spacing w:val="-3"/>
          <w:sz w:val="22"/>
        </w:rPr>
        <w:t> </w:t>
      </w:r>
      <w:r>
        <w:rPr>
          <w:sz w:val="22"/>
        </w:rPr>
        <w:t>Hotspot</w:t>
      </w:r>
      <w:r>
        <w:rPr>
          <w:spacing w:val="-3"/>
          <w:sz w:val="22"/>
        </w:rPr>
        <w:t> </w:t>
      </w:r>
      <w:r>
        <w:rPr>
          <w:sz w:val="22"/>
        </w:rPr>
        <w:t>of</w:t>
      </w:r>
      <w:r>
        <w:rPr>
          <w:spacing w:val="-2"/>
          <w:sz w:val="22"/>
        </w:rPr>
        <w:t> </w:t>
      </w:r>
      <w:r>
        <w:rPr>
          <w:sz w:val="22"/>
        </w:rPr>
        <w:t>Biodiversity.</w:t>
      </w:r>
      <w:r>
        <w:rPr>
          <w:spacing w:val="-4"/>
          <w:sz w:val="22"/>
        </w:rPr>
        <w:t> </w:t>
      </w:r>
      <w:r>
        <w:rPr>
          <w:i/>
          <w:sz w:val="22"/>
        </w:rPr>
        <w:t>PLOS</w:t>
      </w:r>
      <w:r>
        <w:rPr>
          <w:i/>
          <w:spacing w:val="-4"/>
          <w:sz w:val="22"/>
        </w:rPr>
        <w:t> </w:t>
      </w:r>
      <w:r>
        <w:rPr>
          <w:i/>
          <w:sz w:val="22"/>
        </w:rPr>
        <w:t>ONE</w:t>
      </w:r>
      <w:r>
        <w:rPr>
          <w:sz w:val="22"/>
        </w:rPr>
        <w:t>, </w:t>
      </w:r>
      <w:r>
        <w:rPr>
          <w:i/>
          <w:sz w:val="22"/>
        </w:rPr>
        <w:t>10</w:t>
      </w:r>
      <w:r>
        <w:rPr>
          <w:sz w:val="22"/>
        </w:rPr>
        <w:t>(9), e0133701. </w:t>
      </w:r>
      <w:hyperlink r:id="rId86">
        <w:r>
          <w:rPr>
            <w:sz w:val="22"/>
          </w:rPr>
          <w:t>https://doi.org/10.1371/journal.pone.0133701</w:t>
        </w:r>
      </w:hyperlink>
    </w:p>
    <w:p>
      <w:pPr>
        <w:spacing w:before="159"/>
        <w:ind w:left="638" w:right="566" w:hanging="481"/>
        <w:jc w:val="left"/>
        <w:rPr>
          <w:sz w:val="22"/>
        </w:rPr>
      </w:pPr>
      <w:r>
        <w:rPr>
          <w:sz w:val="22"/>
        </w:rPr>
        <w:t>Townsend,</w:t>
      </w:r>
      <w:r>
        <w:rPr>
          <w:spacing w:val="-2"/>
          <w:sz w:val="22"/>
        </w:rPr>
        <w:t> </w:t>
      </w:r>
      <w:r>
        <w:rPr>
          <w:sz w:val="22"/>
        </w:rPr>
        <w:t>A.</w:t>
      </w:r>
      <w:r>
        <w:rPr>
          <w:spacing w:val="-2"/>
          <w:sz w:val="22"/>
        </w:rPr>
        <w:t> </w:t>
      </w:r>
      <w:r>
        <w:rPr>
          <w:sz w:val="22"/>
        </w:rPr>
        <w:t>R.,</w:t>
      </w:r>
      <w:r>
        <w:rPr>
          <w:spacing w:val="-2"/>
          <w:sz w:val="22"/>
        </w:rPr>
        <w:t> </w:t>
      </w:r>
      <w:r>
        <w:rPr>
          <w:sz w:val="22"/>
        </w:rPr>
        <w:t>Cleveland,</w:t>
      </w:r>
      <w:r>
        <w:rPr>
          <w:spacing w:val="-3"/>
          <w:sz w:val="22"/>
        </w:rPr>
        <w:t> </w:t>
      </w:r>
      <w:r>
        <w:rPr>
          <w:sz w:val="22"/>
        </w:rPr>
        <w:t>C.</w:t>
      </w:r>
      <w:r>
        <w:rPr>
          <w:spacing w:val="-2"/>
          <w:sz w:val="22"/>
        </w:rPr>
        <w:t> </w:t>
      </w:r>
      <w:r>
        <w:rPr>
          <w:sz w:val="22"/>
        </w:rPr>
        <w:t>C.,</w:t>
      </w:r>
      <w:r>
        <w:rPr>
          <w:spacing w:val="-5"/>
          <w:sz w:val="22"/>
        </w:rPr>
        <w:t> </w:t>
      </w:r>
      <w:r>
        <w:rPr>
          <w:sz w:val="22"/>
        </w:rPr>
        <w:t>Asner,</w:t>
      </w:r>
      <w:r>
        <w:rPr>
          <w:spacing w:val="-2"/>
          <w:sz w:val="22"/>
        </w:rPr>
        <w:t> </w:t>
      </w:r>
      <w:r>
        <w:rPr>
          <w:sz w:val="22"/>
        </w:rPr>
        <w:t>G.</w:t>
      </w:r>
      <w:r>
        <w:rPr>
          <w:spacing w:val="-5"/>
          <w:sz w:val="22"/>
        </w:rPr>
        <w:t> </w:t>
      </w:r>
      <w:r>
        <w:rPr>
          <w:sz w:val="22"/>
        </w:rPr>
        <w:t>P.,</w:t>
      </w:r>
      <w:r>
        <w:rPr>
          <w:spacing w:val="-2"/>
          <w:sz w:val="22"/>
        </w:rPr>
        <w:t> </w:t>
      </w:r>
      <w:r>
        <w:rPr>
          <w:sz w:val="22"/>
        </w:rPr>
        <w:t>&amp;</w:t>
      </w:r>
      <w:r>
        <w:rPr>
          <w:spacing w:val="-7"/>
          <w:sz w:val="22"/>
        </w:rPr>
        <w:t> </w:t>
      </w:r>
      <w:r>
        <w:rPr>
          <w:sz w:val="22"/>
        </w:rPr>
        <w:t>Bustamante,</w:t>
      </w:r>
      <w:r>
        <w:rPr>
          <w:spacing w:val="-3"/>
          <w:sz w:val="22"/>
        </w:rPr>
        <w:t> </w:t>
      </w:r>
      <w:r>
        <w:rPr>
          <w:sz w:val="22"/>
        </w:rPr>
        <w:t>M.</w:t>
      </w:r>
      <w:r>
        <w:rPr>
          <w:spacing w:val="-2"/>
          <w:sz w:val="22"/>
        </w:rPr>
        <w:t> </w:t>
      </w:r>
      <w:r>
        <w:rPr>
          <w:sz w:val="22"/>
        </w:rPr>
        <w:t>M.</w:t>
      </w:r>
      <w:r>
        <w:rPr>
          <w:spacing w:val="-2"/>
          <w:sz w:val="22"/>
        </w:rPr>
        <w:t> </w:t>
      </w:r>
      <w:r>
        <w:rPr>
          <w:sz w:val="22"/>
        </w:rPr>
        <w:t>C.</w:t>
      </w:r>
      <w:r>
        <w:rPr>
          <w:spacing w:val="-2"/>
          <w:sz w:val="22"/>
        </w:rPr>
        <w:t> </w:t>
      </w:r>
      <w:r>
        <w:rPr>
          <w:sz w:val="22"/>
        </w:rPr>
        <w:t>(2007).</w:t>
      </w:r>
      <w:r>
        <w:rPr>
          <w:spacing w:val="-2"/>
          <w:sz w:val="22"/>
        </w:rPr>
        <w:t> </w:t>
      </w:r>
      <w:r>
        <w:rPr>
          <w:sz w:val="22"/>
        </w:rPr>
        <w:t>Controls</w:t>
      </w:r>
      <w:r>
        <w:rPr>
          <w:spacing w:val="-3"/>
          <w:sz w:val="22"/>
        </w:rPr>
        <w:t> </w:t>
      </w:r>
      <w:r>
        <w:rPr>
          <w:sz w:val="22"/>
        </w:rPr>
        <w:t>over</w:t>
      </w:r>
      <w:r>
        <w:rPr>
          <w:spacing w:val="-4"/>
          <w:sz w:val="22"/>
        </w:rPr>
        <w:t> </w:t>
      </w:r>
      <w:r>
        <w:rPr>
          <w:sz w:val="22"/>
        </w:rPr>
        <w:t>foliar</w:t>
      </w:r>
      <w:r>
        <w:rPr>
          <w:spacing w:val="-7"/>
          <w:sz w:val="22"/>
        </w:rPr>
        <w:t> </w:t>
      </w:r>
      <w:r>
        <w:rPr>
          <w:sz w:val="22"/>
        </w:rPr>
        <w:t>N:P ratios in tropical rain forests. </w:t>
      </w:r>
      <w:r>
        <w:rPr>
          <w:i/>
          <w:sz w:val="22"/>
        </w:rPr>
        <w:t>Ecology</w:t>
      </w:r>
      <w:r>
        <w:rPr>
          <w:sz w:val="22"/>
        </w:rPr>
        <w:t>, </w:t>
      </w:r>
      <w:r>
        <w:rPr>
          <w:i/>
          <w:sz w:val="22"/>
        </w:rPr>
        <w:t>88</w:t>
      </w:r>
      <w:r>
        <w:rPr>
          <w:sz w:val="22"/>
        </w:rPr>
        <w:t>(1), 107–118. </w:t>
      </w:r>
      <w:hyperlink r:id="rId85">
        <w:r>
          <w:rPr>
            <w:sz w:val="22"/>
          </w:rPr>
          <w:t>https://doi.org/10.1890/0012-</w:t>
        </w:r>
      </w:hyperlink>
      <w:r>
        <w:rPr>
          <w:spacing w:val="-2"/>
          <w:sz w:val="22"/>
        </w:rPr>
        <w:t>9658(2007)88[107:COFNRI]2.0.CO;2</w:t>
      </w:r>
    </w:p>
    <w:p>
      <w:pPr>
        <w:spacing w:before="162"/>
        <w:ind w:left="638" w:right="241" w:hanging="481"/>
        <w:jc w:val="left"/>
        <w:rPr>
          <w:sz w:val="22"/>
        </w:rPr>
      </w:pPr>
      <w:r>
        <w:rPr>
          <w:sz w:val="22"/>
        </w:rPr>
        <w:t>Treseder,</w:t>
      </w:r>
      <w:r>
        <w:rPr>
          <w:spacing w:val="-2"/>
          <w:sz w:val="22"/>
        </w:rPr>
        <w:t> </w:t>
      </w:r>
      <w:r>
        <w:rPr>
          <w:sz w:val="22"/>
        </w:rPr>
        <w:t>K.</w:t>
      </w:r>
      <w:r>
        <w:rPr>
          <w:spacing w:val="-5"/>
          <w:sz w:val="22"/>
        </w:rPr>
        <w:t> </w:t>
      </w:r>
      <w:r>
        <w:rPr>
          <w:sz w:val="22"/>
        </w:rPr>
        <w:t>K.,</w:t>
      </w:r>
      <w:r>
        <w:rPr>
          <w:spacing w:val="-2"/>
          <w:sz w:val="22"/>
        </w:rPr>
        <w:t> </w:t>
      </w:r>
      <w:r>
        <w:rPr>
          <w:sz w:val="22"/>
        </w:rPr>
        <w:t>&amp;</w:t>
      </w:r>
      <w:r>
        <w:rPr>
          <w:spacing w:val="-4"/>
          <w:sz w:val="22"/>
        </w:rPr>
        <w:t> </w:t>
      </w:r>
      <w:r>
        <w:rPr>
          <w:sz w:val="22"/>
        </w:rPr>
        <w:t>Vitousek,</w:t>
      </w:r>
      <w:r>
        <w:rPr>
          <w:spacing w:val="-2"/>
          <w:sz w:val="22"/>
        </w:rPr>
        <w:t> </w:t>
      </w:r>
      <w:r>
        <w:rPr>
          <w:sz w:val="22"/>
        </w:rPr>
        <w:t>P.</w:t>
      </w:r>
      <w:r>
        <w:rPr>
          <w:spacing w:val="-2"/>
          <w:sz w:val="22"/>
        </w:rPr>
        <w:t> </w:t>
      </w:r>
      <w:r>
        <w:rPr>
          <w:sz w:val="22"/>
        </w:rPr>
        <w:t>M.</w:t>
      </w:r>
      <w:r>
        <w:rPr>
          <w:spacing w:val="-2"/>
          <w:sz w:val="22"/>
        </w:rPr>
        <w:t> </w:t>
      </w:r>
      <w:r>
        <w:rPr>
          <w:sz w:val="22"/>
        </w:rPr>
        <w:t>(2001).</w:t>
      </w:r>
      <w:r>
        <w:rPr>
          <w:spacing w:val="-2"/>
          <w:sz w:val="22"/>
        </w:rPr>
        <w:t> </w:t>
      </w:r>
      <w:r>
        <w:rPr>
          <w:sz w:val="22"/>
        </w:rPr>
        <w:t>Effects</w:t>
      </w:r>
      <w:r>
        <w:rPr>
          <w:spacing w:val="-4"/>
          <w:sz w:val="22"/>
        </w:rPr>
        <w:t> </w:t>
      </w:r>
      <w:r>
        <w:rPr>
          <w:sz w:val="22"/>
        </w:rPr>
        <w:t>of</w:t>
      </w:r>
      <w:r>
        <w:rPr>
          <w:spacing w:val="-5"/>
          <w:sz w:val="22"/>
        </w:rPr>
        <w:t> </w:t>
      </w:r>
      <w:r>
        <w:rPr>
          <w:sz w:val="22"/>
        </w:rPr>
        <w:t>soil</w:t>
      </w:r>
      <w:r>
        <w:rPr>
          <w:spacing w:val="-3"/>
          <w:sz w:val="22"/>
        </w:rPr>
        <w:t> </w:t>
      </w:r>
      <w:r>
        <w:rPr>
          <w:sz w:val="22"/>
        </w:rPr>
        <w:t>nutrient</w:t>
      </w:r>
      <w:r>
        <w:rPr>
          <w:spacing w:val="-2"/>
          <w:sz w:val="22"/>
        </w:rPr>
        <w:t> </w:t>
      </w:r>
      <w:r>
        <w:rPr>
          <w:sz w:val="22"/>
        </w:rPr>
        <w:t>availability</w:t>
      </w:r>
      <w:r>
        <w:rPr>
          <w:spacing w:val="-4"/>
          <w:sz w:val="22"/>
        </w:rPr>
        <w:t> </w:t>
      </w:r>
      <w:r>
        <w:rPr>
          <w:sz w:val="22"/>
        </w:rPr>
        <w:t>on</w:t>
      </w:r>
      <w:r>
        <w:rPr>
          <w:spacing w:val="-2"/>
          <w:sz w:val="22"/>
        </w:rPr>
        <w:t> </w:t>
      </w:r>
      <w:r>
        <w:rPr>
          <w:sz w:val="22"/>
        </w:rPr>
        <w:t>investment</w:t>
      </w:r>
      <w:r>
        <w:rPr>
          <w:spacing w:val="-2"/>
          <w:sz w:val="22"/>
        </w:rPr>
        <w:t> </w:t>
      </w:r>
      <w:r>
        <w:rPr>
          <w:sz w:val="22"/>
        </w:rPr>
        <w:t>in</w:t>
      </w:r>
      <w:r>
        <w:rPr>
          <w:spacing w:val="-3"/>
          <w:sz w:val="22"/>
        </w:rPr>
        <w:t> </w:t>
      </w:r>
      <w:r>
        <w:rPr>
          <w:sz w:val="22"/>
        </w:rPr>
        <w:t>acquisition</w:t>
      </w:r>
      <w:r>
        <w:rPr>
          <w:spacing w:val="-5"/>
          <w:sz w:val="22"/>
        </w:rPr>
        <w:t> </w:t>
      </w:r>
      <w:r>
        <w:rPr>
          <w:sz w:val="22"/>
        </w:rPr>
        <w:t>of N and P in Hawaiian rain forests. </w:t>
      </w:r>
      <w:r>
        <w:rPr>
          <w:i/>
          <w:sz w:val="22"/>
        </w:rPr>
        <w:t>Ecology</w:t>
      </w:r>
      <w:r>
        <w:rPr>
          <w:sz w:val="22"/>
        </w:rPr>
        <w:t>, </w:t>
      </w:r>
      <w:r>
        <w:rPr>
          <w:i/>
          <w:sz w:val="22"/>
        </w:rPr>
        <w:t>82</w:t>
      </w:r>
      <w:r>
        <w:rPr>
          <w:sz w:val="22"/>
        </w:rPr>
        <w:t>(4), 946–954. </w:t>
      </w:r>
      <w:r>
        <w:rPr>
          <w:spacing w:val="-2"/>
          <w:sz w:val="22"/>
        </w:rPr>
        <w:t>https://doi.org/</w:t>
      </w:r>
      <w:hyperlink r:id="rId87">
        <w:r>
          <w:rPr>
            <w:spacing w:val="-2"/>
            <w:sz w:val="22"/>
          </w:rPr>
          <w:t>https://doi.org/10.1890/0012-9658(2001)082</w:t>
        </w:r>
      </w:hyperlink>
      <w:r>
        <w:rPr>
          <w:spacing w:val="-2"/>
          <w:sz w:val="22"/>
        </w:rPr>
        <w:t>[0946:EOSNAO]2.0.CO;2</w:t>
      </w:r>
    </w:p>
    <w:p>
      <w:pPr>
        <w:spacing w:before="159"/>
        <w:ind w:left="638" w:right="353" w:hanging="481"/>
        <w:jc w:val="left"/>
        <w:rPr>
          <w:sz w:val="22"/>
        </w:rPr>
      </w:pPr>
      <w:r>
        <w:rPr>
          <w:sz w:val="22"/>
        </w:rPr>
        <w:t>Velescu,</w:t>
      </w:r>
      <w:r>
        <w:rPr>
          <w:spacing w:val="-2"/>
          <w:sz w:val="22"/>
        </w:rPr>
        <w:t> </w:t>
      </w:r>
      <w:r>
        <w:rPr>
          <w:sz w:val="22"/>
        </w:rPr>
        <w:t>A.,</w:t>
      </w:r>
      <w:r>
        <w:rPr>
          <w:spacing w:val="-5"/>
          <w:sz w:val="22"/>
        </w:rPr>
        <w:t> </w:t>
      </w:r>
      <w:r>
        <w:rPr>
          <w:sz w:val="22"/>
        </w:rPr>
        <w:t>Valarezo,</w:t>
      </w:r>
      <w:r>
        <w:rPr>
          <w:spacing w:val="-2"/>
          <w:sz w:val="22"/>
        </w:rPr>
        <w:t> </w:t>
      </w:r>
      <w:r>
        <w:rPr>
          <w:sz w:val="22"/>
        </w:rPr>
        <w:t>C.,</w:t>
      </w:r>
      <w:r>
        <w:rPr>
          <w:spacing w:val="-5"/>
          <w:sz w:val="22"/>
        </w:rPr>
        <w:t> </w:t>
      </w:r>
      <w:r>
        <w:rPr>
          <w:sz w:val="22"/>
        </w:rPr>
        <w:t>&amp;</w:t>
      </w:r>
      <w:r>
        <w:rPr>
          <w:spacing w:val="-4"/>
          <w:sz w:val="22"/>
        </w:rPr>
        <w:t> </w:t>
      </w:r>
      <w:r>
        <w:rPr>
          <w:sz w:val="22"/>
        </w:rPr>
        <w:t>Wilcke,</w:t>
      </w:r>
      <w:r>
        <w:rPr>
          <w:spacing w:val="-5"/>
          <w:sz w:val="22"/>
        </w:rPr>
        <w:t> </w:t>
      </w:r>
      <w:r>
        <w:rPr>
          <w:sz w:val="22"/>
        </w:rPr>
        <w:t>W.</w:t>
      </w:r>
      <w:r>
        <w:rPr>
          <w:spacing w:val="-2"/>
          <w:sz w:val="22"/>
        </w:rPr>
        <w:t> </w:t>
      </w:r>
      <w:r>
        <w:rPr>
          <w:sz w:val="22"/>
        </w:rPr>
        <w:t>(2016).</w:t>
      </w:r>
      <w:r>
        <w:rPr>
          <w:spacing w:val="-2"/>
          <w:sz w:val="22"/>
        </w:rPr>
        <w:t> </w:t>
      </w:r>
      <w:r>
        <w:rPr>
          <w:sz w:val="22"/>
        </w:rPr>
        <w:t>Response</w:t>
      </w:r>
      <w:r>
        <w:rPr>
          <w:spacing w:val="-4"/>
          <w:sz w:val="22"/>
        </w:rPr>
        <w:t> </w:t>
      </w:r>
      <w:r>
        <w:rPr>
          <w:sz w:val="22"/>
        </w:rPr>
        <w:t>of</w:t>
      </w:r>
      <w:r>
        <w:rPr>
          <w:spacing w:val="-2"/>
          <w:sz w:val="22"/>
        </w:rPr>
        <w:t> </w:t>
      </w:r>
      <w:r>
        <w:rPr>
          <w:sz w:val="22"/>
        </w:rPr>
        <w:t>dissolved</w:t>
      </w:r>
      <w:r>
        <w:rPr>
          <w:spacing w:val="-4"/>
          <w:sz w:val="22"/>
        </w:rPr>
        <w:t> </w:t>
      </w:r>
      <w:r>
        <w:rPr>
          <w:sz w:val="22"/>
        </w:rPr>
        <w:t>carbon</w:t>
      </w:r>
      <w:r>
        <w:rPr>
          <w:spacing w:val="-2"/>
          <w:sz w:val="22"/>
        </w:rPr>
        <w:t> </w:t>
      </w:r>
      <w:r>
        <w:rPr>
          <w:sz w:val="22"/>
        </w:rPr>
        <w:t>and</w:t>
      </w:r>
      <w:r>
        <w:rPr>
          <w:spacing w:val="-6"/>
          <w:sz w:val="22"/>
        </w:rPr>
        <w:t> </w:t>
      </w:r>
      <w:r>
        <w:rPr>
          <w:sz w:val="22"/>
        </w:rPr>
        <w:t>nitrogen</w:t>
      </w:r>
      <w:r>
        <w:rPr>
          <w:spacing w:val="-2"/>
          <w:sz w:val="22"/>
        </w:rPr>
        <w:t> </w:t>
      </w:r>
      <w:r>
        <w:rPr>
          <w:sz w:val="22"/>
        </w:rPr>
        <w:t>concentrations to moderate nutrient additions in a tropical montane forest of south Ecuador. </w:t>
      </w:r>
      <w:r>
        <w:rPr>
          <w:i/>
          <w:sz w:val="22"/>
        </w:rPr>
        <w:t>Frontiers in Earth Science</w:t>
      </w:r>
      <w:r>
        <w:rPr>
          <w:sz w:val="22"/>
        </w:rPr>
        <w:t>, </w:t>
      </w:r>
      <w:r>
        <w:rPr>
          <w:i/>
          <w:sz w:val="22"/>
        </w:rPr>
        <w:t>4</w:t>
      </w:r>
      <w:r>
        <w:rPr>
          <w:sz w:val="22"/>
        </w:rPr>
        <w:t>. </w:t>
      </w:r>
      <w:hyperlink r:id="rId88">
        <w:r>
          <w:rPr>
            <w:sz w:val="22"/>
          </w:rPr>
          <w:t>https://doi.org/10.3389/feart.2016.00058</w:t>
        </w:r>
      </w:hyperlink>
    </w:p>
    <w:p>
      <w:pPr>
        <w:spacing w:before="160"/>
        <w:ind w:left="638" w:right="0" w:hanging="481"/>
        <w:jc w:val="left"/>
        <w:rPr>
          <w:sz w:val="22"/>
        </w:rPr>
      </w:pPr>
      <w:r>
        <w:rPr>
          <w:sz w:val="22"/>
        </w:rPr>
        <w:t>Vitousek,</w:t>
      </w:r>
      <w:r>
        <w:rPr>
          <w:spacing w:val="-5"/>
          <w:sz w:val="22"/>
        </w:rPr>
        <w:t> </w:t>
      </w:r>
      <w:r>
        <w:rPr>
          <w:sz w:val="22"/>
        </w:rPr>
        <w:t>P.</w:t>
      </w:r>
      <w:r>
        <w:rPr>
          <w:spacing w:val="-2"/>
          <w:sz w:val="22"/>
        </w:rPr>
        <w:t> </w:t>
      </w:r>
      <w:r>
        <w:rPr>
          <w:sz w:val="22"/>
        </w:rPr>
        <w:t>M.,</w:t>
      </w:r>
      <w:r>
        <w:rPr>
          <w:spacing w:val="-2"/>
          <w:sz w:val="22"/>
        </w:rPr>
        <w:t> </w:t>
      </w:r>
      <w:r>
        <w:rPr>
          <w:sz w:val="22"/>
        </w:rPr>
        <w:t>Matson,</w:t>
      </w:r>
      <w:r>
        <w:rPr>
          <w:spacing w:val="-5"/>
          <w:sz w:val="22"/>
        </w:rPr>
        <w:t> </w:t>
      </w:r>
      <w:r>
        <w:rPr>
          <w:sz w:val="22"/>
        </w:rPr>
        <w:t>P.</w:t>
      </w:r>
      <w:r>
        <w:rPr>
          <w:spacing w:val="-2"/>
          <w:sz w:val="22"/>
        </w:rPr>
        <w:t> </w:t>
      </w:r>
      <w:r>
        <w:rPr>
          <w:sz w:val="22"/>
        </w:rPr>
        <w:t>A.,</w:t>
      </w:r>
      <w:r>
        <w:rPr>
          <w:spacing w:val="-2"/>
          <w:sz w:val="22"/>
        </w:rPr>
        <w:t> </w:t>
      </w:r>
      <w:r>
        <w:rPr>
          <w:sz w:val="22"/>
        </w:rPr>
        <w:t>&amp;</w:t>
      </w:r>
      <w:r>
        <w:rPr>
          <w:spacing w:val="-4"/>
          <w:sz w:val="22"/>
        </w:rPr>
        <w:t> </w:t>
      </w:r>
      <w:r>
        <w:rPr>
          <w:sz w:val="22"/>
        </w:rPr>
        <w:t>Turner,</w:t>
      </w:r>
      <w:r>
        <w:rPr>
          <w:spacing w:val="-2"/>
          <w:sz w:val="22"/>
        </w:rPr>
        <w:t> </w:t>
      </w:r>
      <w:r>
        <w:rPr>
          <w:sz w:val="22"/>
        </w:rPr>
        <w:t>D.</w:t>
      </w:r>
      <w:r>
        <w:rPr>
          <w:spacing w:val="-2"/>
          <w:sz w:val="22"/>
        </w:rPr>
        <w:t> </w:t>
      </w:r>
      <w:r>
        <w:rPr>
          <w:sz w:val="22"/>
        </w:rPr>
        <w:t>R.</w:t>
      </w:r>
      <w:r>
        <w:rPr>
          <w:spacing w:val="-5"/>
          <w:sz w:val="22"/>
        </w:rPr>
        <w:t> </w:t>
      </w:r>
      <w:r>
        <w:rPr>
          <w:sz w:val="22"/>
        </w:rPr>
        <w:t>(1988).</w:t>
      </w:r>
      <w:r>
        <w:rPr>
          <w:spacing w:val="-2"/>
          <w:sz w:val="22"/>
        </w:rPr>
        <w:t> </w:t>
      </w:r>
      <w:r>
        <w:rPr>
          <w:sz w:val="22"/>
        </w:rPr>
        <w:t>Elevational</w:t>
      </w:r>
      <w:r>
        <w:rPr>
          <w:spacing w:val="-3"/>
          <w:sz w:val="22"/>
        </w:rPr>
        <w:t> </w:t>
      </w:r>
      <w:r>
        <w:rPr>
          <w:sz w:val="22"/>
        </w:rPr>
        <w:t>and</w:t>
      </w:r>
      <w:r>
        <w:rPr>
          <w:spacing w:val="-3"/>
          <w:sz w:val="22"/>
        </w:rPr>
        <w:t> </w:t>
      </w:r>
      <w:r>
        <w:rPr>
          <w:sz w:val="22"/>
        </w:rPr>
        <w:t>age</w:t>
      </w:r>
      <w:r>
        <w:rPr>
          <w:spacing w:val="-3"/>
          <w:sz w:val="22"/>
        </w:rPr>
        <w:t> </w:t>
      </w:r>
      <w:r>
        <w:rPr>
          <w:sz w:val="22"/>
        </w:rPr>
        <w:t>gradients</w:t>
      </w:r>
      <w:r>
        <w:rPr>
          <w:spacing w:val="-4"/>
          <w:sz w:val="22"/>
        </w:rPr>
        <w:t> </w:t>
      </w:r>
      <w:r>
        <w:rPr>
          <w:sz w:val="22"/>
        </w:rPr>
        <w:t>in</w:t>
      </w:r>
      <w:r>
        <w:rPr>
          <w:spacing w:val="-2"/>
          <w:sz w:val="22"/>
        </w:rPr>
        <w:t> </w:t>
      </w:r>
      <w:r>
        <w:rPr>
          <w:sz w:val="22"/>
        </w:rPr>
        <w:t>hawaiian</w:t>
      </w:r>
      <w:r>
        <w:rPr>
          <w:spacing w:val="-5"/>
          <w:sz w:val="22"/>
        </w:rPr>
        <w:t> </w:t>
      </w:r>
      <w:r>
        <w:rPr>
          <w:sz w:val="22"/>
        </w:rPr>
        <w:t>montane rainforest: foliar and soil nutrients. </w:t>
      </w:r>
      <w:r>
        <w:rPr>
          <w:i/>
          <w:sz w:val="22"/>
        </w:rPr>
        <w:t>Oecologia</w:t>
      </w:r>
      <w:r>
        <w:rPr>
          <w:sz w:val="22"/>
        </w:rPr>
        <w:t>, </w:t>
      </w:r>
      <w:r>
        <w:rPr>
          <w:i/>
          <w:sz w:val="22"/>
        </w:rPr>
        <w:t>77</w:t>
      </w:r>
      <w:r>
        <w:rPr>
          <w:sz w:val="22"/>
        </w:rPr>
        <w:t>(4), 565–570. </w:t>
      </w:r>
      <w:hyperlink r:id="rId89">
        <w:r>
          <w:rPr>
            <w:sz w:val="22"/>
          </w:rPr>
          <w:t>https://doi.org/10.1007/BF00377275</w:t>
        </w:r>
      </w:hyperlink>
    </w:p>
    <w:p>
      <w:pPr>
        <w:spacing w:line="420" w:lineRule="atLeast" w:before="10"/>
        <w:ind w:left="157" w:right="598" w:firstLine="0"/>
        <w:jc w:val="left"/>
        <w:rPr>
          <w:sz w:val="22"/>
        </w:rPr>
      </w:pPr>
      <w:r>
        <w:rPr>
          <w:sz w:val="22"/>
        </w:rPr>
        <w:t>Vu, V. Q. (2011). </w:t>
      </w:r>
      <w:r>
        <w:rPr>
          <w:i/>
          <w:sz w:val="22"/>
        </w:rPr>
        <w:t>ggbiplot: A ggplot2 based biplot</w:t>
      </w:r>
      <w:r>
        <w:rPr>
          <w:sz w:val="22"/>
        </w:rPr>
        <w:t>. Retrieved from </w:t>
      </w:r>
      <w:hyperlink r:id="rId90">
        <w:r>
          <w:rPr>
            <w:sz w:val="22"/>
          </w:rPr>
          <w:t>http://github.com/vqv/ggbiplot</w:t>
        </w:r>
      </w:hyperlink>
      <w:r>
        <w:rPr>
          <w:spacing w:val="40"/>
          <w:sz w:val="22"/>
        </w:rPr>
        <w:t> </w:t>
      </w:r>
      <w:r>
        <w:rPr>
          <w:sz w:val="22"/>
        </w:rPr>
        <w:t>Weiss,</w:t>
      </w:r>
      <w:r>
        <w:rPr>
          <w:spacing w:val="-5"/>
          <w:sz w:val="22"/>
        </w:rPr>
        <w:t> </w:t>
      </w:r>
      <w:r>
        <w:rPr>
          <w:sz w:val="22"/>
        </w:rPr>
        <w:t>K.</w:t>
      </w:r>
      <w:r>
        <w:rPr>
          <w:spacing w:val="-2"/>
          <w:sz w:val="22"/>
        </w:rPr>
        <w:t> </w:t>
      </w:r>
      <w:r>
        <w:rPr>
          <w:sz w:val="22"/>
        </w:rPr>
        <w:t>C.</w:t>
      </w:r>
      <w:r>
        <w:rPr>
          <w:spacing w:val="-2"/>
          <w:sz w:val="22"/>
        </w:rPr>
        <w:t> </w:t>
      </w:r>
      <w:r>
        <w:rPr>
          <w:sz w:val="22"/>
        </w:rPr>
        <w:t>B.,</w:t>
      </w:r>
      <w:r>
        <w:rPr>
          <w:spacing w:val="-2"/>
          <w:sz w:val="22"/>
        </w:rPr>
        <w:t> </w:t>
      </w:r>
      <w:r>
        <w:rPr>
          <w:sz w:val="22"/>
        </w:rPr>
        <w:t>&amp;</w:t>
      </w:r>
      <w:r>
        <w:rPr>
          <w:spacing w:val="-4"/>
          <w:sz w:val="22"/>
        </w:rPr>
        <w:t> </w:t>
      </w:r>
      <w:r>
        <w:rPr>
          <w:sz w:val="22"/>
        </w:rPr>
        <w:t>Ray,</w:t>
      </w:r>
      <w:r>
        <w:rPr>
          <w:spacing w:val="-2"/>
          <w:sz w:val="22"/>
        </w:rPr>
        <w:t> </w:t>
      </w:r>
      <w:r>
        <w:rPr>
          <w:sz w:val="22"/>
        </w:rPr>
        <w:t>C.</w:t>
      </w:r>
      <w:r>
        <w:rPr>
          <w:spacing w:val="-5"/>
          <w:sz w:val="22"/>
        </w:rPr>
        <w:t> </w:t>
      </w:r>
      <w:r>
        <w:rPr>
          <w:sz w:val="22"/>
        </w:rPr>
        <w:t>A.</w:t>
      </w:r>
      <w:r>
        <w:rPr>
          <w:spacing w:val="-2"/>
          <w:sz w:val="22"/>
        </w:rPr>
        <w:t> </w:t>
      </w:r>
      <w:r>
        <w:rPr>
          <w:sz w:val="22"/>
        </w:rPr>
        <w:t>(2019,</w:t>
      </w:r>
      <w:r>
        <w:rPr>
          <w:spacing w:val="-2"/>
          <w:sz w:val="22"/>
        </w:rPr>
        <w:t> </w:t>
      </w:r>
      <w:r>
        <w:rPr>
          <w:sz w:val="22"/>
        </w:rPr>
        <w:t>December</w:t>
      </w:r>
      <w:r>
        <w:rPr>
          <w:spacing w:val="-4"/>
          <w:sz w:val="22"/>
        </w:rPr>
        <w:t> </w:t>
      </w:r>
      <w:r>
        <w:rPr>
          <w:sz w:val="22"/>
        </w:rPr>
        <w:t>1).</w:t>
      </w:r>
      <w:r>
        <w:rPr>
          <w:spacing w:val="-2"/>
          <w:sz w:val="22"/>
        </w:rPr>
        <w:t> </w:t>
      </w:r>
      <w:r>
        <w:rPr>
          <w:sz w:val="22"/>
        </w:rPr>
        <w:t>Unifying</w:t>
      </w:r>
      <w:r>
        <w:rPr>
          <w:spacing w:val="-3"/>
          <w:sz w:val="22"/>
        </w:rPr>
        <w:t> </w:t>
      </w:r>
      <w:r>
        <w:rPr>
          <w:sz w:val="22"/>
        </w:rPr>
        <w:t>functional</w:t>
      </w:r>
      <w:r>
        <w:rPr>
          <w:spacing w:val="-6"/>
          <w:sz w:val="22"/>
        </w:rPr>
        <w:t> </w:t>
      </w:r>
      <w:r>
        <w:rPr>
          <w:sz w:val="22"/>
        </w:rPr>
        <w:t>trait</w:t>
      </w:r>
      <w:r>
        <w:rPr>
          <w:spacing w:val="-2"/>
          <w:sz w:val="22"/>
        </w:rPr>
        <w:t> </w:t>
      </w:r>
      <w:r>
        <w:rPr>
          <w:sz w:val="22"/>
        </w:rPr>
        <w:t>approaches</w:t>
      </w:r>
      <w:r>
        <w:rPr>
          <w:spacing w:val="-4"/>
          <w:sz w:val="22"/>
        </w:rPr>
        <w:t> </w:t>
      </w:r>
      <w:r>
        <w:rPr>
          <w:sz w:val="22"/>
        </w:rPr>
        <w:t>to</w:t>
      </w:r>
      <w:r>
        <w:rPr>
          <w:spacing w:val="-3"/>
          <w:sz w:val="22"/>
        </w:rPr>
        <w:t> </w:t>
      </w:r>
      <w:r>
        <w:rPr>
          <w:sz w:val="22"/>
        </w:rPr>
        <w:t>understand</w:t>
      </w:r>
      <w:r>
        <w:rPr>
          <w:spacing w:val="-6"/>
          <w:sz w:val="22"/>
        </w:rPr>
        <w:t> </w:t>
      </w:r>
      <w:r>
        <w:rPr>
          <w:sz w:val="22"/>
        </w:rPr>
        <w:t>the</w:t>
      </w:r>
    </w:p>
    <w:p>
      <w:pPr>
        <w:spacing w:before="7"/>
        <w:ind w:left="638" w:right="301" w:firstLine="0"/>
        <w:jc w:val="left"/>
        <w:rPr>
          <w:sz w:val="22"/>
        </w:rPr>
      </w:pPr>
      <w:r>
        <w:rPr>
          <w:sz w:val="22"/>
        </w:rPr>
        <w:t>assemblage</w:t>
      </w:r>
      <w:r>
        <w:rPr>
          <w:spacing w:val="-6"/>
          <w:sz w:val="22"/>
        </w:rPr>
        <w:t> </w:t>
      </w:r>
      <w:r>
        <w:rPr>
          <w:sz w:val="22"/>
        </w:rPr>
        <w:t>of</w:t>
      </w:r>
      <w:r>
        <w:rPr>
          <w:spacing w:val="-2"/>
          <w:sz w:val="22"/>
        </w:rPr>
        <w:t> </w:t>
      </w:r>
      <w:r>
        <w:rPr>
          <w:sz w:val="22"/>
        </w:rPr>
        <w:t>ecological</w:t>
      </w:r>
      <w:r>
        <w:rPr>
          <w:spacing w:val="-5"/>
          <w:sz w:val="22"/>
        </w:rPr>
        <w:t> </w:t>
      </w:r>
      <w:r>
        <w:rPr>
          <w:sz w:val="22"/>
        </w:rPr>
        <w:t>communities:</w:t>
      </w:r>
      <w:r>
        <w:rPr>
          <w:spacing w:val="-2"/>
          <w:sz w:val="22"/>
        </w:rPr>
        <w:t> </w:t>
      </w:r>
      <w:r>
        <w:rPr>
          <w:sz w:val="22"/>
        </w:rPr>
        <w:t>synthesizing</w:t>
      </w:r>
      <w:r>
        <w:rPr>
          <w:spacing w:val="-3"/>
          <w:sz w:val="22"/>
        </w:rPr>
        <w:t> </w:t>
      </w:r>
      <w:r>
        <w:rPr>
          <w:sz w:val="22"/>
        </w:rPr>
        <w:t>taxonomic</w:t>
      </w:r>
      <w:r>
        <w:rPr>
          <w:spacing w:val="-4"/>
          <w:sz w:val="22"/>
        </w:rPr>
        <w:t> </w:t>
      </w:r>
      <w:r>
        <w:rPr>
          <w:sz w:val="22"/>
        </w:rPr>
        <w:t>divides.</w:t>
      </w:r>
      <w:r>
        <w:rPr>
          <w:spacing w:val="-2"/>
          <w:sz w:val="22"/>
        </w:rPr>
        <w:t> </w:t>
      </w:r>
      <w:r>
        <w:rPr>
          <w:i/>
          <w:sz w:val="22"/>
        </w:rPr>
        <w:t>Ecography</w:t>
      </w:r>
      <w:r>
        <w:rPr>
          <w:sz w:val="22"/>
        </w:rPr>
        <w:t>,</w:t>
      </w:r>
      <w:r>
        <w:rPr>
          <w:spacing w:val="-5"/>
          <w:sz w:val="22"/>
        </w:rPr>
        <w:t> </w:t>
      </w:r>
      <w:r>
        <w:rPr>
          <w:sz w:val="22"/>
        </w:rPr>
        <w:t>Vol.</w:t>
      </w:r>
      <w:r>
        <w:rPr>
          <w:spacing w:val="-2"/>
          <w:sz w:val="22"/>
        </w:rPr>
        <w:t> </w:t>
      </w:r>
      <w:r>
        <w:rPr>
          <w:sz w:val="22"/>
        </w:rPr>
        <w:t>42,</w:t>
      </w:r>
      <w:r>
        <w:rPr>
          <w:spacing w:val="-5"/>
          <w:sz w:val="22"/>
        </w:rPr>
        <w:t> </w:t>
      </w:r>
      <w:r>
        <w:rPr>
          <w:sz w:val="22"/>
        </w:rPr>
        <w:t>pp.</w:t>
      </w:r>
      <w:r>
        <w:rPr>
          <w:spacing w:val="-5"/>
          <w:sz w:val="22"/>
        </w:rPr>
        <w:t> </w:t>
      </w:r>
      <w:r>
        <w:rPr>
          <w:sz w:val="22"/>
        </w:rPr>
        <w:t>2012–2020. </w:t>
      </w:r>
      <w:hyperlink r:id="rId91">
        <w:r>
          <w:rPr>
            <w:sz w:val="22"/>
          </w:rPr>
          <w:t>https://doi.org/10.1111/ecog.04387</w:t>
        </w:r>
      </w:hyperlink>
    </w:p>
    <w:p>
      <w:pPr>
        <w:spacing w:after="0"/>
        <w:jc w:val="left"/>
        <w:rPr>
          <w:sz w:val="22"/>
        </w:rPr>
        <w:sectPr>
          <w:pgSz w:w="12240" w:h="15840"/>
          <w:pgMar w:header="0" w:footer="1012" w:top="1220" w:bottom="1200" w:left="850" w:right="850"/>
        </w:sectPr>
      </w:pPr>
    </w:p>
    <w:p>
      <w:pPr>
        <w:spacing w:before="37"/>
        <w:ind w:left="638" w:right="400" w:hanging="481"/>
        <w:jc w:val="left"/>
        <w:rPr>
          <w:sz w:val="22"/>
        </w:rPr>
      </w:pPr>
      <w:r>
        <w:rPr>
          <w:sz w:val="22"/>
        </w:rPr>
        <w:t>Werner, F. A., &amp; Homeier, J. (2015). Is tropical montane forest heterogeneity promoted by a resource-driven</w:t>
      </w:r>
      <w:r>
        <w:rPr>
          <w:spacing w:val="-3"/>
          <w:sz w:val="22"/>
        </w:rPr>
        <w:t> </w:t>
      </w:r>
      <w:r>
        <w:rPr>
          <w:sz w:val="22"/>
        </w:rPr>
        <w:t>feedback</w:t>
      </w:r>
      <w:r>
        <w:rPr>
          <w:spacing w:val="-4"/>
          <w:sz w:val="22"/>
        </w:rPr>
        <w:t> </w:t>
      </w:r>
      <w:r>
        <w:rPr>
          <w:sz w:val="22"/>
        </w:rPr>
        <w:t>cycle?</w:t>
      </w:r>
      <w:r>
        <w:rPr>
          <w:spacing w:val="-3"/>
          <w:sz w:val="22"/>
        </w:rPr>
        <w:t> </w:t>
      </w:r>
      <w:r>
        <w:rPr>
          <w:sz w:val="22"/>
        </w:rPr>
        <w:t>Evidence</w:t>
      </w:r>
      <w:r>
        <w:rPr>
          <w:spacing w:val="-4"/>
          <w:sz w:val="22"/>
        </w:rPr>
        <w:t> </w:t>
      </w:r>
      <w:r>
        <w:rPr>
          <w:sz w:val="22"/>
        </w:rPr>
        <w:t>from</w:t>
      </w:r>
      <w:r>
        <w:rPr>
          <w:spacing w:val="-5"/>
          <w:sz w:val="22"/>
        </w:rPr>
        <w:t> </w:t>
      </w:r>
      <w:r>
        <w:rPr>
          <w:sz w:val="22"/>
        </w:rPr>
        <w:t>nutrient</w:t>
      </w:r>
      <w:r>
        <w:rPr>
          <w:spacing w:val="-2"/>
          <w:sz w:val="22"/>
        </w:rPr>
        <w:t> </w:t>
      </w:r>
      <w:r>
        <w:rPr>
          <w:sz w:val="22"/>
        </w:rPr>
        <w:t>relations,</w:t>
      </w:r>
      <w:r>
        <w:rPr>
          <w:spacing w:val="-3"/>
          <w:sz w:val="22"/>
        </w:rPr>
        <w:t> </w:t>
      </w:r>
      <w:r>
        <w:rPr>
          <w:sz w:val="22"/>
        </w:rPr>
        <w:t>herbivory</w:t>
      </w:r>
      <w:r>
        <w:rPr>
          <w:spacing w:val="-4"/>
          <w:sz w:val="22"/>
        </w:rPr>
        <w:t> </w:t>
      </w:r>
      <w:r>
        <w:rPr>
          <w:sz w:val="22"/>
        </w:rPr>
        <w:t>and</w:t>
      </w:r>
      <w:r>
        <w:rPr>
          <w:spacing w:val="-3"/>
          <w:sz w:val="22"/>
        </w:rPr>
        <w:t> </w:t>
      </w:r>
      <w:r>
        <w:rPr>
          <w:sz w:val="22"/>
        </w:rPr>
        <w:t>litter</w:t>
      </w:r>
      <w:r>
        <w:rPr>
          <w:spacing w:val="-6"/>
          <w:sz w:val="22"/>
        </w:rPr>
        <w:t> </w:t>
      </w:r>
      <w:r>
        <w:rPr>
          <w:sz w:val="22"/>
        </w:rPr>
        <w:t>decomposition</w:t>
      </w:r>
      <w:r>
        <w:rPr>
          <w:spacing w:val="-2"/>
          <w:sz w:val="22"/>
        </w:rPr>
        <w:t> </w:t>
      </w:r>
      <w:r>
        <w:rPr>
          <w:sz w:val="22"/>
        </w:rPr>
        <w:t>along</w:t>
      </w:r>
      <w:r>
        <w:rPr>
          <w:spacing w:val="-3"/>
          <w:sz w:val="22"/>
        </w:rPr>
        <w:t> </w:t>
      </w:r>
      <w:r>
        <w:rPr>
          <w:sz w:val="22"/>
        </w:rPr>
        <w:t>a topographical gradient. </w:t>
      </w:r>
      <w:r>
        <w:rPr>
          <w:i/>
          <w:sz w:val="22"/>
        </w:rPr>
        <w:t>Functional Ecology</w:t>
      </w:r>
      <w:r>
        <w:rPr>
          <w:sz w:val="22"/>
        </w:rPr>
        <w:t>, </w:t>
      </w:r>
      <w:r>
        <w:rPr>
          <w:i/>
          <w:sz w:val="22"/>
        </w:rPr>
        <w:t>29</w:t>
      </w:r>
      <w:r>
        <w:rPr>
          <w:sz w:val="22"/>
        </w:rPr>
        <w:t>(3), 430–440. </w:t>
      </w:r>
      <w:hyperlink r:id="rId92">
        <w:r>
          <w:rPr>
            <w:sz w:val="22"/>
          </w:rPr>
          <w:t>https://doi.org/10.1111/1365-2435.12351</w:t>
        </w:r>
      </w:hyperlink>
    </w:p>
    <w:p>
      <w:pPr>
        <w:spacing w:before="159"/>
        <w:ind w:left="638" w:right="0" w:hanging="481"/>
        <w:jc w:val="left"/>
        <w:rPr>
          <w:sz w:val="22"/>
        </w:rPr>
      </w:pPr>
      <w:r>
        <w:rPr>
          <w:sz w:val="22"/>
        </w:rPr>
        <w:t>Wickham,</w:t>
      </w:r>
      <w:r>
        <w:rPr>
          <w:spacing w:val="-5"/>
          <w:sz w:val="22"/>
        </w:rPr>
        <w:t> </w:t>
      </w:r>
      <w:r>
        <w:rPr>
          <w:sz w:val="22"/>
        </w:rPr>
        <w:t>H.</w:t>
      </w:r>
      <w:r>
        <w:rPr>
          <w:spacing w:val="-2"/>
          <w:sz w:val="22"/>
        </w:rPr>
        <w:t> </w:t>
      </w:r>
      <w:r>
        <w:rPr>
          <w:sz w:val="22"/>
        </w:rPr>
        <w:t>(2008).</w:t>
      </w:r>
      <w:r>
        <w:rPr>
          <w:spacing w:val="-2"/>
          <w:sz w:val="22"/>
        </w:rPr>
        <w:t> </w:t>
      </w:r>
      <w:r>
        <w:rPr>
          <w:sz w:val="22"/>
        </w:rPr>
        <w:t>Elegant</w:t>
      </w:r>
      <w:r>
        <w:rPr>
          <w:spacing w:val="-2"/>
          <w:sz w:val="22"/>
        </w:rPr>
        <w:t> </w:t>
      </w:r>
      <w:r>
        <w:rPr>
          <w:sz w:val="22"/>
        </w:rPr>
        <w:t>Graphics</w:t>
      </w:r>
      <w:r>
        <w:rPr>
          <w:spacing w:val="-4"/>
          <w:sz w:val="22"/>
        </w:rPr>
        <w:t> </w:t>
      </w:r>
      <w:r>
        <w:rPr>
          <w:sz w:val="22"/>
        </w:rPr>
        <w:t>for</w:t>
      </w:r>
      <w:r>
        <w:rPr>
          <w:spacing w:val="-3"/>
          <w:sz w:val="22"/>
        </w:rPr>
        <w:t> </w:t>
      </w:r>
      <w:r>
        <w:rPr>
          <w:sz w:val="22"/>
        </w:rPr>
        <w:t>Data</w:t>
      </w:r>
      <w:r>
        <w:rPr>
          <w:spacing w:val="-3"/>
          <w:sz w:val="22"/>
        </w:rPr>
        <w:t> </w:t>
      </w:r>
      <w:r>
        <w:rPr>
          <w:sz w:val="22"/>
        </w:rPr>
        <w:t>Analysis:</w:t>
      </w:r>
      <w:r>
        <w:rPr>
          <w:spacing w:val="-5"/>
          <w:sz w:val="22"/>
        </w:rPr>
        <w:t> </w:t>
      </w:r>
      <w:r>
        <w:rPr>
          <w:sz w:val="22"/>
        </w:rPr>
        <w:t>ggplot2.</w:t>
      </w:r>
      <w:r>
        <w:rPr>
          <w:spacing w:val="-2"/>
          <w:sz w:val="22"/>
        </w:rPr>
        <w:t> </w:t>
      </w:r>
      <w:r>
        <w:rPr>
          <w:sz w:val="22"/>
        </w:rPr>
        <w:t>In </w:t>
      </w:r>
      <w:r>
        <w:rPr>
          <w:i/>
          <w:sz w:val="22"/>
        </w:rPr>
        <w:t>Applied</w:t>
      </w:r>
      <w:r>
        <w:rPr>
          <w:i/>
          <w:spacing w:val="-2"/>
          <w:sz w:val="22"/>
        </w:rPr>
        <w:t> </w:t>
      </w:r>
      <w:r>
        <w:rPr>
          <w:i/>
          <w:sz w:val="22"/>
        </w:rPr>
        <w:t>Spatial</w:t>
      </w:r>
      <w:r>
        <w:rPr>
          <w:i/>
          <w:spacing w:val="-4"/>
          <w:sz w:val="22"/>
        </w:rPr>
        <w:t> </w:t>
      </w:r>
      <w:r>
        <w:rPr>
          <w:i/>
          <w:sz w:val="22"/>
        </w:rPr>
        <w:t>Data</w:t>
      </w:r>
      <w:r>
        <w:rPr>
          <w:i/>
          <w:spacing w:val="-5"/>
          <w:sz w:val="22"/>
        </w:rPr>
        <w:t> </w:t>
      </w:r>
      <w:r>
        <w:rPr>
          <w:i/>
          <w:sz w:val="22"/>
        </w:rPr>
        <w:t>Analysis</w:t>
      </w:r>
      <w:r>
        <w:rPr>
          <w:i/>
          <w:spacing w:val="-3"/>
          <w:sz w:val="22"/>
        </w:rPr>
        <w:t> </w:t>
      </w:r>
      <w:r>
        <w:rPr>
          <w:i/>
          <w:sz w:val="22"/>
        </w:rPr>
        <w:t>with</w:t>
      </w:r>
      <w:r>
        <w:rPr>
          <w:i/>
          <w:spacing w:val="-2"/>
          <w:sz w:val="22"/>
        </w:rPr>
        <w:t> </w:t>
      </w:r>
      <w:r>
        <w:rPr>
          <w:i/>
          <w:sz w:val="22"/>
        </w:rPr>
        <w:t>R</w:t>
      </w:r>
      <w:r>
        <w:rPr>
          <w:sz w:val="22"/>
        </w:rPr>
        <w:t>. Retrieved from </w:t>
      </w:r>
      <w:hyperlink r:id="rId93">
        <w:r>
          <w:rPr>
            <w:sz w:val="22"/>
          </w:rPr>
          <w:t>https://ggplot2.tidyverse.org</w:t>
        </w:r>
      </w:hyperlink>
    </w:p>
    <w:p>
      <w:pPr>
        <w:spacing w:line="240" w:lineRule="auto" w:before="161"/>
        <w:ind w:left="638" w:right="211" w:hanging="481"/>
        <w:jc w:val="left"/>
        <w:rPr>
          <w:sz w:val="22"/>
        </w:rPr>
      </w:pPr>
      <w:r>
        <w:rPr>
          <w:sz w:val="22"/>
        </w:rPr>
        <w:t>Wilcke,</w:t>
      </w:r>
      <w:r>
        <w:rPr>
          <w:spacing w:val="-5"/>
          <w:sz w:val="22"/>
        </w:rPr>
        <w:t> </w:t>
      </w:r>
      <w:r>
        <w:rPr>
          <w:sz w:val="22"/>
        </w:rPr>
        <w:t>W.,</w:t>
      </w:r>
      <w:r>
        <w:rPr>
          <w:spacing w:val="-2"/>
          <w:sz w:val="22"/>
        </w:rPr>
        <w:t> </w:t>
      </w:r>
      <w:r>
        <w:rPr>
          <w:sz w:val="22"/>
        </w:rPr>
        <w:t>Leimer,</w:t>
      </w:r>
      <w:r>
        <w:rPr>
          <w:spacing w:val="-2"/>
          <w:sz w:val="22"/>
        </w:rPr>
        <w:t> </w:t>
      </w:r>
      <w:r>
        <w:rPr>
          <w:sz w:val="22"/>
        </w:rPr>
        <w:t>S.,</w:t>
      </w:r>
      <w:r>
        <w:rPr>
          <w:spacing w:val="-5"/>
          <w:sz w:val="22"/>
        </w:rPr>
        <w:t> </w:t>
      </w:r>
      <w:r>
        <w:rPr>
          <w:sz w:val="22"/>
        </w:rPr>
        <w:t>Peters,</w:t>
      </w:r>
      <w:r>
        <w:rPr>
          <w:spacing w:val="-3"/>
          <w:sz w:val="22"/>
        </w:rPr>
        <w:t> </w:t>
      </w:r>
      <w:r>
        <w:rPr>
          <w:sz w:val="22"/>
        </w:rPr>
        <w:t>T.,</w:t>
      </w:r>
      <w:r>
        <w:rPr>
          <w:spacing w:val="-2"/>
          <w:sz w:val="22"/>
        </w:rPr>
        <w:t> </w:t>
      </w:r>
      <w:r>
        <w:rPr>
          <w:sz w:val="22"/>
        </w:rPr>
        <w:t>Emck,</w:t>
      </w:r>
      <w:r>
        <w:rPr>
          <w:spacing w:val="-2"/>
          <w:sz w:val="22"/>
        </w:rPr>
        <w:t> </w:t>
      </w:r>
      <w:r>
        <w:rPr>
          <w:sz w:val="22"/>
        </w:rPr>
        <w:t>P.,</w:t>
      </w:r>
      <w:r>
        <w:rPr>
          <w:spacing w:val="-2"/>
          <w:sz w:val="22"/>
        </w:rPr>
        <w:t> </w:t>
      </w:r>
      <w:r>
        <w:rPr>
          <w:sz w:val="22"/>
        </w:rPr>
        <w:t>Rollenbeck,</w:t>
      </w:r>
      <w:r>
        <w:rPr>
          <w:spacing w:val="-3"/>
          <w:sz w:val="22"/>
        </w:rPr>
        <w:t> </w:t>
      </w:r>
      <w:r>
        <w:rPr>
          <w:sz w:val="22"/>
        </w:rPr>
        <w:t>R.,</w:t>
      </w:r>
      <w:r>
        <w:rPr>
          <w:spacing w:val="-2"/>
          <w:sz w:val="22"/>
        </w:rPr>
        <w:t> </w:t>
      </w:r>
      <w:r>
        <w:rPr>
          <w:sz w:val="22"/>
        </w:rPr>
        <w:t>Trachte,</w:t>
      </w:r>
      <w:r>
        <w:rPr>
          <w:spacing w:val="-2"/>
          <w:sz w:val="22"/>
        </w:rPr>
        <w:t> </w:t>
      </w:r>
      <w:r>
        <w:rPr>
          <w:sz w:val="22"/>
        </w:rPr>
        <w:t>K., …</w:t>
      </w:r>
      <w:r>
        <w:rPr>
          <w:spacing w:val="-4"/>
          <w:sz w:val="22"/>
        </w:rPr>
        <w:t> </w:t>
      </w:r>
      <w:r>
        <w:rPr>
          <w:sz w:val="22"/>
        </w:rPr>
        <w:t>Bendix,</w:t>
      </w:r>
      <w:r>
        <w:rPr>
          <w:spacing w:val="-5"/>
          <w:sz w:val="22"/>
        </w:rPr>
        <w:t> </w:t>
      </w:r>
      <w:r>
        <w:rPr>
          <w:sz w:val="22"/>
        </w:rPr>
        <w:t>J.</w:t>
      </w:r>
      <w:r>
        <w:rPr>
          <w:spacing w:val="-2"/>
          <w:sz w:val="22"/>
        </w:rPr>
        <w:t> </w:t>
      </w:r>
      <w:r>
        <w:rPr>
          <w:sz w:val="22"/>
        </w:rPr>
        <w:t>(2013).</w:t>
      </w:r>
      <w:r>
        <w:rPr>
          <w:spacing w:val="-2"/>
          <w:sz w:val="22"/>
        </w:rPr>
        <w:t> </w:t>
      </w:r>
      <w:r>
        <w:rPr>
          <w:sz w:val="22"/>
        </w:rPr>
        <w:t>The</w:t>
      </w:r>
      <w:r>
        <w:rPr>
          <w:spacing w:val="-3"/>
          <w:sz w:val="22"/>
        </w:rPr>
        <w:t> </w:t>
      </w:r>
      <w:r>
        <w:rPr>
          <w:sz w:val="22"/>
        </w:rPr>
        <w:t>nitrogen cycle of tropical montane forest in Ecuador turns inorganic under environmental change. </w:t>
      </w:r>
      <w:r>
        <w:rPr>
          <w:i/>
          <w:sz w:val="22"/>
        </w:rPr>
        <w:t>Global Biogeochemical Cycles</w:t>
      </w:r>
      <w:r>
        <w:rPr>
          <w:sz w:val="22"/>
        </w:rPr>
        <w:t>, </w:t>
      </w:r>
      <w:r>
        <w:rPr>
          <w:i/>
          <w:sz w:val="22"/>
        </w:rPr>
        <w:t>27</w:t>
      </w:r>
      <w:r>
        <w:rPr>
          <w:sz w:val="22"/>
        </w:rPr>
        <w:t>(4), 1194–1204. </w:t>
      </w:r>
      <w:hyperlink r:id="rId94">
        <w:r>
          <w:rPr>
            <w:sz w:val="22"/>
          </w:rPr>
          <w:t>https://doi.org/10.1002/2012GB004471</w:t>
        </w:r>
      </w:hyperlink>
    </w:p>
    <w:p>
      <w:pPr>
        <w:spacing w:before="160"/>
        <w:ind w:left="638" w:right="0" w:hanging="481"/>
        <w:jc w:val="left"/>
        <w:rPr>
          <w:sz w:val="22"/>
        </w:rPr>
      </w:pPr>
      <w:r>
        <w:rPr>
          <w:sz w:val="22"/>
        </w:rPr>
        <w:t>Wilcke,</w:t>
      </w:r>
      <w:r>
        <w:rPr>
          <w:spacing w:val="-4"/>
          <w:sz w:val="22"/>
        </w:rPr>
        <w:t> </w:t>
      </w:r>
      <w:r>
        <w:rPr>
          <w:sz w:val="22"/>
        </w:rPr>
        <w:t>W.,</w:t>
      </w:r>
      <w:r>
        <w:rPr>
          <w:spacing w:val="-1"/>
          <w:sz w:val="22"/>
        </w:rPr>
        <w:t> </w:t>
      </w:r>
      <w:r>
        <w:rPr>
          <w:sz w:val="22"/>
        </w:rPr>
        <w:t>Oelmann,</w:t>
      </w:r>
      <w:r>
        <w:rPr>
          <w:spacing w:val="-1"/>
          <w:sz w:val="22"/>
        </w:rPr>
        <w:t> </w:t>
      </w:r>
      <w:r>
        <w:rPr>
          <w:sz w:val="22"/>
        </w:rPr>
        <w:t>Y.,</w:t>
      </w:r>
      <w:r>
        <w:rPr>
          <w:spacing w:val="-4"/>
          <w:sz w:val="22"/>
        </w:rPr>
        <w:t> </w:t>
      </w:r>
      <w:r>
        <w:rPr>
          <w:sz w:val="22"/>
        </w:rPr>
        <w:t>Schmitt,</w:t>
      </w:r>
      <w:r>
        <w:rPr>
          <w:spacing w:val="-1"/>
          <w:sz w:val="22"/>
        </w:rPr>
        <w:t> </w:t>
      </w:r>
      <w:r>
        <w:rPr>
          <w:sz w:val="22"/>
        </w:rPr>
        <w:t>A.,</w:t>
      </w:r>
      <w:r>
        <w:rPr>
          <w:spacing w:val="-1"/>
          <w:sz w:val="22"/>
        </w:rPr>
        <w:t> </w:t>
      </w:r>
      <w:r>
        <w:rPr>
          <w:sz w:val="22"/>
        </w:rPr>
        <w:t>Valarezo,</w:t>
      </w:r>
      <w:r>
        <w:rPr>
          <w:spacing w:val="-4"/>
          <w:sz w:val="22"/>
        </w:rPr>
        <w:t> </w:t>
      </w:r>
      <w:r>
        <w:rPr>
          <w:sz w:val="22"/>
        </w:rPr>
        <w:t>C.,</w:t>
      </w:r>
      <w:r>
        <w:rPr>
          <w:spacing w:val="-4"/>
          <w:sz w:val="22"/>
        </w:rPr>
        <w:t> </w:t>
      </w:r>
      <w:r>
        <w:rPr>
          <w:sz w:val="22"/>
        </w:rPr>
        <w:t>Zech,</w:t>
      </w:r>
      <w:r>
        <w:rPr>
          <w:spacing w:val="-1"/>
          <w:sz w:val="22"/>
        </w:rPr>
        <w:t> </w:t>
      </w:r>
      <w:r>
        <w:rPr>
          <w:sz w:val="22"/>
        </w:rPr>
        <w:t>W.,</w:t>
      </w:r>
      <w:r>
        <w:rPr>
          <w:spacing w:val="-1"/>
          <w:sz w:val="22"/>
        </w:rPr>
        <w:t> </w:t>
      </w:r>
      <w:r>
        <w:rPr>
          <w:sz w:val="22"/>
        </w:rPr>
        <w:t>&amp;</w:t>
      </w:r>
      <w:r>
        <w:rPr>
          <w:spacing w:val="-3"/>
          <w:sz w:val="22"/>
        </w:rPr>
        <w:t> </w:t>
      </w:r>
      <w:r>
        <w:rPr>
          <w:sz w:val="22"/>
        </w:rPr>
        <w:t>Homeier,</w:t>
      </w:r>
      <w:r>
        <w:rPr>
          <w:spacing w:val="-1"/>
          <w:sz w:val="22"/>
        </w:rPr>
        <w:t> </w:t>
      </w:r>
      <w:r>
        <w:rPr>
          <w:sz w:val="22"/>
        </w:rPr>
        <w:t>J.</w:t>
      </w:r>
      <w:r>
        <w:rPr>
          <w:spacing w:val="-1"/>
          <w:sz w:val="22"/>
        </w:rPr>
        <w:t> </w:t>
      </w:r>
      <w:r>
        <w:rPr>
          <w:sz w:val="22"/>
        </w:rPr>
        <w:t>(2008).</w:t>
      </w:r>
      <w:r>
        <w:rPr>
          <w:spacing w:val="-4"/>
          <w:sz w:val="22"/>
        </w:rPr>
        <w:t> </w:t>
      </w:r>
      <w:r>
        <w:rPr>
          <w:sz w:val="22"/>
        </w:rPr>
        <w:t>Soil</w:t>
      </w:r>
      <w:r>
        <w:rPr>
          <w:spacing w:val="-5"/>
          <w:sz w:val="22"/>
        </w:rPr>
        <w:t> </w:t>
      </w:r>
      <w:r>
        <w:rPr>
          <w:sz w:val="22"/>
        </w:rPr>
        <w:t>properties</w:t>
      </w:r>
      <w:r>
        <w:rPr>
          <w:spacing w:val="-3"/>
          <w:sz w:val="22"/>
        </w:rPr>
        <w:t> </w:t>
      </w:r>
      <w:r>
        <w:rPr>
          <w:sz w:val="22"/>
        </w:rPr>
        <w:t>and</w:t>
      </w:r>
      <w:r>
        <w:rPr>
          <w:spacing w:val="-5"/>
          <w:sz w:val="22"/>
        </w:rPr>
        <w:t> </w:t>
      </w:r>
      <w:r>
        <w:rPr>
          <w:sz w:val="22"/>
        </w:rPr>
        <w:t>tree growth along an altitudinal transect in Ecuadorian tropical montane forest. </w:t>
      </w:r>
      <w:r>
        <w:rPr>
          <w:i/>
          <w:sz w:val="22"/>
        </w:rPr>
        <w:t>Journal of Plant Nutrition and Soil Science</w:t>
      </w:r>
      <w:r>
        <w:rPr>
          <w:sz w:val="22"/>
        </w:rPr>
        <w:t>, </w:t>
      </w:r>
      <w:r>
        <w:rPr>
          <w:i/>
          <w:sz w:val="22"/>
        </w:rPr>
        <w:t>171</w:t>
      </w:r>
      <w:r>
        <w:rPr>
          <w:sz w:val="22"/>
        </w:rPr>
        <w:t>(2), 220–230. </w:t>
      </w:r>
      <w:hyperlink r:id="rId95">
        <w:r>
          <w:rPr>
            <w:sz w:val="22"/>
          </w:rPr>
          <w:t>https://doi.org/10.1002/jpln.200625210</w:t>
        </w:r>
      </w:hyperlink>
    </w:p>
    <w:p>
      <w:pPr>
        <w:spacing w:before="159"/>
        <w:ind w:left="638" w:right="211" w:hanging="481"/>
        <w:jc w:val="left"/>
        <w:rPr>
          <w:sz w:val="22"/>
        </w:rPr>
      </w:pPr>
      <w:r>
        <w:rPr>
          <w:sz w:val="22"/>
        </w:rPr>
        <w:t>Wilcke, W., Velescu, A., Leimer, S., Bigalke, M., Boy, J., &amp; Valarezo, C. (2019). Temporal Trends of Phosphorus</w:t>
      </w:r>
      <w:r>
        <w:rPr>
          <w:spacing w:val="-3"/>
          <w:sz w:val="22"/>
        </w:rPr>
        <w:t> </w:t>
      </w:r>
      <w:r>
        <w:rPr>
          <w:sz w:val="22"/>
        </w:rPr>
        <w:t>Cycling</w:t>
      </w:r>
      <w:r>
        <w:rPr>
          <w:spacing w:val="-2"/>
          <w:sz w:val="22"/>
        </w:rPr>
        <w:t> </w:t>
      </w:r>
      <w:r>
        <w:rPr>
          <w:sz w:val="22"/>
        </w:rPr>
        <w:t>in</w:t>
      </w:r>
      <w:r>
        <w:rPr>
          <w:spacing w:val="-1"/>
          <w:sz w:val="22"/>
        </w:rPr>
        <w:t> </w:t>
      </w:r>
      <w:r>
        <w:rPr>
          <w:sz w:val="22"/>
        </w:rPr>
        <w:t>a</w:t>
      </w:r>
      <w:r>
        <w:rPr>
          <w:spacing w:val="-6"/>
          <w:sz w:val="22"/>
        </w:rPr>
        <w:t> </w:t>
      </w:r>
      <w:r>
        <w:rPr>
          <w:sz w:val="22"/>
        </w:rPr>
        <w:t>Tropical</w:t>
      </w:r>
      <w:r>
        <w:rPr>
          <w:spacing w:val="-2"/>
          <w:sz w:val="22"/>
        </w:rPr>
        <w:t> </w:t>
      </w:r>
      <w:r>
        <w:rPr>
          <w:sz w:val="22"/>
        </w:rPr>
        <w:t>Montane</w:t>
      </w:r>
      <w:r>
        <w:rPr>
          <w:spacing w:val="-5"/>
          <w:sz w:val="22"/>
        </w:rPr>
        <w:t> </w:t>
      </w:r>
      <w:r>
        <w:rPr>
          <w:sz w:val="22"/>
        </w:rPr>
        <w:t>Forest</w:t>
      </w:r>
      <w:r>
        <w:rPr>
          <w:spacing w:val="-4"/>
          <w:sz w:val="22"/>
        </w:rPr>
        <w:t> </w:t>
      </w:r>
      <w:r>
        <w:rPr>
          <w:sz w:val="22"/>
        </w:rPr>
        <w:t>in</w:t>
      </w:r>
      <w:r>
        <w:rPr>
          <w:spacing w:val="-1"/>
          <w:sz w:val="22"/>
        </w:rPr>
        <w:t> </w:t>
      </w:r>
      <w:r>
        <w:rPr>
          <w:sz w:val="22"/>
        </w:rPr>
        <w:t>Ecuador</w:t>
      </w:r>
      <w:r>
        <w:rPr>
          <w:spacing w:val="-2"/>
          <w:sz w:val="22"/>
        </w:rPr>
        <w:t> </w:t>
      </w:r>
      <w:r>
        <w:rPr>
          <w:sz w:val="22"/>
        </w:rPr>
        <w:t>During</w:t>
      </w:r>
      <w:r>
        <w:rPr>
          <w:spacing w:val="-1"/>
          <w:sz w:val="22"/>
        </w:rPr>
        <w:t> </w:t>
      </w:r>
      <w:r>
        <w:rPr>
          <w:sz w:val="22"/>
        </w:rPr>
        <w:t>14 Years.</w:t>
      </w:r>
      <w:r>
        <w:rPr>
          <w:spacing w:val="-2"/>
          <w:sz w:val="22"/>
        </w:rPr>
        <w:t> </w:t>
      </w:r>
      <w:r>
        <w:rPr>
          <w:i/>
          <w:sz w:val="22"/>
        </w:rPr>
        <w:t>Journal</w:t>
      </w:r>
      <w:r>
        <w:rPr>
          <w:i/>
          <w:spacing w:val="-4"/>
          <w:sz w:val="22"/>
        </w:rPr>
        <w:t> </w:t>
      </w:r>
      <w:r>
        <w:rPr>
          <w:i/>
          <w:sz w:val="22"/>
        </w:rPr>
        <w:t>of</w:t>
      </w:r>
      <w:r>
        <w:rPr>
          <w:i/>
          <w:spacing w:val="-4"/>
          <w:sz w:val="22"/>
        </w:rPr>
        <w:t> </w:t>
      </w:r>
      <w:r>
        <w:rPr>
          <w:i/>
          <w:sz w:val="22"/>
        </w:rPr>
        <w:t>Geophysical Research: Biogeosciences</w:t>
      </w:r>
      <w:r>
        <w:rPr>
          <w:sz w:val="22"/>
        </w:rPr>
        <w:t>, </w:t>
      </w:r>
      <w:r>
        <w:rPr>
          <w:i/>
          <w:sz w:val="22"/>
        </w:rPr>
        <w:t>124</w:t>
      </w:r>
      <w:r>
        <w:rPr>
          <w:sz w:val="22"/>
        </w:rPr>
        <w:t>(5), 1370–1386. </w:t>
      </w:r>
      <w:hyperlink r:id="rId96">
        <w:r>
          <w:rPr>
            <w:sz w:val="22"/>
          </w:rPr>
          <w:t>https://doi.org/10.1029/2018JG004942</w:t>
        </w:r>
      </w:hyperlink>
    </w:p>
    <w:p>
      <w:pPr>
        <w:spacing w:line="240" w:lineRule="auto" w:before="162"/>
        <w:ind w:left="638" w:right="211" w:hanging="481"/>
        <w:jc w:val="left"/>
        <w:rPr>
          <w:sz w:val="22"/>
        </w:rPr>
      </w:pPr>
      <w:r>
        <w:rPr>
          <w:sz w:val="22"/>
        </w:rPr>
        <w:t>Wittich,</w:t>
      </w:r>
      <w:r>
        <w:rPr>
          <w:spacing w:val="-2"/>
          <w:sz w:val="22"/>
        </w:rPr>
        <w:t> </w:t>
      </w:r>
      <w:r>
        <w:rPr>
          <w:sz w:val="22"/>
        </w:rPr>
        <w:t>B.,</w:t>
      </w:r>
      <w:r>
        <w:rPr>
          <w:spacing w:val="-4"/>
          <w:sz w:val="22"/>
        </w:rPr>
        <w:t> </w:t>
      </w:r>
      <w:r>
        <w:rPr>
          <w:sz w:val="22"/>
        </w:rPr>
        <w:t>Homeier,</w:t>
      </w:r>
      <w:r>
        <w:rPr>
          <w:spacing w:val="-4"/>
          <w:sz w:val="22"/>
        </w:rPr>
        <w:t> </w:t>
      </w:r>
      <w:r>
        <w:rPr>
          <w:sz w:val="22"/>
        </w:rPr>
        <w:t>J.,</w:t>
      </w:r>
      <w:r>
        <w:rPr>
          <w:spacing w:val="-4"/>
          <w:sz w:val="22"/>
        </w:rPr>
        <w:t> </w:t>
      </w:r>
      <w:r>
        <w:rPr>
          <w:sz w:val="22"/>
        </w:rPr>
        <w:t>&amp;</w:t>
      </w:r>
      <w:r>
        <w:rPr>
          <w:spacing w:val="-3"/>
          <w:sz w:val="22"/>
        </w:rPr>
        <w:t> </w:t>
      </w:r>
      <w:r>
        <w:rPr>
          <w:sz w:val="22"/>
        </w:rPr>
        <w:t>Leuschner,</w:t>
      </w:r>
      <w:r>
        <w:rPr>
          <w:spacing w:val="-2"/>
          <w:sz w:val="22"/>
        </w:rPr>
        <w:t> </w:t>
      </w:r>
      <w:r>
        <w:rPr>
          <w:sz w:val="22"/>
        </w:rPr>
        <w:t>C.</w:t>
      </w:r>
      <w:r>
        <w:rPr>
          <w:spacing w:val="-4"/>
          <w:sz w:val="22"/>
        </w:rPr>
        <w:t> </w:t>
      </w:r>
      <w:r>
        <w:rPr>
          <w:sz w:val="22"/>
        </w:rPr>
        <w:t>(2015).</w:t>
      </w:r>
      <w:r>
        <w:rPr>
          <w:spacing w:val="-2"/>
          <w:sz w:val="22"/>
        </w:rPr>
        <w:t> </w:t>
      </w:r>
      <w:r>
        <w:rPr>
          <w:sz w:val="22"/>
        </w:rPr>
        <w:t>Ammonium,</w:t>
      </w:r>
      <w:r>
        <w:rPr>
          <w:spacing w:val="-4"/>
          <w:sz w:val="22"/>
        </w:rPr>
        <w:t> </w:t>
      </w:r>
      <w:r>
        <w:rPr>
          <w:sz w:val="22"/>
        </w:rPr>
        <w:t>nitrate</w:t>
      </w:r>
      <w:r>
        <w:rPr>
          <w:spacing w:val="-2"/>
          <w:sz w:val="22"/>
        </w:rPr>
        <w:t> </w:t>
      </w:r>
      <w:r>
        <w:rPr>
          <w:sz w:val="22"/>
        </w:rPr>
        <w:t>and</w:t>
      </w:r>
      <w:r>
        <w:rPr>
          <w:spacing w:val="-2"/>
          <w:sz w:val="22"/>
        </w:rPr>
        <w:t> </w:t>
      </w:r>
      <w:r>
        <w:rPr>
          <w:sz w:val="22"/>
        </w:rPr>
        <w:t>glycine</w:t>
      </w:r>
      <w:r>
        <w:rPr>
          <w:spacing w:val="-2"/>
          <w:sz w:val="22"/>
        </w:rPr>
        <w:t> </w:t>
      </w:r>
      <w:r>
        <w:rPr>
          <w:sz w:val="22"/>
        </w:rPr>
        <w:t>uptake</w:t>
      </w:r>
      <w:r>
        <w:rPr>
          <w:spacing w:val="-2"/>
          <w:sz w:val="22"/>
        </w:rPr>
        <w:t> </w:t>
      </w:r>
      <w:r>
        <w:rPr>
          <w:sz w:val="22"/>
        </w:rPr>
        <w:t>of</w:t>
      </w:r>
      <w:r>
        <w:rPr>
          <w:spacing w:val="-2"/>
          <w:sz w:val="22"/>
        </w:rPr>
        <w:t> </w:t>
      </w:r>
      <w:r>
        <w:rPr>
          <w:sz w:val="22"/>
        </w:rPr>
        <w:t>six</w:t>
      </w:r>
      <w:r>
        <w:rPr>
          <w:spacing w:val="-3"/>
          <w:sz w:val="22"/>
        </w:rPr>
        <w:t> </w:t>
      </w:r>
      <w:r>
        <w:rPr>
          <w:sz w:val="22"/>
        </w:rPr>
        <w:t>Ecuadorian tropical montane forest tree species: an in situ pot experiment with saplings. </w:t>
      </w:r>
      <w:r>
        <w:rPr>
          <w:i/>
          <w:sz w:val="22"/>
        </w:rPr>
        <w:t>Journal of Tropical Ecology</w:t>
      </w:r>
      <w:r>
        <w:rPr>
          <w:sz w:val="22"/>
        </w:rPr>
        <w:t>, </w:t>
      </w:r>
      <w:r>
        <w:rPr>
          <w:i/>
          <w:sz w:val="22"/>
        </w:rPr>
        <w:t>31</w:t>
      </w:r>
      <w:r>
        <w:rPr>
          <w:sz w:val="22"/>
        </w:rPr>
        <w:t>(2), 139–152. </w:t>
      </w:r>
      <w:hyperlink r:id="rId97">
        <w:r>
          <w:rPr>
            <w:sz w:val="22"/>
          </w:rPr>
          <w:t>https://doi.org/10.1017/S0266467414000650</w:t>
        </w:r>
      </w:hyperlink>
    </w:p>
    <w:p>
      <w:pPr>
        <w:spacing w:before="159"/>
        <w:ind w:left="638" w:right="211" w:hanging="481"/>
        <w:jc w:val="left"/>
        <w:rPr>
          <w:sz w:val="22"/>
        </w:rPr>
      </w:pPr>
      <w:r>
        <w:rPr>
          <w:sz w:val="22"/>
        </w:rPr>
        <w:t>Wolf, K., Veldkamp, E., Homeier, J., &amp; Martinson, G. O. (2011). Nitrogen availability links forest productivity,</w:t>
      </w:r>
      <w:r>
        <w:rPr>
          <w:spacing w:val="-2"/>
          <w:sz w:val="22"/>
        </w:rPr>
        <w:t> </w:t>
      </w:r>
      <w:r>
        <w:rPr>
          <w:sz w:val="22"/>
        </w:rPr>
        <w:t>soil</w:t>
      </w:r>
      <w:r>
        <w:rPr>
          <w:spacing w:val="-2"/>
          <w:sz w:val="22"/>
        </w:rPr>
        <w:t> </w:t>
      </w:r>
      <w:r>
        <w:rPr>
          <w:sz w:val="22"/>
        </w:rPr>
        <w:t>nitrous</w:t>
      </w:r>
      <w:r>
        <w:rPr>
          <w:spacing w:val="-6"/>
          <w:sz w:val="22"/>
        </w:rPr>
        <w:t> </w:t>
      </w:r>
      <w:r>
        <w:rPr>
          <w:sz w:val="22"/>
        </w:rPr>
        <w:t>oxide</w:t>
      </w:r>
      <w:r>
        <w:rPr>
          <w:spacing w:val="-3"/>
          <w:sz w:val="22"/>
        </w:rPr>
        <w:t> </w:t>
      </w:r>
      <w:r>
        <w:rPr>
          <w:sz w:val="22"/>
        </w:rPr>
        <w:t>and</w:t>
      </w:r>
      <w:r>
        <w:rPr>
          <w:spacing w:val="-5"/>
          <w:sz w:val="22"/>
        </w:rPr>
        <w:t> </w:t>
      </w:r>
      <w:r>
        <w:rPr>
          <w:sz w:val="22"/>
        </w:rPr>
        <w:t>nitric</w:t>
      </w:r>
      <w:r>
        <w:rPr>
          <w:spacing w:val="-4"/>
          <w:sz w:val="22"/>
        </w:rPr>
        <w:t> </w:t>
      </w:r>
      <w:r>
        <w:rPr>
          <w:sz w:val="22"/>
        </w:rPr>
        <w:t>oxide</w:t>
      </w:r>
      <w:r>
        <w:rPr>
          <w:spacing w:val="-2"/>
          <w:sz w:val="22"/>
        </w:rPr>
        <w:t> </w:t>
      </w:r>
      <w:r>
        <w:rPr>
          <w:sz w:val="22"/>
        </w:rPr>
        <w:t>fluxes</w:t>
      </w:r>
      <w:r>
        <w:rPr>
          <w:spacing w:val="-3"/>
          <w:sz w:val="22"/>
        </w:rPr>
        <w:t> </w:t>
      </w:r>
      <w:r>
        <w:rPr>
          <w:sz w:val="22"/>
        </w:rPr>
        <w:t>of</w:t>
      </w:r>
      <w:r>
        <w:rPr>
          <w:spacing w:val="-1"/>
          <w:sz w:val="22"/>
        </w:rPr>
        <w:t> </w:t>
      </w:r>
      <w:r>
        <w:rPr>
          <w:sz w:val="22"/>
        </w:rPr>
        <w:t>a</w:t>
      </w:r>
      <w:r>
        <w:rPr>
          <w:spacing w:val="-6"/>
          <w:sz w:val="22"/>
        </w:rPr>
        <w:t> </w:t>
      </w:r>
      <w:r>
        <w:rPr>
          <w:sz w:val="22"/>
        </w:rPr>
        <w:t>tropical</w:t>
      </w:r>
      <w:r>
        <w:rPr>
          <w:spacing w:val="-2"/>
          <w:sz w:val="22"/>
        </w:rPr>
        <w:t> </w:t>
      </w:r>
      <w:r>
        <w:rPr>
          <w:sz w:val="22"/>
        </w:rPr>
        <w:t>montane</w:t>
      </w:r>
      <w:r>
        <w:rPr>
          <w:spacing w:val="-5"/>
          <w:sz w:val="22"/>
        </w:rPr>
        <w:t> </w:t>
      </w:r>
      <w:r>
        <w:rPr>
          <w:sz w:val="22"/>
        </w:rPr>
        <w:t>forest</w:t>
      </w:r>
      <w:r>
        <w:rPr>
          <w:spacing w:val="-1"/>
          <w:sz w:val="22"/>
        </w:rPr>
        <w:t> </w:t>
      </w:r>
      <w:r>
        <w:rPr>
          <w:sz w:val="22"/>
        </w:rPr>
        <w:t>in</w:t>
      </w:r>
      <w:r>
        <w:rPr>
          <w:spacing w:val="-2"/>
          <w:sz w:val="22"/>
        </w:rPr>
        <w:t> </w:t>
      </w:r>
      <w:r>
        <w:rPr>
          <w:sz w:val="22"/>
        </w:rPr>
        <w:t>southern Ecuador. </w:t>
      </w:r>
      <w:r>
        <w:rPr>
          <w:i/>
          <w:sz w:val="22"/>
        </w:rPr>
        <w:t>Global Biogeochemical Cycles</w:t>
      </w:r>
      <w:r>
        <w:rPr>
          <w:sz w:val="22"/>
        </w:rPr>
        <w:t>, </w:t>
      </w:r>
      <w:r>
        <w:rPr>
          <w:i/>
          <w:sz w:val="22"/>
        </w:rPr>
        <w:t>25</w:t>
      </w:r>
      <w:r>
        <w:rPr>
          <w:sz w:val="22"/>
        </w:rPr>
        <w:t>(4), n/a-n/a. </w:t>
      </w:r>
      <w:hyperlink r:id="rId98">
        <w:r>
          <w:rPr>
            <w:sz w:val="22"/>
          </w:rPr>
          <w:t>https://doi.org/10.1029/2010GB003876</w:t>
        </w:r>
      </w:hyperlink>
    </w:p>
    <w:p>
      <w:pPr>
        <w:spacing w:before="159"/>
        <w:ind w:left="157" w:right="0" w:firstLine="0"/>
        <w:jc w:val="left"/>
        <w:rPr>
          <w:sz w:val="22"/>
        </w:rPr>
      </w:pPr>
      <w:r>
        <w:rPr>
          <w:sz w:val="22"/>
        </w:rPr>
        <w:t>Wright,</w:t>
      </w:r>
      <w:r>
        <w:rPr>
          <w:spacing w:val="-5"/>
          <w:sz w:val="22"/>
        </w:rPr>
        <w:t> </w:t>
      </w:r>
      <w:r>
        <w:rPr>
          <w:sz w:val="22"/>
        </w:rPr>
        <w:t>S.</w:t>
      </w:r>
      <w:r>
        <w:rPr>
          <w:spacing w:val="-2"/>
          <w:sz w:val="22"/>
        </w:rPr>
        <w:t> </w:t>
      </w:r>
      <w:r>
        <w:rPr>
          <w:sz w:val="22"/>
        </w:rPr>
        <w:t>J.,</w:t>
      </w:r>
      <w:r>
        <w:rPr>
          <w:spacing w:val="-5"/>
          <w:sz w:val="22"/>
        </w:rPr>
        <w:t> </w:t>
      </w:r>
      <w:r>
        <w:rPr>
          <w:sz w:val="22"/>
        </w:rPr>
        <w:t>Yavitt,</w:t>
      </w:r>
      <w:r>
        <w:rPr>
          <w:spacing w:val="-6"/>
          <w:sz w:val="22"/>
        </w:rPr>
        <w:t> </w:t>
      </w:r>
      <w:r>
        <w:rPr>
          <w:sz w:val="22"/>
        </w:rPr>
        <w:t>J.</w:t>
      </w:r>
      <w:r>
        <w:rPr>
          <w:spacing w:val="-2"/>
          <w:sz w:val="22"/>
        </w:rPr>
        <w:t> </w:t>
      </w:r>
      <w:r>
        <w:rPr>
          <w:sz w:val="22"/>
        </w:rPr>
        <w:t>B.,</w:t>
      </w:r>
      <w:r>
        <w:rPr>
          <w:spacing w:val="-5"/>
          <w:sz w:val="22"/>
        </w:rPr>
        <w:t> </w:t>
      </w:r>
      <w:r>
        <w:rPr>
          <w:sz w:val="22"/>
        </w:rPr>
        <w:t>Wurzburger,</w:t>
      </w:r>
      <w:r>
        <w:rPr>
          <w:spacing w:val="-3"/>
          <w:sz w:val="22"/>
        </w:rPr>
        <w:t> </w:t>
      </w:r>
      <w:r>
        <w:rPr>
          <w:sz w:val="22"/>
        </w:rPr>
        <w:t>N.,</w:t>
      </w:r>
      <w:r>
        <w:rPr>
          <w:spacing w:val="-2"/>
          <w:sz w:val="22"/>
        </w:rPr>
        <w:t> </w:t>
      </w:r>
      <w:r>
        <w:rPr>
          <w:sz w:val="22"/>
        </w:rPr>
        <w:t>Turner,</w:t>
      </w:r>
      <w:r>
        <w:rPr>
          <w:spacing w:val="-5"/>
          <w:sz w:val="22"/>
        </w:rPr>
        <w:t> </w:t>
      </w:r>
      <w:r>
        <w:rPr>
          <w:sz w:val="22"/>
        </w:rPr>
        <w:t>B.</w:t>
      </w:r>
      <w:r>
        <w:rPr>
          <w:spacing w:val="-3"/>
          <w:sz w:val="22"/>
        </w:rPr>
        <w:t> </w:t>
      </w:r>
      <w:r>
        <w:rPr>
          <w:sz w:val="22"/>
        </w:rPr>
        <w:t>L.,</w:t>
      </w:r>
      <w:r>
        <w:rPr>
          <w:spacing w:val="-2"/>
          <w:sz w:val="22"/>
        </w:rPr>
        <w:t> </w:t>
      </w:r>
      <w:r>
        <w:rPr>
          <w:sz w:val="22"/>
        </w:rPr>
        <w:t>Tanner,</w:t>
      </w:r>
      <w:r>
        <w:rPr>
          <w:spacing w:val="-3"/>
          <w:sz w:val="22"/>
        </w:rPr>
        <w:t> </w:t>
      </w:r>
      <w:r>
        <w:rPr>
          <w:sz w:val="22"/>
        </w:rPr>
        <w:t>E.</w:t>
      </w:r>
      <w:r>
        <w:rPr>
          <w:spacing w:val="-2"/>
          <w:sz w:val="22"/>
        </w:rPr>
        <w:t> </w:t>
      </w:r>
      <w:r>
        <w:rPr>
          <w:sz w:val="22"/>
        </w:rPr>
        <w:t>V.</w:t>
      </w:r>
      <w:r>
        <w:rPr>
          <w:spacing w:val="-2"/>
          <w:sz w:val="22"/>
        </w:rPr>
        <w:t> </w:t>
      </w:r>
      <w:r>
        <w:rPr>
          <w:sz w:val="22"/>
        </w:rPr>
        <w:t>J.,</w:t>
      </w:r>
      <w:r>
        <w:rPr>
          <w:spacing w:val="-6"/>
          <w:sz w:val="22"/>
        </w:rPr>
        <w:t> </w:t>
      </w:r>
      <w:r>
        <w:rPr>
          <w:sz w:val="22"/>
        </w:rPr>
        <w:t>Sayer,</w:t>
      </w:r>
      <w:r>
        <w:rPr>
          <w:spacing w:val="-2"/>
          <w:sz w:val="22"/>
        </w:rPr>
        <w:t> </w:t>
      </w:r>
      <w:r>
        <w:rPr>
          <w:sz w:val="22"/>
        </w:rPr>
        <w:t>E.</w:t>
      </w:r>
      <w:r>
        <w:rPr>
          <w:spacing w:val="-2"/>
          <w:sz w:val="22"/>
        </w:rPr>
        <w:t> </w:t>
      </w:r>
      <w:r>
        <w:rPr>
          <w:sz w:val="22"/>
        </w:rPr>
        <w:t>J.,</w:t>
      </w:r>
      <w:r>
        <w:rPr>
          <w:spacing w:val="5"/>
          <w:sz w:val="22"/>
        </w:rPr>
        <w:t> </w:t>
      </w:r>
      <w:r>
        <w:rPr>
          <w:sz w:val="22"/>
        </w:rPr>
        <w:t>…</w:t>
      </w:r>
      <w:r>
        <w:rPr>
          <w:spacing w:val="-4"/>
          <w:sz w:val="22"/>
        </w:rPr>
        <w:t> </w:t>
      </w:r>
      <w:r>
        <w:rPr>
          <w:sz w:val="22"/>
        </w:rPr>
        <w:t>Corre,</w:t>
      </w:r>
      <w:r>
        <w:rPr>
          <w:spacing w:val="-3"/>
          <w:sz w:val="22"/>
        </w:rPr>
        <w:t> </w:t>
      </w:r>
      <w:r>
        <w:rPr>
          <w:sz w:val="22"/>
        </w:rPr>
        <w:t>M.</w:t>
      </w:r>
      <w:r>
        <w:rPr>
          <w:spacing w:val="-2"/>
          <w:sz w:val="22"/>
        </w:rPr>
        <w:t> </w:t>
      </w:r>
      <w:r>
        <w:rPr>
          <w:sz w:val="22"/>
        </w:rPr>
        <w:t>D.</w:t>
      </w:r>
      <w:r>
        <w:rPr>
          <w:spacing w:val="-5"/>
          <w:sz w:val="22"/>
        </w:rPr>
        <w:t> </w:t>
      </w:r>
      <w:r>
        <w:rPr>
          <w:spacing w:val="-2"/>
          <w:sz w:val="22"/>
        </w:rPr>
        <w:t>(2011).</w:t>
      </w:r>
    </w:p>
    <w:p>
      <w:pPr>
        <w:spacing w:before="0"/>
        <w:ind w:left="638" w:right="353" w:firstLine="0"/>
        <w:jc w:val="left"/>
        <w:rPr>
          <w:sz w:val="22"/>
        </w:rPr>
      </w:pPr>
      <w:r>
        <w:rPr>
          <w:sz w:val="22"/>
        </w:rPr>
        <w:t>Potassium,</w:t>
      </w:r>
      <w:r>
        <w:rPr>
          <w:spacing w:val="-3"/>
          <w:sz w:val="22"/>
        </w:rPr>
        <w:t> </w:t>
      </w:r>
      <w:r>
        <w:rPr>
          <w:sz w:val="22"/>
        </w:rPr>
        <w:t>phosphorus,</w:t>
      </w:r>
      <w:r>
        <w:rPr>
          <w:spacing w:val="-3"/>
          <w:sz w:val="22"/>
        </w:rPr>
        <w:t> </w:t>
      </w:r>
      <w:r>
        <w:rPr>
          <w:sz w:val="22"/>
        </w:rPr>
        <w:t>or</w:t>
      </w:r>
      <w:r>
        <w:rPr>
          <w:spacing w:val="-5"/>
          <w:sz w:val="22"/>
        </w:rPr>
        <w:t> </w:t>
      </w:r>
      <w:r>
        <w:rPr>
          <w:sz w:val="22"/>
        </w:rPr>
        <w:t>nitrogen</w:t>
      </w:r>
      <w:r>
        <w:rPr>
          <w:spacing w:val="-3"/>
          <w:sz w:val="22"/>
        </w:rPr>
        <w:t> </w:t>
      </w:r>
      <w:r>
        <w:rPr>
          <w:sz w:val="22"/>
        </w:rPr>
        <w:t>limit</w:t>
      </w:r>
      <w:r>
        <w:rPr>
          <w:spacing w:val="-3"/>
          <w:sz w:val="22"/>
        </w:rPr>
        <w:t> </w:t>
      </w:r>
      <w:r>
        <w:rPr>
          <w:sz w:val="22"/>
        </w:rPr>
        <w:t>root</w:t>
      </w:r>
      <w:r>
        <w:rPr>
          <w:spacing w:val="-3"/>
          <w:sz w:val="22"/>
        </w:rPr>
        <w:t> </w:t>
      </w:r>
      <w:r>
        <w:rPr>
          <w:sz w:val="22"/>
        </w:rPr>
        <w:t>allocation,</w:t>
      </w:r>
      <w:r>
        <w:rPr>
          <w:spacing w:val="-6"/>
          <w:sz w:val="22"/>
        </w:rPr>
        <w:t> </w:t>
      </w:r>
      <w:r>
        <w:rPr>
          <w:sz w:val="22"/>
        </w:rPr>
        <w:t>tree</w:t>
      </w:r>
      <w:r>
        <w:rPr>
          <w:spacing w:val="-4"/>
          <w:sz w:val="22"/>
        </w:rPr>
        <w:t> </w:t>
      </w:r>
      <w:r>
        <w:rPr>
          <w:sz w:val="22"/>
        </w:rPr>
        <w:t>growth,</w:t>
      </w:r>
      <w:r>
        <w:rPr>
          <w:spacing w:val="-3"/>
          <w:sz w:val="22"/>
        </w:rPr>
        <w:t> </w:t>
      </w:r>
      <w:r>
        <w:rPr>
          <w:sz w:val="22"/>
        </w:rPr>
        <w:t>or</w:t>
      </w:r>
      <w:r>
        <w:rPr>
          <w:spacing w:val="-4"/>
          <w:sz w:val="22"/>
        </w:rPr>
        <w:t> </w:t>
      </w:r>
      <w:r>
        <w:rPr>
          <w:sz w:val="22"/>
        </w:rPr>
        <w:t>litter</w:t>
      </w:r>
      <w:r>
        <w:rPr>
          <w:spacing w:val="-5"/>
          <w:sz w:val="22"/>
        </w:rPr>
        <w:t> </w:t>
      </w:r>
      <w:r>
        <w:rPr>
          <w:sz w:val="22"/>
        </w:rPr>
        <w:t>production</w:t>
      </w:r>
      <w:r>
        <w:rPr>
          <w:spacing w:val="-3"/>
          <w:sz w:val="22"/>
        </w:rPr>
        <w:t> </w:t>
      </w:r>
      <w:r>
        <w:rPr>
          <w:sz w:val="22"/>
        </w:rPr>
        <w:t>in</w:t>
      </w:r>
      <w:r>
        <w:rPr>
          <w:spacing w:val="-3"/>
          <w:sz w:val="22"/>
        </w:rPr>
        <w:t> </w:t>
      </w:r>
      <w:r>
        <w:rPr>
          <w:sz w:val="22"/>
        </w:rPr>
        <w:t>a lowland tropical forest. </w:t>
      </w:r>
      <w:r>
        <w:rPr>
          <w:i/>
          <w:sz w:val="22"/>
        </w:rPr>
        <w:t>Ecology</w:t>
      </w:r>
      <w:r>
        <w:rPr>
          <w:sz w:val="22"/>
        </w:rPr>
        <w:t>, </w:t>
      </w:r>
      <w:r>
        <w:rPr>
          <w:i/>
          <w:sz w:val="22"/>
        </w:rPr>
        <w:t>92</w:t>
      </w:r>
      <w:r>
        <w:rPr>
          <w:sz w:val="22"/>
        </w:rPr>
        <w:t>(8), 1616–1625. </w:t>
      </w:r>
      <w:hyperlink r:id="rId99">
        <w:r>
          <w:rPr>
            <w:sz w:val="22"/>
          </w:rPr>
          <w:t>https://doi.org/10.1890/10-1558.1</w:t>
        </w:r>
      </w:hyperlink>
    </w:p>
    <w:p>
      <w:pPr>
        <w:spacing w:before="162"/>
        <w:ind w:left="638" w:right="538" w:hanging="481"/>
        <w:jc w:val="left"/>
        <w:rPr>
          <w:sz w:val="22"/>
        </w:rPr>
      </w:pPr>
      <w:r>
        <w:rPr>
          <w:sz w:val="22"/>
        </w:rPr>
        <w:t>Wullaert, H., Homeier, J., Valarezo, C., &amp; Wilcke, W. (2010). Response of the N and P cycles of an old-growth</w:t>
      </w:r>
      <w:r>
        <w:rPr>
          <w:spacing w:val="-6"/>
          <w:sz w:val="22"/>
        </w:rPr>
        <w:t> </w:t>
      </w:r>
      <w:r>
        <w:rPr>
          <w:sz w:val="22"/>
        </w:rPr>
        <w:t>montane</w:t>
      </w:r>
      <w:r>
        <w:rPr>
          <w:spacing w:val="-5"/>
          <w:sz w:val="22"/>
        </w:rPr>
        <w:t> </w:t>
      </w:r>
      <w:r>
        <w:rPr>
          <w:sz w:val="22"/>
        </w:rPr>
        <w:t>forest</w:t>
      </w:r>
      <w:r>
        <w:rPr>
          <w:spacing w:val="-1"/>
          <w:sz w:val="22"/>
        </w:rPr>
        <w:t> </w:t>
      </w:r>
      <w:r>
        <w:rPr>
          <w:sz w:val="22"/>
        </w:rPr>
        <w:t>in</w:t>
      </w:r>
      <w:r>
        <w:rPr>
          <w:spacing w:val="-4"/>
          <w:sz w:val="22"/>
        </w:rPr>
        <w:t> </w:t>
      </w:r>
      <w:r>
        <w:rPr>
          <w:sz w:val="22"/>
        </w:rPr>
        <w:t>Ecuador</w:t>
      </w:r>
      <w:r>
        <w:rPr>
          <w:spacing w:val="-2"/>
          <w:sz w:val="22"/>
        </w:rPr>
        <w:t> </w:t>
      </w:r>
      <w:r>
        <w:rPr>
          <w:sz w:val="22"/>
        </w:rPr>
        <w:t>to</w:t>
      </w:r>
      <w:r>
        <w:rPr>
          <w:spacing w:val="-2"/>
          <w:sz w:val="22"/>
        </w:rPr>
        <w:t> </w:t>
      </w:r>
      <w:r>
        <w:rPr>
          <w:sz w:val="22"/>
        </w:rPr>
        <w:t>experimental</w:t>
      </w:r>
      <w:r>
        <w:rPr>
          <w:spacing w:val="-4"/>
          <w:sz w:val="22"/>
        </w:rPr>
        <w:t> </w:t>
      </w:r>
      <w:r>
        <w:rPr>
          <w:sz w:val="22"/>
        </w:rPr>
        <w:t>low-level</w:t>
      </w:r>
      <w:r>
        <w:rPr>
          <w:spacing w:val="-2"/>
          <w:sz w:val="22"/>
        </w:rPr>
        <w:t> </w:t>
      </w:r>
      <w:r>
        <w:rPr>
          <w:sz w:val="22"/>
        </w:rPr>
        <w:t>N</w:t>
      </w:r>
      <w:r>
        <w:rPr>
          <w:spacing w:val="-2"/>
          <w:sz w:val="22"/>
        </w:rPr>
        <w:t> </w:t>
      </w:r>
      <w:r>
        <w:rPr>
          <w:sz w:val="22"/>
        </w:rPr>
        <w:t>and</w:t>
      </w:r>
      <w:r>
        <w:rPr>
          <w:spacing w:val="-5"/>
          <w:sz w:val="22"/>
        </w:rPr>
        <w:t> </w:t>
      </w:r>
      <w:r>
        <w:rPr>
          <w:sz w:val="22"/>
        </w:rPr>
        <w:t>P</w:t>
      </w:r>
      <w:r>
        <w:rPr>
          <w:spacing w:val="-1"/>
          <w:sz w:val="22"/>
        </w:rPr>
        <w:t> </w:t>
      </w:r>
      <w:r>
        <w:rPr>
          <w:sz w:val="22"/>
        </w:rPr>
        <w:t>amendments.</w:t>
      </w:r>
      <w:r>
        <w:rPr>
          <w:spacing w:val="-3"/>
          <w:sz w:val="22"/>
        </w:rPr>
        <w:t> </w:t>
      </w:r>
      <w:r>
        <w:rPr>
          <w:i/>
          <w:sz w:val="22"/>
        </w:rPr>
        <w:t>Forest</w:t>
      </w:r>
      <w:r>
        <w:rPr>
          <w:i/>
          <w:spacing w:val="-2"/>
          <w:sz w:val="22"/>
        </w:rPr>
        <w:t> </w:t>
      </w:r>
      <w:r>
        <w:rPr>
          <w:i/>
          <w:sz w:val="22"/>
        </w:rPr>
        <w:t>Ecology and Management</w:t>
      </w:r>
      <w:r>
        <w:rPr>
          <w:sz w:val="22"/>
        </w:rPr>
        <w:t>, </w:t>
      </w:r>
      <w:r>
        <w:rPr>
          <w:i/>
          <w:sz w:val="22"/>
        </w:rPr>
        <w:t>260</w:t>
      </w:r>
      <w:r>
        <w:rPr>
          <w:sz w:val="22"/>
        </w:rPr>
        <w:t>(9), 1434–1445. </w:t>
      </w:r>
      <w:hyperlink r:id="rId100">
        <w:r>
          <w:rPr>
            <w:sz w:val="22"/>
          </w:rPr>
          <w:t>https://doi.org/10.1016/j.foreco.2010.07.021</w:t>
        </w:r>
      </w:hyperlink>
    </w:p>
    <w:p>
      <w:pPr>
        <w:spacing w:before="159"/>
        <w:ind w:left="638" w:right="0" w:hanging="481"/>
        <w:jc w:val="left"/>
        <w:rPr>
          <w:sz w:val="22"/>
        </w:rPr>
      </w:pPr>
      <w:r>
        <w:rPr>
          <w:sz w:val="22"/>
        </w:rPr>
        <w:t>Yáñez-Espinosa,</w:t>
      </w:r>
      <w:r>
        <w:rPr>
          <w:spacing w:val="-3"/>
          <w:sz w:val="22"/>
        </w:rPr>
        <w:t> </w:t>
      </w:r>
      <w:r>
        <w:rPr>
          <w:sz w:val="22"/>
        </w:rPr>
        <w:t>L.,</w:t>
      </w:r>
      <w:r>
        <w:rPr>
          <w:spacing w:val="-2"/>
          <w:sz w:val="22"/>
        </w:rPr>
        <w:t> </w:t>
      </w:r>
      <w:r>
        <w:rPr>
          <w:sz w:val="22"/>
        </w:rPr>
        <w:t>Terrazas,</w:t>
      </w:r>
      <w:r>
        <w:rPr>
          <w:spacing w:val="-3"/>
          <w:sz w:val="22"/>
        </w:rPr>
        <w:t> </w:t>
      </w:r>
      <w:r>
        <w:rPr>
          <w:sz w:val="22"/>
        </w:rPr>
        <w:t>T.,</w:t>
      </w:r>
      <w:r>
        <w:rPr>
          <w:spacing w:val="-2"/>
          <w:sz w:val="22"/>
        </w:rPr>
        <w:t> </w:t>
      </w:r>
      <w:r>
        <w:rPr>
          <w:sz w:val="22"/>
        </w:rPr>
        <w:t>&amp;</w:t>
      </w:r>
      <w:r>
        <w:rPr>
          <w:spacing w:val="-4"/>
          <w:sz w:val="22"/>
        </w:rPr>
        <w:t> </w:t>
      </w:r>
      <w:r>
        <w:rPr>
          <w:sz w:val="22"/>
        </w:rPr>
        <w:t>López-Mata,</w:t>
      </w:r>
      <w:r>
        <w:rPr>
          <w:spacing w:val="-2"/>
          <w:sz w:val="22"/>
        </w:rPr>
        <w:t> </w:t>
      </w:r>
      <w:r>
        <w:rPr>
          <w:sz w:val="22"/>
        </w:rPr>
        <w:t>L.</w:t>
      </w:r>
      <w:r>
        <w:rPr>
          <w:spacing w:val="-5"/>
          <w:sz w:val="22"/>
        </w:rPr>
        <w:t> </w:t>
      </w:r>
      <w:r>
        <w:rPr>
          <w:sz w:val="22"/>
        </w:rPr>
        <w:t>(2006).</w:t>
      </w:r>
      <w:r>
        <w:rPr>
          <w:spacing w:val="-2"/>
          <w:sz w:val="22"/>
        </w:rPr>
        <w:t> </w:t>
      </w:r>
      <w:r>
        <w:rPr>
          <w:sz w:val="22"/>
        </w:rPr>
        <w:t>Integrated</w:t>
      </w:r>
      <w:r>
        <w:rPr>
          <w:spacing w:val="-6"/>
          <w:sz w:val="22"/>
        </w:rPr>
        <w:t> </w:t>
      </w:r>
      <w:r>
        <w:rPr>
          <w:sz w:val="22"/>
        </w:rPr>
        <w:t>Analysis</w:t>
      </w:r>
      <w:r>
        <w:rPr>
          <w:spacing w:val="-4"/>
          <w:sz w:val="22"/>
        </w:rPr>
        <w:t> </w:t>
      </w:r>
      <w:r>
        <w:rPr>
          <w:sz w:val="22"/>
        </w:rPr>
        <w:t>of</w:t>
      </w:r>
      <w:r>
        <w:rPr>
          <w:spacing w:val="-2"/>
          <w:sz w:val="22"/>
        </w:rPr>
        <w:t> </w:t>
      </w:r>
      <w:r>
        <w:rPr>
          <w:sz w:val="22"/>
        </w:rPr>
        <w:t>Tropical</w:t>
      </w:r>
      <w:r>
        <w:rPr>
          <w:spacing w:val="-3"/>
          <w:sz w:val="22"/>
        </w:rPr>
        <w:t> </w:t>
      </w:r>
      <w:r>
        <w:rPr>
          <w:sz w:val="22"/>
        </w:rPr>
        <w:t>Trees</w:t>
      </w:r>
      <w:r>
        <w:rPr>
          <w:spacing w:val="-4"/>
          <w:sz w:val="22"/>
        </w:rPr>
        <w:t> </w:t>
      </w:r>
      <w:r>
        <w:rPr>
          <w:sz w:val="22"/>
        </w:rPr>
        <w:t>Growth:</w:t>
      </w:r>
      <w:r>
        <w:rPr>
          <w:spacing w:val="-2"/>
          <w:sz w:val="22"/>
        </w:rPr>
        <w:t> </w:t>
      </w:r>
      <w:r>
        <w:rPr>
          <w:sz w:val="22"/>
        </w:rPr>
        <w:t>A Multivariate Approach. </w:t>
      </w:r>
      <w:r>
        <w:rPr>
          <w:i/>
          <w:sz w:val="22"/>
        </w:rPr>
        <w:t>Annals of Botany</w:t>
      </w:r>
      <w:r>
        <w:rPr>
          <w:sz w:val="22"/>
        </w:rPr>
        <w:t>, </w:t>
      </w:r>
      <w:r>
        <w:rPr>
          <w:i/>
          <w:sz w:val="22"/>
        </w:rPr>
        <w:t>98</w:t>
      </w:r>
      <w:r>
        <w:rPr>
          <w:sz w:val="22"/>
        </w:rPr>
        <w:t>(3), 637–645. </w:t>
      </w:r>
      <w:hyperlink r:id="rId101">
        <w:r>
          <w:rPr>
            <w:sz w:val="22"/>
          </w:rPr>
          <w:t>https://doi.org/10.1093/AOB/MCL142</w:t>
        </w:r>
      </w:hyperlink>
    </w:p>
    <w:p>
      <w:pPr>
        <w:spacing w:before="159"/>
        <w:ind w:left="638" w:right="353" w:hanging="481"/>
        <w:jc w:val="left"/>
        <w:rPr>
          <w:sz w:val="22"/>
        </w:rPr>
      </w:pPr>
      <w:r>
        <w:rPr>
          <w:sz w:val="22"/>
        </w:rPr>
        <w:t>Zhu,</w:t>
      </w:r>
      <w:r>
        <w:rPr>
          <w:spacing w:val="-1"/>
          <w:sz w:val="22"/>
        </w:rPr>
        <w:t> </w:t>
      </w:r>
      <w:r>
        <w:rPr>
          <w:sz w:val="22"/>
        </w:rPr>
        <w:t>F.,</w:t>
      </w:r>
      <w:r>
        <w:rPr>
          <w:spacing w:val="-4"/>
          <w:sz w:val="22"/>
        </w:rPr>
        <w:t> </w:t>
      </w:r>
      <w:r>
        <w:rPr>
          <w:sz w:val="22"/>
        </w:rPr>
        <w:t>Yoh,</w:t>
      </w:r>
      <w:r>
        <w:rPr>
          <w:spacing w:val="-2"/>
          <w:sz w:val="22"/>
        </w:rPr>
        <w:t> </w:t>
      </w:r>
      <w:r>
        <w:rPr>
          <w:sz w:val="22"/>
        </w:rPr>
        <w:t>M.,</w:t>
      </w:r>
      <w:r>
        <w:rPr>
          <w:spacing w:val="-1"/>
          <w:sz w:val="22"/>
        </w:rPr>
        <w:t> </w:t>
      </w:r>
      <w:r>
        <w:rPr>
          <w:sz w:val="22"/>
        </w:rPr>
        <w:t>Gilliam,</w:t>
      </w:r>
      <w:r>
        <w:rPr>
          <w:spacing w:val="-4"/>
          <w:sz w:val="22"/>
        </w:rPr>
        <w:t> </w:t>
      </w:r>
      <w:r>
        <w:rPr>
          <w:sz w:val="22"/>
        </w:rPr>
        <w:t>F.</w:t>
      </w:r>
      <w:r>
        <w:rPr>
          <w:spacing w:val="-1"/>
          <w:sz w:val="22"/>
        </w:rPr>
        <w:t> </w:t>
      </w:r>
      <w:r>
        <w:rPr>
          <w:sz w:val="22"/>
        </w:rPr>
        <w:t>S.,</w:t>
      </w:r>
      <w:r>
        <w:rPr>
          <w:spacing w:val="-4"/>
          <w:sz w:val="22"/>
        </w:rPr>
        <w:t> </w:t>
      </w:r>
      <w:r>
        <w:rPr>
          <w:sz w:val="22"/>
        </w:rPr>
        <w:t>Lu,</w:t>
      </w:r>
      <w:r>
        <w:rPr>
          <w:spacing w:val="-4"/>
          <w:sz w:val="22"/>
        </w:rPr>
        <w:t> </w:t>
      </w:r>
      <w:r>
        <w:rPr>
          <w:sz w:val="22"/>
        </w:rPr>
        <w:t>X.,</w:t>
      </w:r>
      <w:r>
        <w:rPr>
          <w:spacing w:val="-1"/>
          <w:sz w:val="22"/>
        </w:rPr>
        <w:t> </w:t>
      </w:r>
      <w:r>
        <w:rPr>
          <w:sz w:val="22"/>
        </w:rPr>
        <w:t>&amp;</w:t>
      </w:r>
      <w:r>
        <w:rPr>
          <w:spacing w:val="-3"/>
          <w:sz w:val="22"/>
        </w:rPr>
        <w:t> </w:t>
      </w:r>
      <w:r>
        <w:rPr>
          <w:sz w:val="22"/>
        </w:rPr>
        <w:t>Mo,</w:t>
      </w:r>
      <w:r>
        <w:rPr>
          <w:spacing w:val="-1"/>
          <w:sz w:val="22"/>
        </w:rPr>
        <w:t> </w:t>
      </w:r>
      <w:r>
        <w:rPr>
          <w:sz w:val="22"/>
        </w:rPr>
        <w:t>J.</w:t>
      </w:r>
      <w:r>
        <w:rPr>
          <w:spacing w:val="-1"/>
          <w:sz w:val="22"/>
        </w:rPr>
        <w:t> </w:t>
      </w:r>
      <w:r>
        <w:rPr>
          <w:sz w:val="22"/>
        </w:rPr>
        <w:t>(2013).</w:t>
      </w:r>
      <w:r>
        <w:rPr>
          <w:spacing w:val="-1"/>
          <w:sz w:val="22"/>
        </w:rPr>
        <w:t> </w:t>
      </w:r>
      <w:r>
        <w:rPr>
          <w:sz w:val="22"/>
        </w:rPr>
        <w:t>Nutrient</w:t>
      </w:r>
      <w:r>
        <w:rPr>
          <w:spacing w:val="-1"/>
          <w:sz w:val="22"/>
        </w:rPr>
        <w:t> </w:t>
      </w:r>
      <w:r>
        <w:rPr>
          <w:sz w:val="22"/>
        </w:rPr>
        <w:t>limitation</w:t>
      </w:r>
      <w:r>
        <w:rPr>
          <w:spacing w:val="-1"/>
          <w:sz w:val="22"/>
        </w:rPr>
        <w:t> </w:t>
      </w:r>
      <w:r>
        <w:rPr>
          <w:sz w:val="22"/>
        </w:rPr>
        <w:t>in</w:t>
      </w:r>
      <w:r>
        <w:rPr>
          <w:spacing w:val="-4"/>
          <w:sz w:val="22"/>
        </w:rPr>
        <w:t> </w:t>
      </w:r>
      <w:r>
        <w:rPr>
          <w:sz w:val="22"/>
        </w:rPr>
        <w:t>three</w:t>
      </w:r>
      <w:r>
        <w:rPr>
          <w:spacing w:val="-2"/>
          <w:sz w:val="22"/>
        </w:rPr>
        <w:t> </w:t>
      </w:r>
      <w:r>
        <w:rPr>
          <w:sz w:val="22"/>
        </w:rPr>
        <w:t>lowland</w:t>
      </w:r>
      <w:r>
        <w:rPr>
          <w:spacing w:val="-5"/>
          <w:sz w:val="22"/>
        </w:rPr>
        <w:t> </w:t>
      </w:r>
      <w:r>
        <w:rPr>
          <w:sz w:val="22"/>
        </w:rPr>
        <w:t>tropical</w:t>
      </w:r>
      <w:r>
        <w:rPr>
          <w:spacing w:val="-2"/>
          <w:sz w:val="22"/>
        </w:rPr>
        <w:t> </w:t>
      </w:r>
      <w:r>
        <w:rPr>
          <w:sz w:val="22"/>
        </w:rPr>
        <w:t>forests in southern China receiving high nitrogen deposition: Insights from fine root responses to nutrient additions. </w:t>
      </w:r>
      <w:r>
        <w:rPr>
          <w:i/>
          <w:sz w:val="22"/>
        </w:rPr>
        <w:t>PLoS ONE</w:t>
      </w:r>
      <w:r>
        <w:rPr>
          <w:sz w:val="22"/>
        </w:rPr>
        <w:t>, </w:t>
      </w:r>
      <w:r>
        <w:rPr>
          <w:i/>
          <w:sz w:val="22"/>
        </w:rPr>
        <w:t>8</w:t>
      </w:r>
      <w:r>
        <w:rPr>
          <w:sz w:val="22"/>
        </w:rPr>
        <w:t>(12). </w:t>
      </w:r>
      <w:hyperlink r:id="rId102">
        <w:r>
          <w:rPr>
            <w:sz w:val="22"/>
          </w:rPr>
          <w:t>https://doi.org/10.1371/journal.pone.0082661</w:t>
        </w:r>
      </w:hyperlink>
    </w:p>
    <w:p>
      <w:pPr>
        <w:spacing w:before="162"/>
        <w:ind w:left="638" w:right="158" w:hanging="481"/>
        <w:jc w:val="left"/>
        <w:rPr>
          <w:sz w:val="22"/>
        </w:rPr>
      </w:pPr>
      <w:r>
        <w:rPr>
          <w:sz w:val="22"/>
        </w:rPr>
        <w:t>Zuur,</w:t>
      </w:r>
      <w:r>
        <w:rPr>
          <w:spacing w:val="-2"/>
          <w:sz w:val="22"/>
        </w:rPr>
        <w:t> </w:t>
      </w:r>
      <w:r>
        <w:rPr>
          <w:sz w:val="22"/>
        </w:rPr>
        <w:t>A.,</w:t>
      </w:r>
      <w:r>
        <w:rPr>
          <w:spacing w:val="-1"/>
          <w:sz w:val="22"/>
        </w:rPr>
        <w:t> </w:t>
      </w:r>
      <w:r>
        <w:rPr>
          <w:sz w:val="22"/>
        </w:rPr>
        <w:t>Ieno,</w:t>
      </w:r>
      <w:r>
        <w:rPr>
          <w:spacing w:val="-1"/>
          <w:sz w:val="22"/>
        </w:rPr>
        <w:t> </w:t>
      </w:r>
      <w:r>
        <w:rPr>
          <w:sz w:val="22"/>
        </w:rPr>
        <w:t>E.</w:t>
      </w:r>
      <w:r>
        <w:rPr>
          <w:spacing w:val="-4"/>
          <w:sz w:val="22"/>
        </w:rPr>
        <w:t> </w:t>
      </w:r>
      <w:r>
        <w:rPr>
          <w:sz w:val="22"/>
        </w:rPr>
        <w:t>N.,</w:t>
      </w:r>
      <w:r>
        <w:rPr>
          <w:spacing w:val="-1"/>
          <w:sz w:val="22"/>
        </w:rPr>
        <w:t> </w:t>
      </w:r>
      <w:r>
        <w:rPr>
          <w:sz w:val="22"/>
        </w:rPr>
        <w:t>Walker,</w:t>
      </w:r>
      <w:r>
        <w:rPr>
          <w:spacing w:val="-2"/>
          <w:sz w:val="22"/>
        </w:rPr>
        <w:t> </w:t>
      </w:r>
      <w:r>
        <w:rPr>
          <w:sz w:val="22"/>
        </w:rPr>
        <w:t>N.,</w:t>
      </w:r>
      <w:r>
        <w:rPr>
          <w:spacing w:val="-1"/>
          <w:sz w:val="22"/>
        </w:rPr>
        <w:t> </w:t>
      </w:r>
      <w:r>
        <w:rPr>
          <w:sz w:val="22"/>
        </w:rPr>
        <w:t>Saveliev,</w:t>
      </w:r>
      <w:r>
        <w:rPr>
          <w:spacing w:val="-1"/>
          <w:sz w:val="22"/>
        </w:rPr>
        <w:t> </w:t>
      </w:r>
      <w:r>
        <w:rPr>
          <w:sz w:val="22"/>
        </w:rPr>
        <w:t>A.</w:t>
      </w:r>
      <w:r>
        <w:rPr>
          <w:spacing w:val="-4"/>
          <w:sz w:val="22"/>
        </w:rPr>
        <w:t> </w:t>
      </w:r>
      <w:r>
        <w:rPr>
          <w:sz w:val="22"/>
        </w:rPr>
        <w:t>A.,</w:t>
      </w:r>
      <w:r>
        <w:rPr>
          <w:spacing w:val="-1"/>
          <w:sz w:val="22"/>
        </w:rPr>
        <w:t> </w:t>
      </w:r>
      <w:r>
        <w:rPr>
          <w:sz w:val="22"/>
        </w:rPr>
        <w:t>&amp;</w:t>
      </w:r>
      <w:r>
        <w:rPr>
          <w:spacing w:val="-6"/>
          <w:sz w:val="22"/>
        </w:rPr>
        <w:t> </w:t>
      </w:r>
      <w:r>
        <w:rPr>
          <w:sz w:val="22"/>
        </w:rPr>
        <w:t>Smith,</w:t>
      </w:r>
      <w:r>
        <w:rPr>
          <w:spacing w:val="-4"/>
          <w:sz w:val="22"/>
        </w:rPr>
        <w:t> </w:t>
      </w:r>
      <w:r>
        <w:rPr>
          <w:sz w:val="22"/>
        </w:rPr>
        <w:t>G.</w:t>
      </w:r>
      <w:r>
        <w:rPr>
          <w:spacing w:val="-1"/>
          <w:sz w:val="22"/>
        </w:rPr>
        <w:t> </w:t>
      </w:r>
      <w:r>
        <w:rPr>
          <w:sz w:val="22"/>
        </w:rPr>
        <w:t>M.</w:t>
      </w:r>
      <w:r>
        <w:rPr>
          <w:spacing w:val="-1"/>
          <w:sz w:val="22"/>
        </w:rPr>
        <w:t> </w:t>
      </w:r>
      <w:r>
        <w:rPr>
          <w:sz w:val="22"/>
        </w:rPr>
        <w:t>(2009).</w:t>
      </w:r>
      <w:r>
        <w:rPr>
          <w:spacing w:val="-4"/>
          <w:sz w:val="22"/>
        </w:rPr>
        <w:t> </w:t>
      </w:r>
      <w:r>
        <w:rPr>
          <w:i/>
          <w:sz w:val="22"/>
        </w:rPr>
        <w:t>Mixed</w:t>
      </w:r>
      <w:r>
        <w:rPr>
          <w:i/>
          <w:spacing w:val="-1"/>
          <w:sz w:val="22"/>
        </w:rPr>
        <w:t> </w:t>
      </w:r>
      <w:r>
        <w:rPr>
          <w:i/>
          <w:sz w:val="22"/>
        </w:rPr>
        <w:t>effects</w:t>
      </w:r>
      <w:r>
        <w:rPr>
          <w:i/>
          <w:spacing w:val="-4"/>
          <w:sz w:val="22"/>
        </w:rPr>
        <w:t> </w:t>
      </w:r>
      <w:r>
        <w:rPr>
          <w:i/>
          <w:sz w:val="22"/>
        </w:rPr>
        <w:t>models</w:t>
      </w:r>
      <w:r>
        <w:rPr>
          <w:i/>
          <w:spacing w:val="-1"/>
          <w:sz w:val="22"/>
        </w:rPr>
        <w:t> </w:t>
      </w:r>
      <w:r>
        <w:rPr>
          <w:i/>
          <w:sz w:val="22"/>
        </w:rPr>
        <w:t>and</w:t>
      </w:r>
      <w:r>
        <w:rPr>
          <w:i/>
          <w:spacing w:val="-1"/>
          <w:sz w:val="22"/>
        </w:rPr>
        <w:t> </w:t>
      </w:r>
      <w:r>
        <w:rPr>
          <w:i/>
          <w:sz w:val="22"/>
        </w:rPr>
        <w:t>extensions in ecology with R</w:t>
      </w:r>
      <w:r>
        <w:rPr>
          <w:sz w:val="22"/>
        </w:rPr>
        <w:t>. Springer Science &amp; Business Media.</w:t>
      </w:r>
    </w:p>
    <w:p>
      <w:pPr>
        <w:spacing w:after="0"/>
        <w:jc w:val="left"/>
        <w:rPr>
          <w:sz w:val="22"/>
        </w:rPr>
        <w:sectPr>
          <w:pgSz w:w="12240" w:h="15840"/>
          <w:pgMar w:header="0" w:footer="1012" w:top="1220" w:bottom="1200" w:left="850" w:right="850"/>
        </w:sectPr>
      </w:pPr>
    </w:p>
    <w:p>
      <w:pPr>
        <w:pStyle w:val="Heading1"/>
        <w:jc w:val="both"/>
      </w:pPr>
      <w:bookmarkStart w:name="_bookmark28" w:id="29"/>
      <w:bookmarkEnd w:id="29"/>
      <w:r>
        <w:rPr/>
      </w:r>
      <w:r>
        <w:rPr>
          <w:color w:val="2E5395"/>
        </w:rPr>
        <w:t>Declaration</w:t>
      </w:r>
      <w:r>
        <w:rPr>
          <w:color w:val="2E5395"/>
          <w:spacing w:val="-14"/>
        </w:rPr>
        <w:t> </w:t>
      </w:r>
      <w:r>
        <w:rPr>
          <w:color w:val="2E5395"/>
        </w:rPr>
        <w:t>of</w:t>
      </w:r>
      <w:r>
        <w:rPr>
          <w:color w:val="2E5395"/>
          <w:spacing w:val="-13"/>
        </w:rPr>
        <w:t> </w:t>
      </w:r>
      <w:r>
        <w:rPr>
          <w:color w:val="2E5395"/>
          <w:spacing w:val="-2"/>
        </w:rPr>
        <w:t>Authorship</w:t>
      </w:r>
    </w:p>
    <w:p>
      <w:pPr>
        <w:pStyle w:val="BodyText"/>
        <w:spacing w:before="116"/>
        <w:ind w:left="0"/>
        <w:jc w:val="left"/>
        <w:rPr>
          <w:rFonts w:ascii="Calibri Light"/>
          <w:sz w:val="32"/>
        </w:rPr>
      </w:pPr>
    </w:p>
    <w:p>
      <w:pPr>
        <w:pStyle w:val="BodyText"/>
        <w:spacing w:line="360" w:lineRule="auto" w:before="1"/>
        <w:ind w:right="156"/>
      </w:pPr>
      <w:r>
        <w:rPr/>
        <w:drawing>
          <wp:anchor distT="0" distB="0" distL="0" distR="0" allowOverlap="1" layoutInCell="1" locked="0" behindDoc="1" simplePos="0" relativeHeight="486534144">
            <wp:simplePos x="0" y="0"/>
            <wp:positionH relativeFrom="page">
              <wp:posOffset>5505830</wp:posOffset>
            </wp:positionH>
            <wp:positionV relativeFrom="paragraph">
              <wp:posOffset>1398089</wp:posOffset>
            </wp:positionV>
            <wp:extent cx="941348" cy="816148"/>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03" cstate="print"/>
                    <a:stretch>
                      <a:fillRect/>
                    </a:stretch>
                  </pic:blipFill>
                  <pic:spPr>
                    <a:xfrm>
                      <a:off x="0" y="0"/>
                      <a:ext cx="941348" cy="816148"/>
                    </a:xfrm>
                    <a:prstGeom prst="rect">
                      <a:avLst/>
                    </a:prstGeom>
                  </pic:spPr>
                </pic:pic>
              </a:graphicData>
            </a:graphic>
          </wp:anchor>
        </w:drawing>
      </w:r>
      <w:r>
        <w:rPr/>
        <w:t>I hereby certify that this thesis has been composed by me and is based on my own work, unless stated otherwise. No other person’s work has been used without due acknowledgement in this thesis. All references and verbatim extracts have been quoted, and all sources of information, including graphs and data sets, have been specifically acknowledged.</w:t>
      </w:r>
    </w:p>
    <w:p>
      <w:pPr>
        <w:pStyle w:val="BodyText"/>
        <w:ind w:left="0"/>
        <w:jc w:val="left"/>
      </w:pPr>
    </w:p>
    <w:p>
      <w:pPr>
        <w:pStyle w:val="BodyText"/>
        <w:ind w:left="0"/>
        <w:jc w:val="left"/>
      </w:pPr>
    </w:p>
    <w:p>
      <w:pPr>
        <w:pStyle w:val="BodyText"/>
        <w:spacing w:before="180"/>
        <w:ind w:left="0"/>
        <w:jc w:val="left"/>
      </w:pPr>
    </w:p>
    <w:p>
      <w:pPr>
        <w:tabs>
          <w:tab w:pos="6639" w:val="left" w:leader="none"/>
          <w:tab w:pos="9565" w:val="left" w:leader="none"/>
        </w:tabs>
        <w:spacing w:before="0"/>
        <w:ind w:left="157" w:right="0" w:firstLine="0"/>
        <w:jc w:val="both"/>
        <w:rPr>
          <w:rFonts w:ascii="Calibri" w:hAnsi="Calibri"/>
          <w:sz w:val="22"/>
        </w:rPr>
      </w:pPr>
      <w:r>
        <w:rPr>
          <w:rFonts w:ascii="Calibri" w:hAnsi="Calibri"/>
          <w:sz w:val="22"/>
        </w:rPr>
        <w:t>Date:</w:t>
      </w:r>
      <w:r>
        <w:rPr>
          <w:rFonts w:ascii="Calibri" w:hAnsi="Calibri"/>
          <w:spacing w:val="-5"/>
          <w:sz w:val="22"/>
          <w:u w:val="single"/>
        </w:rPr>
        <w:t> </w:t>
      </w:r>
      <w:r>
        <w:rPr>
          <w:rFonts w:ascii="Calibri" w:hAnsi="Calibri"/>
          <w:sz w:val="22"/>
          <w:u w:val="single"/>
        </w:rPr>
        <w:t>Göttingen,</w:t>
      </w:r>
      <w:r>
        <w:rPr>
          <w:rFonts w:ascii="Calibri" w:hAnsi="Calibri"/>
          <w:spacing w:val="-4"/>
          <w:sz w:val="22"/>
          <w:u w:val="single"/>
        </w:rPr>
        <w:t> </w:t>
      </w:r>
      <w:r>
        <w:rPr>
          <w:rFonts w:ascii="Calibri" w:hAnsi="Calibri"/>
          <w:spacing w:val="-2"/>
          <w:sz w:val="22"/>
          <w:u w:val="single"/>
        </w:rPr>
        <w:t>22.08.2021</w:t>
      </w:r>
      <w:r>
        <w:rPr>
          <w:rFonts w:ascii="Calibri" w:hAnsi="Calibri"/>
          <w:sz w:val="22"/>
        </w:rPr>
        <w:tab/>
      </w:r>
      <w:r>
        <w:rPr>
          <w:rFonts w:ascii="Calibri" w:hAnsi="Calibri"/>
          <w:spacing w:val="-2"/>
          <w:sz w:val="22"/>
        </w:rPr>
        <w:t>Signature:</w:t>
      </w:r>
      <w:r>
        <w:rPr>
          <w:rFonts w:ascii="Calibri" w:hAnsi="Calibri"/>
          <w:sz w:val="22"/>
          <w:u w:val="single"/>
        </w:rPr>
        <w:tab/>
      </w:r>
    </w:p>
    <w:p>
      <w:pPr>
        <w:spacing w:after="0"/>
        <w:jc w:val="both"/>
        <w:rPr>
          <w:rFonts w:ascii="Calibri" w:hAnsi="Calibri"/>
          <w:sz w:val="22"/>
        </w:rPr>
        <w:sectPr>
          <w:pgSz w:w="12240" w:h="15840"/>
          <w:pgMar w:header="0" w:footer="1012" w:top="1240" w:bottom="1200" w:left="850" w:right="850"/>
        </w:sectPr>
      </w:pPr>
    </w:p>
    <w:p>
      <w:pPr>
        <w:pStyle w:val="Heading1"/>
        <w:jc w:val="both"/>
      </w:pPr>
      <w:bookmarkStart w:name="_bookmark29" w:id="30"/>
      <w:bookmarkEnd w:id="30"/>
      <w:r>
        <w:rPr/>
      </w:r>
      <w:r>
        <w:rPr>
          <w:color w:val="2E5395"/>
          <w:spacing w:val="-2"/>
        </w:rPr>
        <w:t>Supplementary</w:t>
      </w:r>
      <w:r>
        <w:rPr>
          <w:color w:val="2E5395"/>
          <w:spacing w:val="6"/>
        </w:rPr>
        <w:t> </w:t>
      </w:r>
      <w:r>
        <w:rPr>
          <w:color w:val="2E5395"/>
          <w:spacing w:val="-2"/>
        </w:rPr>
        <w:t>Material</w:t>
      </w:r>
    </w:p>
    <w:p>
      <w:pPr>
        <w:spacing w:before="58"/>
        <w:ind w:left="157" w:right="153" w:firstLine="0"/>
        <w:jc w:val="both"/>
        <w:rPr>
          <w:sz w:val="22"/>
        </w:rPr>
      </w:pPr>
      <w:r>
        <w:rPr>
          <w:color w:val="7E7E7E"/>
          <w:sz w:val="22"/>
        </w:rPr>
        <w:t>Tab. S1: Loadings and variation explained in Principal Component Analysis</w:t>
      </w:r>
      <w:r>
        <w:rPr>
          <w:color w:val="7E7E7E"/>
          <w:spacing w:val="-1"/>
          <w:sz w:val="22"/>
        </w:rPr>
        <w:t> </w:t>
      </w:r>
      <w:r>
        <w:rPr>
          <w:color w:val="7E7E7E"/>
          <w:sz w:val="22"/>
        </w:rPr>
        <w:t>(PCA) using functional traits of (first two rows) 118 tree species traits at the 1000m asl site at Bombuscaro, Ecuador; (third and fourth row) 168 tree species traits at the 2000m asl site at the Reserva San Francisco, Ecuador; and (last two rows) 66 tree species traits at the 3000m asl site at Cajanuma, Ecuador.</w:t>
      </w:r>
    </w:p>
    <w:p>
      <w:pPr>
        <w:pStyle w:val="BodyText"/>
        <w:spacing w:before="1" w:after="1"/>
        <w:ind w:left="0"/>
        <w:jc w:val="left"/>
        <w:rPr>
          <w:sz w:val="13"/>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474"/>
        <w:gridCol w:w="1473"/>
        <w:gridCol w:w="1473"/>
        <w:gridCol w:w="1473"/>
        <w:gridCol w:w="1472"/>
        <w:gridCol w:w="1475"/>
      </w:tblGrid>
      <w:tr>
        <w:trPr>
          <w:trHeight w:val="906" w:hRule="atLeast"/>
        </w:trPr>
        <w:tc>
          <w:tcPr>
            <w:tcW w:w="1476" w:type="dxa"/>
          </w:tcPr>
          <w:p>
            <w:pPr>
              <w:pStyle w:val="TableParagraph"/>
              <w:spacing w:before="210"/>
              <w:ind w:left="504" w:right="215" w:hanging="281"/>
              <w:jc w:val="left"/>
              <w:rPr>
                <w:b/>
                <w:sz w:val="20"/>
              </w:rPr>
            </w:pPr>
            <w:r>
              <w:rPr>
                <w:b/>
                <w:spacing w:val="-2"/>
                <w:sz w:val="20"/>
              </w:rPr>
              <w:t>Functional Trait</w:t>
            </w:r>
          </w:p>
        </w:tc>
        <w:tc>
          <w:tcPr>
            <w:tcW w:w="1474" w:type="dxa"/>
          </w:tcPr>
          <w:p>
            <w:pPr>
              <w:pStyle w:val="TableParagraph"/>
              <w:spacing w:before="210"/>
              <w:rPr>
                <w:sz w:val="20"/>
              </w:rPr>
            </w:pPr>
            <w:r>
              <w:rPr>
                <w:spacing w:val="-5"/>
                <w:sz w:val="20"/>
              </w:rPr>
              <w:t>PC1</w:t>
            </w:r>
          </w:p>
          <w:p>
            <w:pPr>
              <w:pStyle w:val="TableParagraph"/>
              <w:spacing w:before="1"/>
              <w:ind w:left="8"/>
              <w:rPr>
                <w:sz w:val="20"/>
              </w:rPr>
            </w:pPr>
            <w:r>
              <w:rPr>
                <w:sz w:val="20"/>
              </w:rPr>
              <w:t>1000m</w:t>
            </w:r>
            <w:r>
              <w:rPr>
                <w:spacing w:val="-5"/>
                <w:sz w:val="20"/>
              </w:rPr>
              <w:t> Asl</w:t>
            </w:r>
          </w:p>
        </w:tc>
        <w:tc>
          <w:tcPr>
            <w:tcW w:w="1473" w:type="dxa"/>
          </w:tcPr>
          <w:p>
            <w:pPr>
              <w:pStyle w:val="TableParagraph"/>
              <w:spacing w:before="210"/>
              <w:ind w:left="257" w:right="241" w:firstLine="309"/>
              <w:jc w:val="left"/>
              <w:rPr>
                <w:sz w:val="20"/>
              </w:rPr>
            </w:pPr>
            <w:r>
              <w:rPr>
                <w:spacing w:val="-4"/>
                <w:sz w:val="20"/>
              </w:rPr>
              <w:t>PC2 </w:t>
            </w:r>
            <w:r>
              <w:rPr>
                <w:sz w:val="20"/>
              </w:rPr>
              <w:t>1000m</w:t>
            </w:r>
            <w:r>
              <w:rPr>
                <w:spacing w:val="-13"/>
                <w:sz w:val="20"/>
              </w:rPr>
              <w:t> </w:t>
            </w:r>
            <w:r>
              <w:rPr>
                <w:sz w:val="20"/>
              </w:rPr>
              <w:t>ASL</w:t>
            </w:r>
          </w:p>
        </w:tc>
        <w:tc>
          <w:tcPr>
            <w:tcW w:w="1473" w:type="dxa"/>
          </w:tcPr>
          <w:p>
            <w:pPr>
              <w:pStyle w:val="TableParagraph"/>
              <w:spacing w:before="210"/>
              <w:ind w:left="13"/>
              <w:rPr>
                <w:sz w:val="20"/>
              </w:rPr>
            </w:pPr>
            <w:r>
              <w:rPr>
                <w:spacing w:val="-5"/>
                <w:sz w:val="20"/>
              </w:rPr>
              <w:t>PC1</w:t>
            </w:r>
          </w:p>
          <w:p>
            <w:pPr>
              <w:pStyle w:val="TableParagraph"/>
              <w:spacing w:before="1"/>
              <w:rPr>
                <w:sz w:val="20"/>
              </w:rPr>
            </w:pPr>
            <w:r>
              <w:rPr>
                <w:sz w:val="20"/>
              </w:rPr>
              <w:t>2000m</w:t>
            </w:r>
            <w:r>
              <w:rPr>
                <w:spacing w:val="-6"/>
                <w:sz w:val="20"/>
              </w:rPr>
              <w:t> </w:t>
            </w:r>
            <w:r>
              <w:rPr>
                <w:spacing w:val="-5"/>
                <w:sz w:val="20"/>
              </w:rPr>
              <w:t>asl</w:t>
            </w:r>
          </w:p>
        </w:tc>
        <w:tc>
          <w:tcPr>
            <w:tcW w:w="1473" w:type="dxa"/>
          </w:tcPr>
          <w:p>
            <w:pPr>
              <w:pStyle w:val="TableParagraph"/>
              <w:spacing w:before="210"/>
              <w:ind w:left="15"/>
              <w:rPr>
                <w:sz w:val="20"/>
              </w:rPr>
            </w:pPr>
            <w:r>
              <w:rPr>
                <w:spacing w:val="-5"/>
                <w:sz w:val="20"/>
              </w:rPr>
              <w:t>PC2</w:t>
            </w:r>
          </w:p>
          <w:p>
            <w:pPr>
              <w:pStyle w:val="TableParagraph"/>
              <w:spacing w:before="1"/>
              <w:ind w:left="12"/>
              <w:rPr>
                <w:sz w:val="20"/>
              </w:rPr>
            </w:pPr>
            <w:r>
              <w:rPr>
                <w:sz w:val="20"/>
              </w:rPr>
              <w:t>2000m</w:t>
            </w:r>
            <w:r>
              <w:rPr>
                <w:spacing w:val="-6"/>
                <w:sz w:val="20"/>
              </w:rPr>
              <w:t> </w:t>
            </w:r>
            <w:r>
              <w:rPr>
                <w:spacing w:val="-5"/>
                <w:sz w:val="20"/>
              </w:rPr>
              <w:t>asl</w:t>
            </w:r>
          </w:p>
        </w:tc>
        <w:tc>
          <w:tcPr>
            <w:tcW w:w="1472" w:type="dxa"/>
          </w:tcPr>
          <w:p>
            <w:pPr>
              <w:pStyle w:val="TableParagraph"/>
              <w:spacing w:before="210"/>
              <w:ind w:left="13"/>
              <w:rPr>
                <w:sz w:val="20"/>
              </w:rPr>
            </w:pPr>
            <w:r>
              <w:rPr>
                <w:spacing w:val="-5"/>
                <w:sz w:val="20"/>
              </w:rPr>
              <w:t>PC1</w:t>
            </w:r>
          </w:p>
          <w:p>
            <w:pPr>
              <w:pStyle w:val="TableParagraph"/>
              <w:spacing w:before="1"/>
              <w:ind w:left="15"/>
              <w:rPr>
                <w:sz w:val="20"/>
              </w:rPr>
            </w:pPr>
            <w:r>
              <w:rPr>
                <w:sz w:val="20"/>
              </w:rPr>
              <w:t>3000m</w:t>
            </w:r>
            <w:r>
              <w:rPr>
                <w:spacing w:val="-6"/>
                <w:sz w:val="20"/>
              </w:rPr>
              <w:t> </w:t>
            </w:r>
            <w:r>
              <w:rPr>
                <w:spacing w:val="-5"/>
                <w:sz w:val="20"/>
              </w:rPr>
              <w:t>asl</w:t>
            </w:r>
          </w:p>
        </w:tc>
        <w:tc>
          <w:tcPr>
            <w:tcW w:w="1475" w:type="dxa"/>
          </w:tcPr>
          <w:p>
            <w:pPr>
              <w:pStyle w:val="TableParagraph"/>
              <w:spacing w:before="210"/>
              <w:ind w:left="18"/>
              <w:rPr>
                <w:sz w:val="20"/>
              </w:rPr>
            </w:pPr>
            <w:r>
              <w:rPr>
                <w:spacing w:val="-5"/>
                <w:sz w:val="20"/>
              </w:rPr>
              <w:t>PC2</w:t>
            </w:r>
          </w:p>
          <w:p>
            <w:pPr>
              <w:pStyle w:val="TableParagraph"/>
              <w:spacing w:before="1"/>
              <w:ind w:left="15"/>
              <w:rPr>
                <w:sz w:val="20"/>
              </w:rPr>
            </w:pPr>
            <w:r>
              <w:rPr>
                <w:sz w:val="20"/>
              </w:rPr>
              <w:t>3000m</w:t>
            </w:r>
            <w:r>
              <w:rPr>
                <w:spacing w:val="-6"/>
                <w:sz w:val="20"/>
              </w:rPr>
              <w:t> </w:t>
            </w:r>
            <w:r>
              <w:rPr>
                <w:spacing w:val="-5"/>
                <w:sz w:val="20"/>
              </w:rPr>
              <w:t>asl</w:t>
            </w:r>
          </w:p>
        </w:tc>
      </w:tr>
      <w:tr>
        <w:trPr>
          <w:trHeight w:val="906" w:hRule="atLeast"/>
        </w:trPr>
        <w:tc>
          <w:tcPr>
            <w:tcW w:w="1476" w:type="dxa"/>
          </w:tcPr>
          <w:p>
            <w:pPr>
              <w:pStyle w:val="TableParagraph"/>
              <w:spacing w:before="210"/>
              <w:ind w:left="107" w:right="95" w:firstLine="430"/>
              <w:jc w:val="left"/>
              <w:rPr>
                <w:sz w:val="20"/>
              </w:rPr>
            </w:pPr>
            <w:r>
              <w:rPr>
                <w:spacing w:val="-4"/>
                <w:sz w:val="20"/>
              </w:rPr>
              <w:t>Bark </w:t>
            </w:r>
            <w:r>
              <w:rPr>
                <w:sz w:val="20"/>
              </w:rPr>
              <w:t>thickness</w:t>
            </w:r>
            <w:r>
              <w:rPr>
                <w:spacing w:val="-13"/>
                <w:sz w:val="20"/>
              </w:rPr>
              <w:t> </w:t>
            </w:r>
            <w:r>
              <w:rPr>
                <w:sz w:val="20"/>
              </w:rPr>
              <w:t>(BT)</w:t>
            </w:r>
          </w:p>
        </w:tc>
        <w:tc>
          <w:tcPr>
            <w:tcW w:w="1474" w:type="dxa"/>
          </w:tcPr>
          <w:p>
            <w:pPr>
              <w:pStyle w:val="TableParagraph"/>
              <w:spacing w:before="88"/>
              <w:ind w:left="0"/>
              <w:jc w:val="left"/>
              <w:rPr>
                <w:sz w:val="20"/>
              </w:rPr>
            </w:pPr>
          </w:p>
          <w:p>
            <w:pPr>
              <w:pStyle w:val="TableParagraph"/>
              <w:spacing w:before="0"/>
              <w:ind w:left="7"/>
              <w:rPr>
                <w:sz w:val="20"/>
              </w:rPr>
            </w:pPr>
            <w:r>
              <w:rPr>
                <w:spacing w:val="-2"/>
                <w:sz w:val="20"/>
              </w:rPr>
              <w:t>0.270</w:t>
            </w:r>
          </w:p>
        </w:tc>
        <w:tc>
          <w:tcPr>
            <w:tcW w:w="1473" w:type="dxa"/>
          </w:tcPr>
          <w:p>
            <w:pPr>
              <w:pStyle w:val="TableParagraph"/>
              <w:spacing w:before="88"/>
              <w:ind w:left="0"/>
              <w:jc w:val="left"/>
              <w:rPr>
                <w:sz w:val="20"/>
              </w:rPr>
            </w:pPr>
          </w:p>
          <w:p>
            <w:pPr>
              <w:pStyle w:val="TableParagraph"/>
              <w:spacing w:before="0"/>
              <w:ind w:left="8"/>
              <w:rPr>
                <w:sz w:val="20"/>
              </w:rPr>
            </w:pPr>
            <w:r>
              <w:rPr>
                <w:spacing w:val="-2"/>
                <w:sz w:val="20"/>
              </w:rPr>
              <w:t>-0.392</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-0.048</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-0.045</w:t>
            </w:r>
          </w:p>
        </w:tc>
        <w:tc>
          <w:tcPr>
            <w:tcW w:w="1472" w:type="dxa"/>
          </w:tcPr>
          <w:p>
            <w:pPr>
              <w:pStyle w:val="TableParagraph"/>
              <w:spacing w:before="88"/>
              <w:ind w:left="0"/>
              <w:jc w:val="left"/>
              <w:rPr>
                <w:sz w:val="20"/>
              </w:rPr>
            </w:pPr>
          </w:p>
          <w:p>
            <w:pPr>
              <w:pStyle w:val="TableParagraph"/>
              <w:spacing w:before="0"/>
              <w:ind w:left="14"/>
              <w:rPr>
                <w:sz w:val="20"/>
              </w:rPr>
            </w:pPr>
            <w:r>
              <w:rPr>
                <w:spacing w:val="-2"/>
                <w:sz w:val="20"/>
              </w:rPr>
              <w:t>0.293</w:t>
            </w:r>
          </w:p>
        </w:tc>
        <w:tc>
          <w:tcPr>
            <w:tcW w:w="1475" w:type="dxa"/>
          </w:tcPr>
          <w:p>
            <w:pPr>
              <w:pStyle w:val="TableParagraph"/>
              <w:spacing w:before="88"/>
              <w:ind w:left="0"/>
              <w:jc w:val="left"/>
              <w:rPr>
                <w:sz w:val="20"/>
              </w:rPr>
            </w:pPr>
          </w:p>
          <w:p>
            <w:pPr>
              <w:pStyle w:val="TableParagraph"/>
              <w:spacing w:before="0"/>
              <w:ind w:left="16"/>
              <w:rPr>
                <w:sz w:val="20"/>
              </w:rPr>
            </w:pPr>
            <w:r>
              <w:rPr>
                <w:spacing w:val="-2"/>
                <w:sz w:val="20"/>
              </w:rPr>
              <w:t>0.159</w:t>
            </w:r>
          </w:p>
        </w:tc>
      </w:tr>
      <w:tr>
        <w:trPr>
          <w:trHeight w:val="907" w:hRule="atLeast"/>
        </w:trPr>
        <w:tc>
          <w:tcPr>
            <w:tcW w:w="1476" w:type="dxa"/>
          </w:tcPr>
          <w:p>
            <w:pPr>
              <w:pStyle w:val="TableParagraph"/>
              <w:spacing w:before="89"/>
              <w:ind w:left="0"/>
              <w:jc w:val="left"/>
              <w:rPr>
                <w:sz w:val="20"/>
              </w:rPr>
            </w:pPr>
          </w:p>
          <w:p>
            <w:pPr>
              <w:pStyle w:val="TableParagraph"/>
              <w:spacing w:before="0"/>
              <w:ind w:left="124"/>
              <w:jc w:val="left"/>
              <w:rPr>
                <w:sz w:val="20"/>
              </w:rPr>
            </w:pPr>
            <w:r>
              <w:rPr>
                <w:sz w:val="20"/>
              </w:rPr>
              <w:t>Leaf</w:t>
            </w:r>
            <w:r>
              <w:rPr>
                <w:spacing w:val="-4"/>
                <w:sz w:val="20"/>
              </w:rPr>
              <w:t> </w:t>
            </w:r>
            <w:r>
              <w:rPr>
                <w:sz w:val="20"/>
              </w:rPr>
              <w:t>area</w:t>
            </w:r>
            <w:r>
              <w:rPr>
                <w:spacing w:val="-4"/>
                <w:sz w:val="20"/>
              </w:rPr>
              <w:t> (LA)</w:t>
            </w:r>
          </w:p>
        </w:tc>
        <w:tc>
          <w:tcPr>
            <w:tcW w:w="1474" w:type="dxa"/>
          </w:tcPr>
          <w:p>
            <w:pPr>
              <w:pStyle w:val="TableParagraph"/>
              <w:spacing w:before="89"/>
              <w:ind w:left="0"/>
              <w:jc w:val="left"/>
              <w:rPr>
                <w:sz w:val="20"/>
              </w:rPr>
            </w:pPr>
          </w:p>
          <w:p>
            <w:pPr>
              <w:pStyle w:val="TableParagraph"/>
              <w:spacing w:before="0"/>
              <w:ind w:left="9"/>
              <w:rPr>
                <w:sz w:val="20"/>
              </w:rPr>
            </w:pPr>
            <w:r>
              <w:rPr>
                <w:spacing w:val="-2"/>
                <w:sz w:val="20"/>
              </w:rPr>
              <w:t>0.016</w:t>
            </w:r>
          </w:p>
        </w:tc>
        <w:tc>
          <w:tcPr>
            <w:tcW w:w="1473" w:type="dxa"/>
          </w:tcPr>
          <w:p>
            <w:pPr>
              <w:pStyle w:val="TableParagraph"/>
              <w:spacing w:before="89"/>
              <w:ind w:left="0"/>
              <w:jc w:val="left"/>
              <w:rPr>
                <w:sz w:val="20"/>
              </w:rPr>
            </w:pPr>
          </w:p>
          <w:p>
            <w:pPr>
              <w:pStyle w:val="TableParagraph"/>
              <w:spacing w:before="0"/>
              <w:ind w:left="7"/>
              <w:rPr>
                <w:sz w:val="20"/>
              </w:rPr>
            </w:pPr>
            <w:r>
              <w:rPr>
                <w:spacing w:val="-2"/>
                <w:sz w:val="20"/>
              </w:rPr>
              <w:t>0.250</w:t>
            </w:r>
          </w:p>
        </w:tc>
        <w:tc>
          <w:tcPr>
            <w:tcW w:w="1473" w:type="dxa"/>
          </w:tcPr>
          <w:p>
            <w:pPr>
              <w:pStyle w:val="TableParagraph"/>
              <w:spacing w:before="89"/>
              <w:ind w:left="0"/>
              <w:jc w:val="left"/>
              <w:rPr>
                <w:sz w:val="20"/>
              </w:rPr>
            </w:pPr>
          </w:p>
          <w:p>
            <w:pPr>
              <w:pStyle w:val="TableParagraph"/>
              <w:spacing w:before="0"/>
              <w:ind w:left="8"/>
              <w:rPr>
                <w:sz w:val="20"/>
              </w:rPr>
            </w:pPr>
            <w:r>
              <w:rPr>
                <w:spacing w:val="-2"/>
                <w:sz w:val="20"/>
              </w:rPr>
              <w:t>-0.199</w:t>
            </w:r>
          </w:p>
        </w:tc>
        <w:tc>
          <w:tcPr>
            <w:tcW w:w="1473" w:type="dxa"/>
          </w:tcPr>
          <w:p>
            <w:pPr>
              <w:pStyle w:val="TableParagraph"/>
              <w:spacing w:before="89"/>
              <w:ind w:left="0"/>
              <w:jc w:val="left"/>
              <w:rPr>
                <w:sz w:val="20"/>
              </w:rPr>
            </w:pPr>
          </w:p>
          <w:p>
            <w:pPr>
              <w:pStyle w:val="TableParagraph"/>
              <w:spacing w:before="0"/>
              <w:ind w:left="13"/>
              <w:rPr>
                <w:sz w:val="20"/>
              </w:rPr>
            </w:pPr>
            <w:r>
              <w:rPr>
                <w:spacing w:val="-2"/>
                <w:sz w:val="20"/>
              </w:rPr>
              <w:t>-</w:t>
            </w:r>
            <w:r>
              <w:rPr>
                <w:spacing w:val="-4"/>
                <w:sz w:val="20"/>
              </w:rPr>
              <w:t>0.280</w:t>
            </w:r>
          </w:p>
        </w:tc>
        <w:tc>
          <w:tcPr>
            <w:tcW w:w="1472" w:type="dxa"/>
          </w:tcPr>
          <w:p>
            <w:pPr>
              <w:pStyle w:val="TableParagraph"/>
              <w:spacing w:before="89"/>
              <w:ind w:left="0"/>
              <w:jc w:val="left"/>
              <w:rPr>
                <w:sz w:val="20"/>
              </w:rPr>
            </w:pPr>
          </w:p>
          <w:p>
            <w:pPr>
              <w:pStyle w:val="TableParagraph"/>
              <w:spacing w:before="0"/>
              <w:ind w:left="14"/>
              <w:rPr>
                <w:sz w:val="20"/>
              </w:rPr>
            </w:pPr>
            <w:r>
              <w:rPr>
                <w:spacing w:val="-2"/>
                <w:sz w:val="20"/>
              </w:rPr>
              <w:t>-0.060</w:t>
            </w:r>
          </w:p>
        </w:tc>
        <w:tc>
          <w:tcPr>
            <w:tcW w:w="1475" w:type="dxa"/>
          </w:tcPr>
          <w:p>
            <w:pPr>
              <w:pStyle w:val="TableParagraph"/>
              <w:spacing w:before="89"/>
              <w:ind w:left="0"/>
              <w:jc w:val="left"/>
              <w:rPr>
                <w:sz w:val="20"/>
              </w:rPr>
            </w:pPr>
          </w:p>
          <w:p>
            <w:pPr>
              <w:pStyle w:val="TableParagraph"/>
              <w:spacing w:before="0"/>
              <w:ind w:left="18"/>
              <w:rPr>
                <w:sz w:val="20"/>
              </w:rPr>
            </w:pPr>
            <w:r>
              <w:rPr>
                <w:spacing w:val="-2"/>
                <w:sz w:val="20"/>
              </w:rPr>
              <w:t>0.166</w:t>
            </w:r>
          </w:p>
        </w:tc>
      </w:tr>
      <w:tr>
        <w:trPr>
          <w:trHeight w:val="909" w:hRule="atLeast"/>
        </w:trPr>
        <w:tc>
          <w:tcPr>
            <w:tcW w:w="1476" w:type="dxa"/>
          </w:tcPr>
          <w:p>
            <w:pPr>
              <w:pStyle w:val="TableParagraph"/>
              <w:spacing w:before="212"/>
              <w:ind w:left="588" w:right="143" w:hanging="430"/>
              <w:jc w:val="left"/>
              <w:rPr>
                <w:sz w:val="20"/>
              </w:rPr>
            </w:pPr>
            <w:r>
              <w:rPr>
                <w:sz w:val="20"/>
              </w:rPr>
              <w:t>Leaf</w:t>
            </w:r>
            <w:r>
              <w:rPr>
                <w:spacing w:val="-13"/>
                <w:sz w:val="20"/>
              </w:rPr>
              <w:t> </w:t>
            </w:r>
            <w:r>
              <w:rPr>
                <w:sz w:val="20"/>
              </w:rPr>
              <w:t>nitrogen </w:t>
            </w:r>
            <w:r>
              <w:rPr>
                <w:spacing w:val="-4"/>
                <w:sz w:val="20"/>
              </w:rPr>
              <w:t>(N)</w:t>
            </w:r>
          </w:p>
        </w:tc>
        <w:tc>
          <w:tcPr>
            <w:tcW w:w="1474" w:type="dxa"/>
          </w:tcPr>
          <w:p>
            <w:pPr>
              <w:pStyle w:val="TableParagraph"/>
              <w:spacing w:before="88"/>
              <w:ind w:left="0"/>
              <w:jc w:val="left"/>
              <w:rPr>
                <w:sz w:val="20"/>
              </w:rPr>
            </w:pPr>
          </w:p>
          <w:p>
            <w:pPr>
              <w:pStyle w:val="TableParagraph"/>
              <w:spacing w:before="0"/>
              <w:ind w:left="7"/>
              <w:rPr>
                <w:sz w:val="20"/>
              </w:rPr>
            </w:pPr>
            <w:r>
              <w:rPr>
                <w:spacing w:val="-2"/>
                <w:sz w:val="20"/>
              </w:rPr>
              <w:t>-</w:t>
            </w:r>
            <w:r>
              <w:rPr>
                <w:spacing w:val="-4"/>
                <w:sz w:val="20"/>
              </w:rPr>
              <w:t>0.402</w:t>
            </w:r>
          </w:p>
        </w:tc>
        <w:tc>
          <w:tcPr>
            <w:tcW w:w="1473" w:type="dxa"/>
          </w:tcPr>
          <w:p>
            <w:pPr>
              <w:pStyle w:val="TableParagraph"/>
              <w:spacing w:before="81"/>
              <w:ind w:left="0"/>
              <w:jc w:val="left"/>
              <w:rPr>
                <w:sz w:val="20"/>
              </w:rPr>
            </w:pPr>
          </w:p>
          <w:p>
            <w:pPr>
              <w:pStyle w:val="TableParagraph"/>
              <w:spacing w:before="0"/>
              <w:ind w:left="8"/>
              <w:rPr>
                <w:sz w:val="20"/>
              </w:rPr>
            </w:pPr>
            <w:r>
              <w:rPr>
                <w:spacing w:val="-2"/>
                <w:sz w:val="20"/>
              </w:rPr>
              <w:t>0.054</w:t>
            </w:r>
          </w:p>
        </w:tc>
        <w:tc>
          <w:tcPr>
            <w:tcW w:w="1473" w:type="dxa"/>
          </w:tcPr>
          <w:p>
            <w:pPr>
              <w:pStyle w:val="TableParagraph"/>
              <w:spacing w:before="88"/>
              <w:ind w:left="0"/>
              <w:jc w:val="left"/>
              <w:rPr>
                <w:sz w:val="20"/>
              </w:rPr>
            </w:pPr>
          </w:p>
          <w:p>
            <w:pPr>
              <w:pStyle w:val="TableParagraph"/>
              <w:spacing w:before="0"/>
              <w:ind w:left="9"/>
              <w:rPr>
                <w:sz w:val="20"/>
              </w:rPr>
            </w:pPr>
            <w:r>
              <w:rPr>
                <w:spacing w:val="-2"/>
                <w:sz w:val="20"/>
              </w:rPr>
              <w:t>-</w:t>
            </w:r>
            <w:r>
              <w:rPr>
                <w:spacing w:val="-4"/>
                <w:sz w:val="20"/>
              </w:rPr>
              <w:t>0.436</w:t>
            </w:r>
          </w:p>
        </w:tc>
        <w:tc>
          <w:tcPr>
            <w:tcW w:w="1473" w:type="dxa"/>
          </w:tcPr>
          <w:p>
            <w:pPr>
              <w:pStyle w:val="TableParagraph"/>
              <w:spacing w:before="88"/>
              <w:ind w:left="0"/>
              <w:jc w:val="left"/>
              <w:rPr>
                <w:sz w:val="20"/>
              </w:rPr>
            </w:pPr>
          </w:p>
          <w:p>
            <w:pPr>
              <w:pStyle w:val="TableParagraph"/>
              <w:spacing w:before="0"/>
              <w:rPr>
                <w:sz w:val="20"/>
              </w:rPr>
            </w:pPr>
            <w:r>
              <w:rPr>
                <w:spacing w:val="-2"/>
                <w:sz w:val="20"/>
              </w:rPr>
              <w:t>0.169</w:t>
            </w:r>
          </w:p>
        </w:tc>
        <w:tc>
          <w:tcPr>
            <w:tcW w:w="1472" w:type="dxa"/>
          </w:tcPr>
          <w:p>
            <w:pPr>
              <w:pStyle w:val="TableParagraph"/>
              <w:spacing w:before="88"/>
              <w:ind w:left="0"/>
              <w:jc w:val="left"/>
              <w:rPr>
                <w:sz w:val="20"/>
              </w:rPr>
            </w:pPr>
          </w:p>
          <w:p>
            <w:pPr>
              <w:pStyle w:val="TableParagraph"/>
              <w:spacing w:before="0"/>
              <w:ind w:left="17"/>
              <w:rPr>
                <w:sz w:val="20"/>
              </w:rPr>
            </w:pPr>
            <w:r>
              <w:rPr>
                <w:spacing w:val="-2"/>
                <w:sz w:val="20"/>
              </w:rPr>
              <w:t>-0.541</w:t>
            </w:r>
          </w:p>
        </w:tc>
        <w:tc>
          <w:tcPr>
            <w:tcW w:w="1475" w:type="dxa"/>
          </w:tcPr>
          <w:p>
            <w:pPr>
              <w:pStyle w:val="TableParagraph"/>
              <w:spacing w:before="88"/>
              <w:ind w:left="0"/>
              <w:jc w:val="left"/>
              <w:rPr>
                <w:sz w:val="20"/>
              </w:rPr>
            </w:pPr>
          </w:p>
          <w:p>
            <w:pPr>
              <w:pStyle w:val="TableParagraph"/>
              <w:spacing w:before="0"/>
              <w:ind w:left="14"/>
              <w:rPr>
                <w:sz w:val="20"/>
              </w:rPr>
            </w:pPr>
            <w:r>
              <w:rPr>
                <w:spacing w:val="-2"/>
                <w:sz w:val="20"/>
              </w:rPr>
              <w:t>0.140</w:t>
            </w:r>
          </w:p>
        </w:tc>
      </w:tr>
      <w:tr>
        <w:trPr>
          <w:trHeight w:val="906" w:hRule="atLeast"/>
        </w:trPr>
        <w:tc>
          <w:tcPr>
            <w:tcW w:w="1476" w:type="dxa"/>
          </w:tcPr>
          <w:p>
            <w:pPr>
              <w:pStyle w:val="TableParagraph"/>
              <w:spacing w:before="87"/>
              <w:ind w:left="131" w:right="122"/>
              <w:rPr>
                <w:sz w:val="20"/>
              </w:rPr>
            </w:pPr>
            <w:r>
              <w:rPr>
                <w:spacing w:val="-4"/>
                <w:sz w:val="20"/>
              </w:rPr>
              <w:t>Leaf </w:t>
            </w:r>
            <w:r>
              <w:rPr>
                <w:spacing w:val="-2"/>
                <w:sz w:val="20"/>
              </w:rPr>
              <w:t>phosphorus </w:t>
            </w:r>
            <w:r>
              <w:rPr>
                <w:spacing w:val="-4"/>
                <w:sz w:val="20"/>
              </w:rPr>
              <w:t>(p)</w:t>
            </w:r>
          </w:p>
        </w:tc>
        <w:tc>
          <w:tcPr>
            <w:tcW w:w="1474" w:type="dxa"/>
          </w:tcPr>
          <w:p>
            <w:pPr>
              <w:pStyle w:val="TableParagraph"/>
              <w:spacing w:before="88"/>
              <w:ind w:left="0"/>
              <w:jc w:val="left"/>
              <w:rPr>
                <w:sz w:val="20"/>
              </w:rPr>
            </w:pPr>
          </w:p>
          <w:p>
            <w:pPr>
              <w:pStyle w:val="TableParagraph"/>
              <w:spacing w:before="0"/>
              <w:ind w:left="5"/>
              <w:rPr>
                <w:sz w:val="20"/>
              </w:rPr>
            </w:pPr>
            <w:r>
              <w:rPr>
                <w:spacing w:val="-2"/>
                <w:sz w:val="20"/>
              </w:rPr>
              <w:t>-</w:t>
            </w:r>
            <w:r>
              <w:rPr>
                <w:spacing w:val="-4"/>
                <w:sz w:val="20"/>
              </w:rPr>
              <w:t>0.477</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0.061</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w:t>
            </w:r>
            <w:r>
              <w:rPr>
                <w:spacing w:val="-4"/>
                <w:sz w:val="20"/>
              </w:rPr>
              <w:t>0.435</w:t>
            </w:r>
          </w:p>
        </w:tc>
        <w:tc>
          <w:tcPr>
            <w:tcW w:w="1473" w:type="dxa"/>
          </w:tcPr>
          <w:p>
            <w:pPr>
              <w:pStyle w:val="TableParagraph"/>
              <w:spacing w:before="88"/>
              <w:ind w:left="0"/>
              <w:jc w:val="left"/>
              <w:rPr>
                <w:sz w:val="20"/>
              </w:rPr>
            </w:pPr>
          </w:p>
          <w:p>
            <w:pPr>
              <w:pStyle w:val="TableParagraph"/>
              <w:spacing w:before="0"/>
              <w:ind w:left="14"/>
              <w:rPr>
                <w:sz w:val="20"/>
              </w:rPr>
            </w:pPr>
            <w:r>
              <w:rPr>
                <w:spacing w:val="-2"/>
                <w:sz w:val="20"/>
              </w:rPr>
              <w:t>0.151</w:t>
            </w:r>
          </w:p>
        </w:tc>
        <w:tc>
          <w:tcPr>
            <w:tcW w:w="1472" w:type="dxa"/>
          </w:tcPr>
          <w:p>
            <w:pPr>
              <w:pStyle w:val="TableParagraph"/>
              <w:spacing w:before="88"/>
              <w:ind w:left="0"/>
              <w:jc w:val="left"/>
              <w:rPr>
                <w:sz w:val="20"/>
              </w:rPr>
            </w:pPr>
          </w:p>
          <w:p>
            <w:pPr>
              <w:pStyle w:val="TableParagraph"/>
              <w:spacing w:before="0"/>
              <w:ind w:left="15"/>
              <w:rPr>
                <w:sz w:val="20"/>
              </w:rPr>
            </w:pPr>
            <w:r>
              <w:rPr>
                <w:spacing w:val="-2"/>
                <w:sz w:val="20"/>
              </w:rPr>
              <w:t>-</w:t>
            </w:r>
            <w:r>
              <w:rPr>
                <w:spacing w:val="-4"/>
                <w:sz w:val="20"/>
              </w:rPr>
              <w:t>0.464</w:t>
            </w:r>
          </w:p>
        </w:tc>
        <w:tc>
          <w:tcPr>
            <w:tcW w:w="1475" w:type="dxa"/>
          </w:tcPr>
          <w:p>
            <w:pPr>
              <w:pStyle w:val="TableParagraph"/>
              <w:spacing w:before="88"/>
              <w:ind w:left="0"/>
              <w:jc w:val="left"/>
              <w:rPr>
                <w:sz w:val="20"/>
              </w:rPr>
            </w:pPr>
          </w:p>
          <w:p>
            <w:pPr>
              <w:pStyle w:val="TableParagraph"/>
              <w:spacing w:before="0"/>
              <w:ind w:left="12"/>
              <w:rPr>
                <w:sz w:val="20"/>
              </w:rPr>
            </w:pPr>
            <w:r>
              <w:rPr>
                <w:spacing w:val="-2"/>
                <w:sz w:val="20"/>
              </w:rPr>
              <w:t>0.171</w:t>
            </w:r>
          </w:p>
        </w:tc>
      </w:tr>
      <w:tr>
        <w:trPr>
          <w:trHeight w:val="906" w:hRule="atLeast"/>
        </w:trPr>
        <w:tc>
          <w:tcPr>
            <w:tcW w:w="1476" w:type="dxa"/>
          </w:tcPr>
          <w:p>
            <w:pPr>
              <w:pStyle w:val="TableParagraph"/>
              <w:spacing w:before="87"/>
              <w:ind w:left="132" w:right="122"/>
              <w:rPr>
                <w:sz w:val="20"/>
              </w:rPr>
            </w:pPr>
            <w:r>
              <w:rPr>
                <w:spacing w:val="-4"/>
                <w:sz w:val="20"/>
              </w:rPr>
              <w:t>Leaf </w:t>
            </w:r>
            <w:r>
              <w:rPr>
                <w:spacing w:val="-2"/>
                <w:sz w:val="20"/>
              </w:rPr>
              <w:t>Toughness </w:t>
            </w:r>
            <w:r>
              <w:rPr>
                <w:spacing w:val="-4"/>
                <w:sz w:val="20"/>
              </w:rPr>
              <w:t>(LT)</w:t>
            </w:r>
          </w:p>
        </w:tc>
        <w:tc>
          <w:tcPr>
            <w:tcW w:w="1474" w:type="dxa"/>
          </w:tcPr>
          <w:p>
            <w:pPr>
              <w:pStyle w:val="TableParagraph"/>
              <w:spacing w:before="88"/>
              <w:ind w:left="0"/>
              <w:jc w:val="left"/>
              <w:rPr>
                <w:sz w:val="20"/>
              </w:rPr>
            </w:pPr>
          </w:p>
          <w:p>
            <w:pPr>
              <w:pStyle w:val="TableParagraph"/>
              <w:spacing w:before="0"/>
              <w:ind w:left="8"/>
              <w:rPr>
                <w:sz w:val="20"/>
              </w:rPr>
            </w:pPr>
            <w:r>
              <w:rPr>
                <w:spacing w:val="-2"/>
                <w:sz w:val="20"/>
              </w:rPr>
              <w:t>0.400</w:t>
            </w:r>
          </w:p>
        </w:tc>
        <w:tc>
          <w:tcPr>
            <w:tcW w:w="1473" w:type="dxa"/>
          </w:tcPr>
          <w:p>
            <w:pPr>
              <w:pStyle w:val="TableParagraph"/>
              <w:spacing w:before="88"/>
              <w:ind w:left="0"/>
              <w:jc w:val="left"/>
              <w:rPr>
                <w:sz w:val="20"/>
              </w:rPr>
            </w:pPr>
          </w:p>
          <w:p>
            <w:pPr>
              <w:pStyle w:val="TableParagraph"/>
              <w:spacing w:before="0"/>
              <w:ind w:left="12"/>
              <w:rPr>
                <w:sz w:val="20"/>
              </w:rPr>
            </w:pPr>
            <w:r>
              <w:rPr>
                <w:spacing w:val="-2"/>
                <w:sz w:val="20"/>
              </w:rPr>
              <w:t>-0.088</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0.359</w:t>
            </w:r>
          </w:p>
        </w:tc>
        <w:tc>
          <w:tcPr>
            <w:tcW w:w="1473" w:type="dxa"/>
          </w:tcPr>
          <w:p>
            <w:pPr>
              <w:pStyle w:val="TableParagraph"/>
              <w:spacing w:before="88"/>
              <w:ind w:left="0"/>
              <w:jc w:val="left"/>
              <w:rPr>
                <w:sz w:val="20"/>
              </w:rPr>
            </w:pPr>
          </w:p>
          <w:p>
            <w:pPr>
              <w:pStyle w:val="TableParagraph"/>
              <w:spacing w:before="0"/>
              <w:ind w:left="12"/>
              <w:rPr>
                <w:sz w:val="20"/>
              </w:rPr>
            </w:pPr>
            <w:r>
              <w:rPr>
                <w:spacing w:val="-2"/>
                <w:sz w:val="20"/>
              </w:rPr>
              <w:t>-</w:t>
            </w:r>
            <w:r>
              <w:rPr>
                <w:spacing w:val="-4"/>
                <w:sz w:val="20"/>
              </w:rPr>
              <w:t>0.319</w:t>
            </w:r>
          </w:p>
        </w:tc>
        <w:tc>
          <w:tcPr>
            <w:tcW w:w="1472" w:type="dxa"/>
          </w:tcPr>
          <w:p>
            <w:pPr>
              <w:pStyle w:val="TableParagraph"/>
              <w:spacing w:before="88"/>
              <w:ind w:left="0"/>
              <w:jc w:val="left"/>
              <w:rPr>
                <w:sz w:val="20"/>
              </w:rPr>
            </w:pPr>
          </w:p>
          <w:p>
            <w:pPr>
              <w:pStyle w:val="TableParagraph"/>
              <w:spacing w:before="0"/>
              <w:ind w:left="15"/>
              <w:rPr>
                <w:sz w:val="20"/>
              </w:rPr>
            </w:pPr>
            <w:r>
              <w:rPr>
                <w:spacing w:val="-2"/>
                <w:sz w:val="20"/>
              </w:rPr>
              <w:t>0.367</w:t>
            </w:r>
          </w:p>
        </w:tc>
        <w:tc>
          <w:tcPr>
            <w:tcW w:w="1475" w:type="dxa"/>
          </w:tcPr>
          <w:p>
            <w:pPr>
              <w:pStyle w:val="TableParagraph"/>
              <w:spacing w:before="88"/>
              <w:ind w:left="0"/>
              <w:jc w:val="left"/>
              <w:rPr>
                <w:sz w:val="20"/>
              </w:rPr>
            </w:pPr>
          </w:p>
          <w:p>
            <w:pPr>
              <w:pStyle w:val="TableParagraph"/>
              <w:spacing w:before="0"/>
              <w:ind w:left="17"/>
              <w:rPr>
                <w:sz w:val="20"/>
              </w:rPr>
            </w:pPr>
            <w:r>
              <w:rPr>
                <w:spacing w:val="-2"/>
                <w:sz w:val="20"/>
              </w:rPr>
              <w:t>-0.010</w:t>
            </w:r>
          </w:p>
        </w:tc>
      </w:tr>
      <w:tr>
        <w:trPr>
          <w:trHeight w:val="907" w:hRule="atLeast"/>
        </w:trPr>
        <w:tc>
          <w:tcPr>
            <w:tcW w:w="1476" w:type="dxa"/>
          </w:tcPr>
          <w:p>
            <w:pPr>
              <w:pStyle w:val="TableParagraph"/>
              <w:spacing w:before="210"/>
              <w:ind w:left="281" w:right="206" w:hanging="58"/>
              <w:jc w:val="left"/>
              <w:rPr>
                <w:sz w:val="20"/>
              </w:rPr>
            </w:pPr>
            <w:r>
              <w:rPr>
                <w:sz w:val="20"/>
              </w:rPr>
              <w:t>Specific</w:t>
            </w:r>
            <w:r>
              <w:rPr>
                <w:spacing w:val="-13"/>
                <w:sz w:val="20"/>
              </w:rPr>
              <w:t> </w:t>
            </w:r>
            <w:r>
              <w:rPr>
                <w:sz w:val="20"/>
              </w:rPr>
              <w:t>leaf area (SLA)</w:t>
            </w:r>
          </w:p>
        </w:tc>
        <w:tc>
          <w:tcPr>
            <w:tcW w:w="1474" w:type="dxa"/>
          </w:tcPr>
          <w:p>
            <w:pPr>
              <w:pStyle w:val="TableParagraph"/>
              <w:spacing w:before="88"/>
              <w:ind w:left="0"/>
              <w:jc w:val="left"/>
              <w:rPr>
                <w:sz w:val="20"/>
              </w:rPr>
            </w:pPr>
          </w:p>
          <w:p>
            <w:pPr>
              <w:pStyle w:val="TableParagraph"/>
              <w:spacing w:before="1"/>
              <w:ind w:left="7"/>
              <w:rPr>
                <w:sz w:val="20"/>
              </w:rPr>
            </w:pPr>
            <w:r>
              <w:rPr>
                <w:spacing w:val="-2"/>
                <w:sz w:val="20"/>
              </w:rPr>
              <w:t>-0.502</w:t>
            </w:r>
          </w:p>
        </w:tc>
        <w:tc>
          <w:tcPr>
            <w:tcW w:w="1473" w:type="dxa"/>
          </w:tcPr>
          <w:p>
            <w:pPr>
              <w:pStyle w:val="TableParagraph"/>
              <w:spacing w:before="79"/>
              <w:ind w:left="0"/>
              <w:jc w:val="left"/>
              <w:rPr>
                <w:sz w:val="20"/>
              </w:rPr>
            </w:pPr>
          </w:p>
          <w:p>
            <w:pPr>
              <w:pStyle w:val="TableParagraph"/>
              <w:spacing w:before="0"/>
              <w:ind w:left="9"/>
              <w:rPr>
                <w:sz w:val="20"/>
              </w:rPr>
            </w:pPr>
            <w:r>
              <w:rPr>
                <w:spacing w:val="-2"/>
                <w:sz w:val="20"/>
              </w:rPr>
              <w:t>-0.149</w:t>
            </w:r>
          </w:p>
        </w:tc>
        <w:tc>
          <w:tcPr>
            <w:tcW w:w="1473" w:type="dxa"/>
          </w:tcPr>
          <w:p>
            <w:pPr>
              <w:pStyle w:val="TableParagraph"/>
              <w:spacing w:before="88"/>
              <w:ind w:left="0"/>
              <w:jc w:val="left"/>
              <w:rPr>
                <w:sz w:val="20"/>
              </w:rPr>
            </w:pPr>
          </w:p>
          <w:p>
            <w:pPr>
              <w:pStyle w:val="TableParagraph"/>
              <w:spacing w:before="1"/>
              <w:ind w:left="6"/>
              <w:rPr>
                <w:sz w:val="20"/>
              </w:rPr>
            </w:pPr>
            <w:r>
              <w:rPr>
                <w:spacing w:val="-2"/>
                <w:sz w:val="20"/>
              </w:rPr>
              <w:t>-0.390</w:t>
            </w:r>
          </w:p>
        </w:tc>
        <w:tc>
          <w:tcPr>
            <w:tcW w:w="1473" w:type="dxa"/>
          </w:tcPr>
          <w:p>
            <w:pPr>
              <w:pStyle w:val="TableParagraph"/>
              <w:spacing w:before="88"/>
              <w:ind w:left="0"/>
              <w:jc w:val="left"/>
              <w:rPr>
                <w:sz w:val="20"/>
              </w:rPr>
            </w:pPr>
          </w:p>
          <w:p>
            <w:pPr>
              <w:pStyle w:val="TableParagraph"/>
              <w:spacing w:before="1"/>
              <w:ind w:left="14"/>
              <w:rPr>
                <w:sz w:val="20"/>
              </w:rPr>
            </w:pPr>
            <w:r>
              <w:rPr>
                <w:spacing w:val="-2"/>
                <w:sz w:val="20"/>
              </w:rPr>
              <w:t>0.360</w:t>
            </w:r>
          </w:p>
        </w:tc>
        <w:tc>
          <w:tcPr>
            <w:tcW w:w="1472" w:type="dxa"/>
          </w:tcPr>
          <w:p>
            <w:pPr>
              <w:pStyle w:val="TableParagraph"/>
              <w:spacing w:before="88"/>
              <w:ind w:left="0"/>
              <w:jc w:val="left"/>
              <w:rPr>
                <w:sz w:val="20"/>
              </w:rPr>
            </w:pPr>
          </w:p>
          <w:p>
            <w:pPr>
              <w:pStyle w:val="TableParagraph"/>
              <w:spacing w:before="1"/>
              <w:ind w:left="15"/>
              <w:rPr>
                <w:sz w:val="20"/>
              </w:rPr>
            </w:pPr>
            <w:r>
              <w:rPr>
                <w:spacing w:val="-2"/>
                <w:sz w:val="20"/>
              </w:rPr>
              <w:t>-</w:t>
            </w:r>
            <w:r>
              <w:rPr>
                <w:spacing w:val="-4"/>
                <w:sz w:val="20"/>
              </w:rPr>
              <w:t>0.476</w:t>
            </w:r>
          </w:p>
        </w:tc>
        <w:tc>
          <w:tcPr>
            <w:tcW w:w="1475" w:type="dxa"/>
          </w:tcPr>
          <w:p>
            <w:pPr>
              <w:pStyle w:val="TableParagraph"/>
              <w:spacing w:before="88"/>
              <w:ind w:left="0"/>
              <w:jc w:val="left"/>
              <w:rPr>
                <w:sz w:val="20"/>
              </w:rPr>
            </w:pPr>
          </w:p>
          <w:p>
            <w:pPr>
              <w:pStyle w:val="TableParagraph"/>
              <w:spacing w:before="1"/>
              <w:ind w:left="15"/>
              <w:rPr>
                <w:sz w:val="20"/>
              </w:rPr>
            </w:pPr>
            <w:r>
              <w:rPr>
                <w:spacing w:val="-2"/>
                <w:sz w:val="20"/>
              </w:rPr>
              <w:t>0.052</w:t>
            </w:r>
          </w:p>
        </w:tc>
      </w:tr>
      <w:tr>
        <w:trPr>
          <w:trHeight w:val="976" w:hRule="atLeast"/>
        </w:trPr>
        <w:tc>
          <w:tcPr>
            <w:tcW w:w="1476" w:type="dxa"/>
          </w:tcPr>
          <w:p>
            <w:pPr>
              <w:pStyle w:val="TableParagraph"/>
              <w:spacing w:before="1"/>
              <w:ind w:left="194" w:right="188" w:hanging="2"/>
              <w:rPr>
                <w:sz w:val="20"/>
              </w:rPr>
            </w:pPr>
            <w:r>
              <w:rPr>
                <w:sz w:val="20"/>
              </w:rPr>
              <w:t>Sapwood-</w:t>
            </w:r>
            <w:r>
              <w:rPr>
                <w:spacing w:val="-2"/>
                <w:sz w:val="20"/>
              </w:rPr>
              <w:t>specific conductivity</w:t>
            </w:r>
          </w:p>
          <w:p>
            <w:pPr>
              <w:pStyle w:val="TableParagraph"/>
              <w:spacing w:line="223" w:lineRule="exact" w:before="0"/>
              <w:ind w:left="131" w:right="127"/>
              <w:rPr>
                <w:sz w:val="20"/>
              </w:rPr>
            </w:pPr>
            <w:r>
              <w:rPr>
                <w:spacing w:val="-4"/>
                <w:sz w:val="20"/>
              </w:rPr>
              <w:t>(KS)</w:t>
            </w:r>
          </w:p>
        </w:tc>
        <w:tc>
          <w:tcPr>
            <w:tcW w:w="1474" w:type="dxa"/>
          </w:tcPr>
          <w:p>
            <w:pPr>
              <w:pStyle w:val="TableParagraph"/>
              <w:spacing w:before="122"/>
              <w:ind w:left="0"/>
              <w:jc w:val="left"/>
              <w:rPr>
                <w:sz w:val="20"/>
              </w:rPr>
            </w:pPr>
          </w:p>
          <w:p>
            <w:pPr>
              <w:pStyle w:val="TableParagraph"/>
              <w:spacing w:before="0"/>
              <w:ind w:left="7"/>
              <w:rPr>
                <w:sz w:val="20"/>
              </w:rPr>
            </w:pPr>
            <w:r>
              <w:rPr>
                <w:spacing w:val="-2"/>
                <w:sz w:val="20"/>
              </w:rPr>
              <w:t>-0.051</w:t>
            </w:r>
          </w:p>
        </w:tc>
        <w:tc>
          <w:tcPr>
            <w:tcW w:w="1473" w:type="dxa"/>
          </w:tcPr>
          <w:p>
            <w:pPr>
              <w:pStyle w:val="TableParagraph"/>
              <w:spacing w:before="122"/>
              <w:ind w:left="0"/>
              <w:jc w:val="left"/>
              <w:rPr>
                <w:sz w:val="20"/>
              </w:rPr>
            </w:pPr>
          </w:p>
          <w:p>
            <w:pPr>
              <w:pStyle w:val="TableParagraph"/>
              <w:spacing w:before="0"/>
              <w:ind w:left="8"/>
              <w:rPr>
                <w:sz w:val="20"/>
              </w:rPr>
            </w:pPr>
            <w:r>
              <w:rPr>
                <w:spacing w:val="-2"/>
                <w:sz w:val="20"/>
              </w:rPr>
              <w:t>0.165</w:t>
            </w:r>
          </w:p>
        </w:tc>
        <w:tc>
          <w:tcPr>
            <w:tcW w:w="1473" w:type="dxa"/>
          </w:tcPr>
          <w:p>
            <w:pPr>
              <w:pStyle w:val="TableParagraph"/>
              <w:spacing w:before="122"/>
              <w:ind w:left="0"/>
              <w:jc w:val="left"/>
              <w:rPr>
                <w:sz w:val="20"/>
              </w:rPr>
            </w:pPr>
          </w:p>
          <w:p>
            <w:pPr>
              <w:pStyle w:val="TableParagraph"/>
              <w:spacing w:before="0"/>
              <w:ind w:left="12"/>
              <w:rPr>
                <w:sz w:val="20"/>
              </w:rPr>
            </w:pPr>
            <w:r>
              <w:rPr>
                <w:spacing w:val="-2"/>
                <w:sz w:val="20"/>
              </w:rPr>
              <w:t>-0.253</w:t>
            </w:r>
          </w:p>
        </w:tc>
        <w:tc>
          <w:tcPr>
            <w:tcW w:w="1473" w:type="dxa"/>
          </w:tcPr>
          <w:p>
            <w:pPr>
              <w:pStyle w:val="TableParagraph"/>
              <w:spacing w:before="122"/>
              <w:ind w:left="0"/>
              <w:jc w:val="left"/>
              <w:rPr>
                <w:sz w:val="20"/>
              </w:rPr>
            </w:pPr>
          </w:p>
          <w:p>
            <w:pPr>
              <w:pStyle w:val="TableParagraph"/>
              <w:spacing w:before="0"/>
              <w:ind w:left="12"/>
              <w:rPr>
                <w:sz w:val="20"/>
              </w:rPr>
            </w:pPr>
            <w:r>
              <w:rPr>
                <w:spacing w:val="-2"/>
                <w:sz w:val="20"/>
              </w:rPr>
              <w:t>-</w:t>
            </w:r>
            <w:r>
              <w:rPr>
                <w:spacing w:val="-4"/>
                <w:sz w:val="20"/>
              </w:rPr>
              <w:t>0.487</w:t>
            </w:r>
          </w:p>
        </w:tc>
        <w:tc>
          <w:tcPr>
            <w:tcW w:w="1472" w:type="dxa"/>
          </w:tcPr>
          <w:p>
            <w:pPr>
              <w:pStyle w:val="TableParagraph"/>
              <w:spacing w:before="122"/>
              <w:ind w:left="0"/>
              <w:jc w:val="left"/>
              <w:rPr>
                <w:sz w:val="20"/>
              </w:rPr>
            </w:pPr>
          </w:p>
          <w:p>
            <w:pPr>
              <w:pStyle w:val="TableParagraph"/>
              <w:spacing w:before="0"/>
              <w:ind w:left="17"/>
              <w:rPr>
                <w:sz w:val="20"/>
              </w:rPr>
            </w:pPr>
            <w:r>
              <w:rPr>
                <w:spacing w:val="-2"/>
                <w:sz w:val="20"/>
              </w:rPr>
              <w:t>0.061</w:t>
            </w:r>
          </w:p>
        </w:tc>
        <w:tc>
          <w:tcPr>
            <w:tcW w:w="1475" w:type="dxa"/>
          </w:tcPr>
          <w:p>
            <w:pPr>
              <w:pStyle w:val="TableParagraph"/>
              <w:spacing w:before="122"/>
              <w:ind w:left="0"/>
              <w:jc w:val="left"/>
              <w:rPr>
                <w:sz w:val="20"/>
              </w:rPr>
            </w:pPr>
          </w:p>
          <w:p>
            <w:pPr>
              <w:pStyle w:val="TableParagraph"/>
              <w:spacing w:before="0"/>
              <w:ind w:left="15"/>
              <w:rPr>
                <w:sz w:val="20"/>
              </w:rPr>
            </w:pPr>
            <w:r>
              <w:rPr>
                <w:spacing w:val="-2"/>
                <w:sz w:val="20"/>
              </w:rPr>
              <w:t>0.481</w:t>
            </w:r>
          </w:p>
        </w:tc>
      </w:tr>
      <w:tr>
        <w:trPr>
          <w:trHeight w:val="906" w:hRule="atLeast"/>
        </w:trPr>
        <w:tc>
          <w:tcPr>
            <w:tcW w:w="1476" w:type="dxa"/>
          </w:tcPr>
          <w:p>
            <w:pPr>
              <w:pStyle w:val="TableParagraph"/>
              <w:spacing w:before="210"/>
              <w:ind w:left="521" w:right="116" w:hanging="397"/>
              <w:jc w:val="left"/>
              <w:rPr>
                <w:sz w:val="20"/>
              </w:rPr>
            </w:pPr>
            <w:r>
              <w:rPr>
                <w:sz w:val="20"/>
              </w:rPr>
              <w:t>Vessel</w:t>
            </w:r>
            <w:r>
              <w:rPr>
                <w:spacing w:val="-13"/>
                <w:sz w:val="20"/>
              </w:rPr>
              <w:t> </w:t>
            </w:r>
            <w:r>
              <w:rPr>
                <w:sz w:val="20"/>
              </w:rPr>
              <w:t>density </w:t>
            </w:r>
            <w:r>
              <w:rPr>
                <w:spacing w:val="-4"/>
                <w:sz w:val="20"/>
              </w:rPr>
              <w:t>(VD)</w:t>
            </w:r>
          </w:p>
        </w:tc>
        <w:tc>
          <w:tcPr>
            <w:tcW w:w="1474" w:type="dxa"/>
          </w:tcPr>
          <w:p>
            <w:pPr>
              <w:pStyle w:val="TableParagraph"/>
              <w:spacing w:before="88"/>
              <w:ind w:left="0"/>
              <w:jc w:val="left"/>
              <w:rPr>
                <w:sz w:val="20"/>
              </w:rPr>
            </w:pPr>
          </w:p>
          <w:p>
            <w:pPr>
              <w:pStyle w:val="TableParagraph"/>
              <w:spacing w:before="0"/>
              <w:ind w:left="4"/>
              <w:rPr>
                <w:sz w:val="20"/>
              </w:rPr>
            </w:pPr>
            <w:r>
              <w:rPr>
                <w:spacing w:val="-2"/>
                <w:sz w:val="20"/>
              </w:rPr>
              <w:t>0.094</w:t>
            </w:r>
          </w:p>
        </w:tc>
        <w:tc>
          <w:tcPr>
            <w:tcW w:w="1473" w:type="dxa"/>
          </w:tcPr>
          <w:p>
            <w:pPr>
              <w:pStyle w:val="TableParagraph"/>
              <w:spacing w:before="88"/>
              <w:ind w:left="0"/>
              <w:jc w:val="left"/>
              <w:rPr>
                <w:sz w:val="20"/>
              </w:rPr>
            </w:pPr>
          </w:p>
          <w:p>
            <w:pPr>
              <w:pStyle w:val="TableParagraph"/>
              <w:spacing w:before="0"/>
              <w:ind w:left="12"/>
              <w:rPr>
                <w:sz w:val="20"/>
              </w:rPr>
            </w:pPr>
            <w:r>
              <w:rPr>
                <w:spacing w:val="-2"/>
                <w:sz w:val="20"/>
              </w:rPr>
              <w:t>-0.550</w:t>
            </w:r>
          </w:p>
        </w:tc>
        <w:tc>
          <w:tcPr>
            <w:tcW w:w="1473" w:type="dxa"/>
          </w:tcPr>
          <w:p>
            <w:pPr>
              <w:pStyle w:val="TableParagraph"/>
              <w:spacing w:before="88"/>
              <w:ind w:left="0"/>
              <w:jc w:val="left"/>
              <w:rPr>
                <w:sz w:val="20"/>
              </w:rPr>
            </w:pPr>
          </w:p>
          <w:p>
            <w:pPr>
              <w:pStyle w:val="TableParagraph"/>
              <w:spacing w:before="0"/>
              <w:ind w:left="8"/>
              <w:rPr>
                <w:sz w:val="20"/>
              </w:rPr>
            </w:pPr>
            <w:r>
              <w:rPr>
                <w:spacing w:val="-2"/>
                <w:sz w:val="20"/>
              </w:rPr>
              <w:t>0.121</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0.220</w:t>
            </w:r>
          </w:p>
        </w:tc>
        <w:tc>
          <w:tcPr>
            <w:tcW w:w="1472" w:type="dxa"/>
          </w:tcPr>
          <w:p>
            <w:pPr>
              <w:pStyle w:val="TableParagraph"/>
              <w:spacing w:before="88"/>
              <w:ind w:left="0"/>
              <w:jc w:val="left"/>
              <w:rPr>
                <w:sz w:val="20"/>
              </w:rPr>
            </w:pPr>
          </w:p>
          <w:p>
            <w:pPr>
              <w:pStyle w:val="TableParagraph"/>
              <w:spacing w:before="0"/>
              <w:ind w:left="17"/>
              <w:rPr>
                <w:sz w:val="20"/>
              </w:rPr>
            </w:pPr>
            <w:r>
              <w:rPr>
                <w:spacing w:val="-2"/>
                <w:sz w:val="20"/>
              </w:rPr>
              <w:t>-0.078</w:t>
            </w:r>
          </w:p>
        </w:tc>
        <w:tc>
          <w:tcPr>
            <w:tcW w:w="1475" w:type="dxa"/>
          </w:tcPr>
          <w:p>
            <w:pPr>
              <w:pStyle w:val="TableParagraph"/>
              <w:spacing w:before="88"/>
              <w:ind w:left="0"/>
              <w:jc w:val="left"/>
              <w:rPr>
                <w:sz w:val="20"/>
              </w:rPr>
            </w:pPr>
          </w:p>
          <w:p>
            <w:pPr>
              <w:pStyle w:val="TableParagraph"/>
              <w:spacing w:before="0"/>
              <w:ind w:left="15"/>
              <w:rPr>
                <w:sz w:val="20"/>
              </w:rPr>
            </w:pPr>
            <w:r>
              <w:rPr>
                <w:spacing w:val="-2"/>
                <w:sz w:val="20"/>
              </w:rPr>
              <w:t>-</w:t>
            </w:r>
            <w:r>
              <w:rPr>
                <w:spacing w:val="-4"/>
                <w:sz w:val="20"/>
              </w:rPr>
              <w:t>0.484</w:t>
            </w:r>
          </w:p>
        </w:tc>
      </w:tr>
      <w:tr>
        <w:trPr>
          <w:trHeight w:val="906" w:hRule="atLeast"/>
        </w:trPr>
        <w:tc>
          <w:tcPr>
            <w:tcW w:w="1476" w:type="dxa"/>
          </w:tcPr>
          <w:p>
            <w:pPr>
              <w:pStyle w:val="TableParagraph"/>
              <w:spacing w:before="210"/>
              <w:ind w:left="173" w:right="159" w:firstLine="290"/>
              <w:jc w:val="left"/>
              <w:rPr>
                <w:sz w:val="20"/>
              </w:rPr>
            </w:pPr>
            <w:r>
              <w:rPr>
                <w:spacing w:val="-2"/>
                <w:sz w:val="20"/>
              </w:rPr>
              <w:t>Vessel </w:t>
            </w:r>
            <w:r>
              <w:rPr>
                <w:sz w:val="20"/>
              </w:rPr>
              <w:t>diameter</w:t>
            </w:r>
            <w:r>
              <w:rPr>
                <w:spacing w:val="-13"/>
                <w:sz w:val="20"/>
              </w:rPr>
              <w:t> </w:t>
            </w:r>
            <w:r>
              <w:rPr>
                <w:sz w:val="20"/>
              </w:rPr>
              <w:t>(D)</w:t>
            </w:r>
          </w:p>
        </w:tc>
        <w:tc>
          <w:tcPr>
            <w:tcW w:w="1474" w:type="dxa"/>
          </w:tcPr>
          <w:p>
            <w:pPr>
              <w:pStyle w:val="TableParagraph"/>
              <w:spacing w:before="88"/>
              <w:ind w:left="0"/>
              <w:jc w:val="left"/>
              <w:rPr>
                <w:sz w:val="20"/>
              </w:rPr>
            </w:pPr>
          </w:p>
          <w:p>
            <w:pPr>
              <w:pStyle w:val="TableParagraph"/>
              <w:spacing w:before="0"/>
              <w:ind w:left="5"/>
              <w:rPr>
                <w:sz w:val="20"/>
              </w:rPr>
            </w:pPr>
            <w:r>
              <w:rPr>
                <w:spacing w:val="-2"/>
                <w:sz w:val="20"/>
              </w:rPr>
              <w:t>-0.199</w:t>
            </w:r>
          </w:p>
        </w:tc>
        <w:tc>
          <w:tcPr>
            <w:tcW w:w="1473" w:type="dxa"/>
          </w:tcPr>
          <w:p>
            <w:pPr>
              <w:pStyle w:val="TableParagraph"/>
              <w:spacing w:before="88"/>
              <w:ind w:left="0"/>
              <w:jc w:val="left"/>
              <w:rPr>
                <w:sz w:val="20"/>
              </w:rPr>
            </w:pPr>
          </w:p>
          <w:p>
            <w:pPr>
              <w:pStyle w:val="TableParagraph"/>
              <w:spacing w:before="0"/>
              <w:ind w:left="8"/>
              <w:rPr>
                <w:sz w:val="20"/>
              </w:rPr>
            </w:pPr>
            <w:r>
              <w:rPr>
                <w:spacing w:val="-2"/>
                <w:sz w:val="20"/>
              </w:rPr>
              <w:t>0.623</w:t>
            </w:r>
          </w:p>
        </w:tc>
        <w:tc>
          <w:tcPr>
            <w:tcW w:w="1473" w:type="dxa"/>
          </w:tcPr>
          <w:p>
            <w:pPr>
              <w:pStyle w:val="TableParagraph"/>
              <w:spacing w:before="88"/>
              <w:ind w:left="0"/>
              <w:jc w:val="left"/>
              <w:rPr>
                <w:sz w:val="20"/>
              </w:rPr>
            </w:pPr>
          </w:p>
          <w:p>
            <w:pPr>
              <w:pStyle w:val="TableParagraph"/>
              <w:spacing w:before="0"/>
              <w:rPr>
                <w:sz w:val="20"/>
              </w:rPr>
            </w:pPr>
            <w:r>
              <w:rPr>
                <w:spacing w:val="-2"/>
                <w:sz w:val="20"/>
              </w:rPr>
              <w:t>-</w:t>
            </w:r>
            <w:r>
              <w:rPr>
                <w:spacing w:val="-4"/>
                <w:sz w:val="20"/>
              </w:rPr>
              <w:t>0.262</w:t>
            </w:r>
          </w:p>
        </w:tc>
        <w:tc>
          <w:tcPr>
            <w:tcW w:w="1473" w:type="dxa"/>
          </w:tcPr>
          <w:p>
            <w:pPr>
              <w:pStyle w:val="TableParagraph"/>
              <w:spacing w:before="88"/>
              <w:ind w:left="0"/>
              <w:jc w:val="left"/>
              <w:rPr>
                <w:sz w:val="20"/>
              </w:rPr>
            </w:pPr>
          </w:p>
          <w:p>
            <w:pPr>
              <w:pStyle w:val="TableParagraph"/>
              <w:spacing w:before="0"/>
              <w:ind w:left="12"/>
              <w:rPr>
                <w:sz w:val="20"/>
              </w:rPr>
            </w:pPr>
            <w:r>
              <w:rPr>
                <w:spacing w:val="-2"/>
                <w:sz w:val="20"/>
              </w:rPr>
              <w:t>-0.587</w:t>
            </w:r>
          </w:p>
        </w:tc>
        <w:tc>
          <w:tcPr>
            <w:tcW w:w="1472" w:type="dxa"/>
          </w:tcPr>
          <w:p>
            <w:pPr>
              <w:pStyle w:val="TableParagraph"/>
              <w:spacing w:before="88"/>
              <w:ind w:left="0"/>
              <w:jc w:val="left"/>
              <w:rPr>
                <w:sz w:val="20"/>
              </w:rPr>
            </w:pPr>
          </w:p>
          <w:p>
            <w:pPr>
              <w:pStyle w:val="TableParagraph"/>
              <w:spacing w:before="0"/>
              <w:ind w:left="15"/>
              <w:rPr>
                <w:sz w:val="20"/>
              </w:rPr>
            </w:pPr>
            <w:r>
              <w:rPr>
                <w:spacing w:val="-2"/>
                <w:sz w:val="20"/>
              </w:rPr>
              <w:t>0.130</w:t>
            </w:r>
          </w:p>
        </w:tc>
        <w:tc>
          <w:tcPr>
            <w:tcW w:w="1475" w:type="dxa"/>
          </w:tcPr>
          <w:p>
            <w:pPr>
              <w:pStyle w:val="TableParagraph"/>
              <w:spacing w:before="88"/>
              <w:ind w:left="0"/>
              <w:jc w:val="left"/>
              <w:rPr>
                <w:sz w:val="20"/>
              </w:rPr>
            </w:pPr>
          </w:p>
          <w:p>
            <w:pPr>
              <w:pStyle w:val="TableParagraph"/>
              <w:spacing w:before="0"/>
              <w:ind w:left="15"/>
              <w:rPr>
                <w:sz w:val="20"/>
              </w:rPr>
            </w:pPr>
            <w:r>
              <w:rPr>
                <w:spacing w:val="-2"/>
                <w:sz w:val="20"/>
              </w:rPr>
              <w:t>0.654</w:t>
            </w:r>
          </w:p>
        </w:tc>
      </w:tr>
      <w:tr>
        <w:trPr>
          <w:trHeight w:val="907" w:hRule="atLeast"/>
        </w:trPr>
        <w:tc>
          <w:tcPr>
            <w:tcW w:w="1476" w:type="dxa"/>
          </w:tcPr>
          <w:p>
            <w:pPr>
              <w:pStyle w:val="TableParagraph"/>
              <w:spacing w:before="210"/>
              <w:ind w:left="117" w:right="107" w:firstLine="2"/>
              <w:jc w:val="left"/>
              <w:rPr>
                <w:sz w:val="20"/>
              </w:rPr>
            </w:pPr>
            <w:r>
              <w:rPr>
                <w:sz w:val="20"/>
              </w:rPr>
              <w:t>Wood</w:t>
            </w:r>
            <w:r>
              <w:rPr>
                <w:spacing w:val="-13"/>
                <w:sz w:val="20"/>
              </w:rPr>
              <w:t> </w:t>
            </w:r>
            <w:r>
              <w:rPr>
                <w:sz w:val="20"/>
              </w:rPr>
              <w:t>specific gravity</w:t>
            </w:r>
            <w:r>
              <w:rPr>
                <w:spacing w:val="-11"/>
                <w:sz w:val="20"/>
              </w:rPr>
              <w:t> </w:t>
            </w:r>
            <w:r>
              <w:rPr>
                <w:spacing w:val="-2"/>
                <w:sz w:val="20"/>
              </w:rPr>
              <w:t>(WSG)</w:t>
            </w:r>
          </w:p>
        </w:tc>
        <w:tc>
          <w:tcPr>
            <w:tcW w:w="1474" w:type="dxa"/>
          </w:tcPr>
          <w:p>
            <w:pPr>
              <w:pStyle w:val="TableParagraph"/>
              <w:spacing w:before="89"/>
              <w:ind w:left="0"/>
              <w:jc w:val="left"/>
              <w:rPr>
                <w:sz w:val="20"/>
              </w:rPr>
            </w:pPr>
          </w:p>
          <w:p>
            <w:pPr>
              <w:pStyle w:val="TableParagraph"/>
              <w:spacing w:before="0"/>
              <w:ind w:left="5"/>
              <w:rPr>
                <w:sz w:val="20"/>
              </w:rPr>
            </w:pPr>
            <w:r>
              <w:rPr>
                <w:spacing w:val="-2"/>
                <w:sz w:val="20"/>
              </w:rPr>
              <w:t>-</w:t>
            </w:r>
            <w:r>
              <w:rPr>
                <w:spacing w:val="-4"/>
                <w:sz w:val="20"/>
              </w:rPr>
              <w:t>0.274</w:t>
            </w:r>
          </w:p>
        </w:tc>
        <w:tc>
          <w:tcPr>
            <w:tcW w:w="1473" w:type="dxa"/>
          </w:tcPr>
          <w:p>
            <w:pPr>
              <w:pStyle w:val="TableParagraph"/>
              <w:spacing w:before="89"/>
              <w:ind w:left="0"/>
              <w:jc w:val="left"/>
              <w:rPr>
                <w:sz w:val="20"/>
              </w:rPr>
            </w:pPr>
          </w:p>
          <w:p>
            <w:pPr>
              <w:pStyle w:val="TableParagraph"/>
              <w:spacing w:before="0"/>
              <w:ind w:left="6"/>
              <w:rPr>
                <w:sz w:val="20"/>
              </w:rPr>
            </w:pPr>
            <w:r>
              <w:rPr>
                <w:spacing w:val="-2"/>
                <w:sz w:val="20"/>
              </w:rPr>
              <w:t>0.172</w:t>
            </w:r>
          </w:p>
        </w:tc>
        <w:tc>
          <w:tcPr>
            <w:tcW w:w="1473" w:type="dxa"/>
          </w:tcPr>
          <w:p>
            <w:pPr>
              <w:pStyle w:val="TableParagraph"/>
              <w:spacing w:before="89"/>
              <w:ind w:left="0"/>
              <w:jc w:val="left"/>
              <w:rPr>
                <w:sz w:val="20"/>
              </w:rPr>
            </w:pPr>
          </w:p>
          <w:p>
            <w:pPr>
              <w:pStyle w:val="TableParagraph"/>
              <w:spacing w:before="0"/>
              <w:ind w:left="11"/>
              <w:rPr>
                <w:sz w:val="20"/>
              </w:rPr>
            </w:pPr>
            <w:r>
              <w:rPr>
                <w:spacing w:val="-2"/>
                <w:sz w:val="20"/>
              </w:rPr>
              <w:t>0.388</w:t>
            </w:r>
          </w:p>
        </w:tc>
        <w:tc>
          <w:tcPr>
            <w:tcW w:w="1473" w:type="dxa"/>
          </w:tcPr>
          <w:p>
            <w:pPr>
              <w:pStyle w:val="TableParagraph"/>
              <w:spacing w:before="89"/>
              <w:ind w:left="0"/>
              <w:jc w:val="left"/>
              <w:rPr>
                <w:sz w:val="20"/>
              </w:rPr>
            </w:pPr>
          </w:p>
          <w:p>
            <w:pPr>
              <w:pStyle w:val="TableParagraph"/>
              <w:spacing w:before="0"/>
              <w:ind w:left="14"/>
              <w:rPr>
                <w:sz w:val="20"/>
              </w:rPr>
            </w:pPr>
            <w:r>
              <w:rPr>
                <w:spacing w:val="-2"/>
                <w:sz w:val="20"/>
              </w:rPr>
              <w:t>0.084</w:t>
            </w:r>
          </w:p>
        </w:tc>
        <w:tc>
          <w:tcPr>
            <w:tcW w:w="1472" w:type="dxa"/>
          </w:tcPr>
          <w:p>
            <w:pPr>
              <w:pStyle w:val="TableParagraph"/>
              <w:spacing w:before="89"/>
              <w:ind w:left="0"/>
              <w:jc w:val="left"/>
              <w:rPr>
                <w:sz w:val="20"/>
              </w:rPr>
            </w:pPr>
          </w:p>
          <w:p>
            <w:pPr>
              <w:pStyle w:val="TableParagraph"/>
              <w:spacing w:before="0"/>
              <w:ind w:left="12"/>
              <w:rPr>
                <w:sz w:val="20"/>
              </w:rPr>
            </w:pPr>
            <w:r>
              <w:rPr>
                <w:spacing w:val="-2"/>
                <w:sz w:val="20"/>
              </w:rPr>
              <w:t>-0.121</w:t>
            </w:r>
          </w:p>
        </w:tc>
        <w:tc>
          <w:tcPr>
            <w:tcW w:w="1475" w:type="dxa"/>
          </w:tcPr>
          <w:p>
            <w:pPr>
              <w:pStyle w:val="TableParagraph"/>
              <w:spacing w:before="89"/>
              <w:ind w:left="0"/>
              <w:jc w:val="left"/>
              <w:rPr>
                <w:sz w:val="20"/>
              </w:rPr>
            </w:pPr>
          </w:p>
          <w:p>
            <w:pPr>
              <w:pStyle w:val="TableParagraph"/>
              <w:spacing w:before="0"/>
              <w:ind w:left="15"/>
              <w:rPr>
                <w:sz w:val="20"/>
              </w:rPr>
            </w:pPr>
            <w:r>
              <w:rPr>
                <w:spacing w:val="-2"/>
                <w:sz w:val="20"/>
              </w:rPr>
              <w:t>0.043</w:t>
            </w:r>
          </w:p>
        </w:tc>
      </w:tr>
      <w:tr>
        <w:trPr>
          <w:trHeight w:val="906" w:hRule="atLeast"/>
        </w:trPr>
        <w:tc>
          <w:tcPr>
            <w:tcW w:w="1476" w:type="dxa"/>
          </w:tcPr>
          <w:p>
            <w:pPr>
              <w:pStyle w:val="TableParagraph"/>
              <w:spacing w:before="210"/>
              <w:ind w:left="269" w:right="259" w:firstLine="21"/>
              <w:jc w:val="left"/>
              <w:rPr>
                <w:b/>
                <w:sz w:val="20"/>
              </w:rPr>
            </w:pPr>
            <w:r>
              <w:rPr>
                <w:b/>
                <w:spacing w:val="-2"/>
                <w:sz w:val="20"/>
              </w:rPr>
              <w:t>Variation explained</w:t>
            </w:r>
          </w:p>
        </w:tc>
        <w:tc>
          <w:tcPr>
            <w:tcW w:w="1474" w:type="dxa"/>
          </w:tcPr>
          <w:p>
            <w:pPr>
              <w:pStyle w:val="TableParagraph"/>
              <w:spacing w:before="88"/>
              <w:ind w:left="0"/>
              <w:jc w:val="left"/>
              <w:rPr>
                <w:sz w:val="20"/>
              </w:rPr>
            </w:pPr>
          </w:p>
          <w:p>
            <w:pPr>
              <w:pStyle w:val="TableParagraph"/>
              <w:spacing w:before="0"/>
              <w:ind w:left="5"/>
              <w:rPr>
                <w:sz w:val="20"/>
              </w:rPr>
            </w:pPr>
            <w:r>
              <w:rPr>
                <w:spacing w:val="-2"/>
                <w:sz w:val="20"/>
              </w:rPr>
              <w:t>29.39%</w:t>
            </w:r>
          </w:p>
        </w:tc>
        <w:tc>
          <w:tcPr>
            <w:tcW w:w="1473" w:type="dxa"/>
          </w:tcPr>
          <w:p>
            <w:pPr>
              <w:pStyle w:val="TableParagraph"/>
              <w:spacing w:before="88"/>
              <w:ind w:left="0"/>
              <w:jc w:val="left"/>
              <w:rPr>
                <w:sz w:val="20"/>
              </w:rPr>
            </w:pPr>
          </w:p>
          <w:p>
            <w:pPr>
              <w:pStyle w:val="TableParagraph"/>
              <w:spacing w:before="0"/>
              <w:ind w:left="7"/>
              <w:rPr>
                <w:sz w:val="20"/>
              </w:rPr>
            </w:pPr>
            <w:r>
              <w:rPr>
                <w:spacing w:val="-2"/>
                <w:sz w:val="20"/>
              </w:rPr>
              <w:t>16.7%</w:t>
            </w:r>
          </w:p>
        </w:tc>
        <w:tc>
          <w:tcPr>
            <w:tcW w:w="1473" w:type="dxa"/>
          </w:tcPr>
          <w:p>
            <w:pPr>
              <w:pStyle w:val="TableParagraph"/>
              <w:spacing w:before="88"/>
              <w:ind w:left="0"/>
              <w:jc w:val="left"/>
              <w:rPr>
                <w:sz w:val="20"/>
              </w:rPr>
            </w:pPr>
          </w:p>
          <w:p>
            <w:pPr>
              <w:pStyle w:val="TableParagraph"/>
              <w:spacing w:before="0"/>
              <w:ind w:left="11"/>
              <w:rPr>
                <w:sz w:val="20"/>
              </w:rPr>
            </w:pPr>
            <w:r>
              <w:rPr>
                <w:spacing w:val="-2"/>
                <w:sz w:val="20"/>
              </w:rPr>
              <w:t>38.54%</w:t>
            </w:r>
          </w:p>
        </w:tc>
        <w:tc>
          <w:tcPr>
            <w:tcW w:w="1473" w:type="dxa"/>
          </w:tcPr>
          <w:p>
            <w:pPr>
              <w:pStyle w:val="TableParagraph"/>
              <w:spacing w:before="88"/>
              <w:ind w:left="0"/>
              <w:jc w:val="left"/>
              <w:rPr>
                <w:sz w:val="20"/>
              </w:rPr>
            </w:pPr>
          </w:p>
          <w:p>
            <w:pPr>
              <w:pStyle w:val="TableParagraph"/>
              <w:spacing w:before="0"/>
              <w:ind w:left="9"/>
              <w:rPr>
                <w:sz w:val="20"/>
              </w:rPr>
            </w:pPr>
            <w:r>
              <w:rPr>
                <w:spacing w:val="-2"/>
                <w:sz w:val="20"/>
              </w:rPr>
              <w:t>15.93%</w:t>
            </w:r>
          </w:p>
        </w:tc>
        <w:tc>
          <w:tcPr>
            <w:tcW w:w="1472" w:type="dxa"/>
          </w:tcPr>
          <w:p>
            <w:pPr>
              <w:pStyle w:val="TableParagraph"/>
              <w:spacing w:before="88"/>
              <w:ind w:left="0"/>
              <w:jc w:val="left"/>
              <w:rPr>
                <w:sz w:val="20"/>
              </w:rPr>
            </w:pPr>
          </w:p>
          <w:p>
            <w:pPr>
              <w:pStyle w:val="TableParagraph"/>
              <w:spacing w:before="0"/>
              <w:ind w:left="16"/>
              <w:rPr>
                <w:sz w:val="20"/>
              </w:rPr>
            </w:pPr>
            <w:r>
              <w:rPr>
                <w:spacing w:val="-2"/>
                <w:sz w:val="20"/>
              </w:rPr>
              <w:t>31.09%</w:t>
            </w:r>
          </w:p>
        </w:tc>
        <w:tc>
          <w:tcPr>
            <w:tcW w:w="1475" w:type="dxa"/>
          </w:tcPr>
          <w:p>
            <w:pPr>
              <w:pStyle w:val="TableParagraph"/>
              <w:spacing w:before="88"/>
              <w:ind w:left="0"/>
              <w:jc w:val="left"/>
              <w:rPr>
                <w:sz w:val="20"/>
              </w:rPr>
            </w:pPr>
          </w:p>
          <w:p>
            <w:pPr>
              <w:pStyle w:val="TableParagraph"/>
              <w:spacing w:before="0"/>
              <w:ind w:left="18"/>
              <w:rPr>
                <w:sz w:val="20"/>
              </w:rPr>
            </w:pPr>
            <w:r>
              <w:rPr>
                <w:spacing w:val="-2"/>
                <w:sz w:val="20"/>
              </w:rPr>
              <w:t>18.35%</w:t>
            </w:r>
          </w:p>
        </w:tc>
      </w:tr>
    </w:tbl>
    <w:p>
      <w:pPr>
        <w:pStyle w:val="TableParagraph"/>
        <w:spacing w:after="0"/>
        <w:rPr>
          <w:sz w:val="20"/>
        </w:rPr>
        <w:sectPr>
          <w:pgSz w:w="12240" w:h="15840"/>
          <w:pgMar w:header="0" w:footer="1012" w:top="1240" w:bottom="1200" w:left="850" w:right="850"/>
        </w:sectPr>
      </w:pPr>
    </w:p>
    <w:p>
      <w:pPr>
        <w:spacing w:line="276" w:lineRule="auto" w:before="37"/>
        <w:ind w:left="157" w:right="152" w:firstLine="0"/>
        <w:jc w:val="both"/>
        <w:rPr>
          <w:sz w:val="22"/>
        </w:rPr>
      </w:pPr>
      <w:r>
        <w:rPr>
          <w:color w:val="7E7E7E"/>
          <w:sz w:val="22"/>
        </w:rPr>
        <w:t>Tab. S2: Comparison of 21 Linear Mixed Models for the 1000m asl site predicting tree basal area change</w:t>
      </w:r>
      <w:r>
        <w:rPr>
          <w:color w:val="7E7E7E"/>
          <w:spacing w:val="40"/>
          <w:sz w:val="22"/>
        </w:rPr>
        <w:t> </w:t>
      </w:r>
      <w:r>
        <w:rPr>
          <w:color w:val="7E7E7E"/>
          <w:sz w:val="22"/>
        </w:rPr>
        <w:t>over at least 12 years as a function of nutrient addition treatment (N, P), initial basal area (Tree size), functional traits collapsed in two PCA axes (PC 1 and PC 2), species identity and block are included as random factors. Best model for each grouping is highlighted in bold.</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2"/>
        <w:gridCol w:w="2352"/>
        <w:gridCol w:w="2349"/>
      </w:tblGrid>
      <w:tr>
        <w:trPr>
          <w:trHeight w:val="469" w:hRule="atLeast"/>
        </w:trPr>
        <w:tc>
          <w:tcPr>
            <w:tcW w:w="2350" w:type="dxa"/>
          </w:tcPr>
          <w:p>
            <w:pPr>
              <w:pStyle w:val="TableParagraph"/>
              <w:ind w:left="11" w:right="5"/>
              <w:rPr>
                <w:sz w:val="20"/>
              </w:rPr>
            </w:pPr>
            <w:r>
              <w:rPr>
                <w:spacing w:val="-2"/>
                <w:sz w:val="20"/>
              </w:rPr>
              <w:t>Models</w:t>
            </w:r>
          </w:p>
        </w:tc>
        <w:tc>
          <w:tcPr>
            <w:tcW w:w="2352" w:type="dxa"/>
          </w:tcPr>
          <w:p>
            <w:pPr>
              <w:pStyle w:val="TableParagraph"/>
              <w:ind w:right="4"/>
              <w:rPr>
                <w:sz w:val="20"/>
              </w:rPr>
            </w:pPr>
            <w:r>
              <w:rPr>
                <w:spacing w:val="-5"/>
                <w:sz w:val="20"/>
              </w:rPr>
              <w:t>df</w:t>
            </w:r>
          </w:p>
        </w:tc>
        <w:tc>
          <w:tcPr>
            <w:tcW w:w="2352" w:type="dxa"/>
          </w:tcPr>
          <w:p>
            <w:pPr>
              <w:pStyle w:val="TableParagraph"/>
              <w:ind w:right="4"/>
              <w:rPr>
                <w:sz w:val="20"/>
              </w:rPr>
            </w:pPr>
            <w:r>
              <w:rPr>
                <w:spacing w:val="-5"/>
                <w:sz w:val="20"/>
              </w:rPr>
              <w:t>AIC</w:t>
            </w:r>
          </w:p>
        </w:tc>
        <w:tc>
          <w:tcPr>
            <w:tcW w:w="2349" w:type="dxa"/>
          </w:tcPr>
          <w:p>
            <w:pPr>
              <w:pStyle w:val="TableParagraph"/>
              <w:ind w:left="14" w:right="4"/>
              <w:rPr>
                <w:sz w:val="20"/>
              </w:rPr>
            </w:pPr>
            <w:r>
              <w:rPr>
                <w:spacing w:val="-4"/>
                <w:sz w:val="20"/>
              </w:rPr>
              <w:t>ΔAIC</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5"/>
                <w:sz w:val="20"/>
              </w:rPr>
              <w:t> </w:t>
            </w:r>
            <w:r>
              <w:rPr>
                <w:sz w:val="20"/>
              </w:rPr>
              <w:t>PC1</w:t>
            </w:r>
            <w:r>
              <w:rPr>
                <w:spacing w:val="-6"/>
                <w:sz w:val="20"/>
              </w:rPr>
              <w:t> </w:t>
            </w:r>
            <w:r>
              <w:rPr>
                <w:spacing w:val="-4"/>
                <w:sz w:val="20"/>
              </w:rPr>
              <w:t>axis</w:t>
            </w:r>
          </w:p>
        </w:tc>
      </w:tr>
      <w:tr>
        <w:trPr>
          <w:trHeight w:val="472" w:hRule="atLeast"/>
        </w:trPr>
        <w:tc>
          <w:tcPr>
            <w:tcW w:w="2350" w:type="dxa"/>
          </w:tcPr>
          <w:p>
            <w:pPr>
              <w:pStyle w:val="TableParagraph"/>
              <w:spacing w:before="116"/>
              <w:ind w:left="11" w:right="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w:t>
            </w:r>
            <w:r>
              <w:rPr>
                <w:spacing w:val="-2"/>
                <w:sz w:val="20"/>
              </w:rPr>
              <w:t> </w:t>
            </w:r>
            <w:r>
              <w:rPr>
                <w:spacing w:val="-5"/>
                <w:sz w:val="20"/>
              </w:rPr>
              <w:t>PC1</w:t>
            </w:r>
          </w:p>
        </w:tc>
        <w:tc>
          <w:tcPr>
            <w:tcW w:w="2352" w:type="dxa"/>
          </w:tcPr>
          <w:p>
            <w:pPr>
              <w:pStyle w:val="TableParagraph"/>
              <w:spacing w:before="116"/>
              <w:ind w:right="2"/>
              <w:rPr>
                <w:sz w:val="20"/>
              </w:rPr>
            </w:pPr>
            <w:r>
              <w:rPr>
                <w:spacing w:val="-5"/>
                <w:sz w:val="20"/>
              </w:rPr>
              <w:t>19</w:t>
            </w:r>
          </w:p>
        </w:tc>
        <w:tc>
          <w:tcPr>
            <w:tcW w:w="2352" w:type="dxa"/>
          </w:tcPr>
          <w:p>
            <w:pPr>
              <w:pStyle w:val="TableParagraph"/>
              <w:spacing w:before="116"/>
              <w:ind w:right="5"/>
              <w:rPr>
                <w:sz w:val="20"/>
              </w:rPr>
            </w:pPr>
            <w:r>
              <w:rPr>
                <w:spacing w:val="-2"/>
                <w:sz w:val="20"/>
              </w:rPr>
              <w:t>302.71</w:t>
            </w:r>
          </w:p>
        </w:tc>
        <w:tc>
          <w:tcPr>
            <w:tcW w:w="2349" w:type="dxa"/>
          </w:tcPr>
          <w:p>
            <w:pPr>
              <w:pStyle w:val="TableParagraph"/>
              <w:spacing w:before="116"/>
              <w:ind w:left="14"/>
              <w:rPr>
                <w:sz w:val="20"/>
              </w:rPr>
            </w:pPr>
            <w:r>
              <w:rPr>
                <w:spacing w:val="-2"/>
                <w:sz w:val="20"/>
              </w:rPr>
              <w:t>54.10</w:t>
            </w:r>
          </w:p>
        </w:tc>
      </w:tr>
      <w:tr>
        <w:trPr>
          <w:trHeight w:val="470" w:hRule="atLeast"/>
        </w:trPr>
        <w:tc>
          <w:tcPr>
            <w:tcW w:w="2350" w:type="dxa"/>
          </w:tcPr>
          <w:p>
            <w:pPr>
              <w:pStyle w:val="TableParagraph"/>
              <w:ind w:left="11" w:right="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PC1</w:t>
            </w:r>
          </w:p>
        </w:tc>
        <w:tc>
          <w:tcPr>
            <w:tcW w:w="2352" w:type="dxa"/>
          </w:tcPr>
          <w:p>
            <w:pPr>
              <w:pStyle w:val="TableParagraph"/>
              <w:rPr>
                <w:sz w:val="20"/>
              </w:rPr>
            </w:pPr>
            <w:r>
              <w:rPr>
                <w:spacing w:val="-5"/>
                <w:sz w:val="20"/>
              </w:rPr>
              <w:t>12</w:t>
            </w:r>
          </w:p>
        </w:tc>
        <w:tc>
          <w:tcPr>
            <w:tcW w:w="2352" w:type="dxa"/>
          </w:tcPr>
          <w:p>
            <w:pPr>
              <w:pStyle w:val="TableParagraph"/>
              <w:ind w:right="5"/>
              <w:rPr>
                <w:sz w:val="20"/>
              </w:rPr>
            </w:pPr>
            <w:r>
              <w:rPr>
                <w:spacing w:val="-2"/>
                <w:sz w:val="20"/>
              </w:rPr>
              <w:t>273.96</w:t>
            </w:r>
          </w:p>
        </w:tc>
        <w:tc>
          <w:tcPr>
            <w:tcW w:w="2349" w:type="dxa"/>
          </w:tcPr>
          <w:p>
            <w:pPr>
              <w:pStyle w:val="TableParagraph"/>
              <w:ind w:left="14" w:right="3"/>
              <w:rPr>
                <w:sz w:val="20"/>
              </w:rPr>
            </w:pPr>
            <w:r>
              <w:rPr>
                <w:spacing w:val="-2"/>
                <w:sz w:val="20"/>
              </w:rPr>
              <w:t>25.35</w:t>
            </w:r>
          </w:p>
        </w:tc>
      </w:tr>
      <w:tr>
        <w:trPr>
          <w:trHeight w:val="472"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PC1</w:t>
            </w:r>
            <w:r>
              <w:rPr>
                <w:spacing w:val="-3"/>
                <w:sz w:val="20"/>
              </w:rPr>
              <w:t> </w:t>
            </w:r>
            <w:r>
              <w:rPr>
                <w:sz w:val="20"/>
              </w:rPr>
              <w:t>+</w:t>
            </w:r>
            <w:r>
              <w:rPr>
                <w:spacing w:val="-2"/>
                <w:sz w:val="20"/>
              </w:rPr>
              <w:t> </w:t>
            </w:r>
            <w:r>
              <w:rPr>
                <w:sz w:val="20"/>
              </w:rPr>
              <w:t>Tree</w:t>
            </w:r>
            <w:r>
              <w:rPr>
                <w:spacing w:val="-2"/>
                <w:sz w:val="20"/>
              </w:rPr>
              <w:t> </w:t>
            </w:r>
            <w:r>
              <w:rPr>
                <w:spacing w:val="-4"/>
                <w:sz w:val="20"/>
              </w:rPr>
              <w:t>size</w:t>
            </w:r>
          </w:p>
        </w:tc>
        <w:tc>
          <w:tcPr>
            <w:tcW w:w="2352" w:type="dxa"/>
          </w:tcPr>
          <w:p>
            <w:pPr>
              <w:pStyle w:val="TableParagraph"/>
              <w:rPr>
                <w:sz w:val="20"/>
              </w:rPr>
            </w:pPr>
            <w:r>
              <w:rPr>
                <w:spacing w:val="-5"/>
                <w:sz w:val="20"/>
              </w:rPr>
              <w:t>12</w:t>
            </w:r>
          </w:p>
        </w:tc>
        <w:tc>
          <w:tcPr>
            <w:tcW w:w="2352" w:type="dxa"/>
          </w:tcPr>
          <w:p>
            <w:pPr>
              <w:pStyle w:val="TableParagraph"/>
              <w:ind w:right="5"/>
              <w:rPr>
                <w:sz w:val="20"/>
              </w:rPr>
            </w:pPr>
            <w:r>
              <w:rPr>
                <w:spacing w:val="-2"/>
                <w:sz w:val="20"/>
              </w:rPr>
              <w:t>274.03</w:t>
            </w:r>
          </w:p>
        </w:tc>
        <w:tc>
          <w:tcPr>
            <w:tcW w:w="2349" w:type="dxa"/>
          </w:tcPr>
          <w:p>
            <w:pPr>
              <w:pStyle w:val="TableParagraph"/>
              <w:ind w:left="14" w:right="2"/>
              <w:rPr>
                <w:sz w:val="20"/>
              </w:rPr>
            </w:pPr>
            <w:r>
              <w:rPr>
                <w:spacing w:val="-2"/>
                <w:sz w:val="20"/>
              </w:rPr>
              <w:t>25.41</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PC1</w:t>
            </w:r>
          </w:p>
        </w:tc>
        <w:tc>
          <w:tcPr>
            <w:tcW w:w="2352" w:type="dxa"/>
          </w:tcPr>
          <w:p>
            <w:pPr>
              <w:pStyle w:val="TableParagraph"/>
              <w:ind w:right="2"/>
              <w:rPr>
                <w:sz w:val="20"/>
              </w:rPr>
            </w:pPr>
            <w:r>
              <w:rPr>
                <w:spacing w:val="-10"/>
                <w:sz w:val="20"/>
              </w:rPr>
              <w:t>9</w:t>
            </w:r>
          </w:p>
        </w:tc>
        <w:tc>
          <w:tcPr>
            <w:tcW w:w="2352" w:type="dxa"/>
          </w:tcPr>
          <w:p>
            <w:pPr>
              <w:pStyle w:val="TableParagraph"/>
              <w:ind w:right="2"/>
              <w:rPr>
                <w:sz w:val="20"/>
              </w:rPr>
            </w:pPr>
            <w:r>
              <w:rPr>
                <w:spacing w:val="-2"/>
                <w:sz w:val="20"/>
              </w:rPr>
              <w:t>258.67</w:t>
            </w:r>
          </w:p>
        </w:tc>
        <w:tc>
          <w:tcPr>
            <w:tcW w:w="2349" w:type="dxa"/>
          </w:tcPr>
          <w:p>
            <w:pPr>
              <w:pStyle w:val="TableParagraph"/>
              <w:ind w:left="14" w:right="3"/>
              <w:rPr>
                <w:sz w:val="20"/>
              </w:rPr>
            </w:pPr>
            <w:r>
              <w:rPr>
                <w:spacing w:val="-2"/>
                <w:sz w:val="20"/>
              </w:rPr>
              <w:t>10.05</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PC1</w:t>
            </w:r>
          </w:p>
        </w:tc>
        <w:tc>
          <w:tcPr>
            <w:tcW w:w="2352" w:type="dxa"/>
          </w:tcPr>
          <w:p>
            <w:pPr>
              <w:pStyle w:val="TableParagraph"/>
              <w:ind w:right="5"/>
              <w:rPr>
                <w:b/>
                <w:sz w:val="20"/>
              </w:rPr>
            </w:pPr>
            <w:r>
              <w:rPr>
                <w:b/>
                <w:spacing w:val="-10"/>
                <w:sz w:val="20"/>
              </w:rPr>
              <w:t>8</w:t>
            </w:r>
          </w:p>
        </w:tc>
        <w:tc>
          <w:tcPr>
            <w:tcW w:w="2352" w:type="dxa"/>
          </w:tcPr>
          <w:p>
            <w:pPr>
              <w:pStyle w:val="TableParagraph"/>
              <w:ind w:right="2"/>
              <w:rPr>
                <w:b/>
                <w:sz w:val="20"/>
              </w:rPr>
            </w:pPr>
            <w:r>
              <w:rPr>
                <w:b/>
                <w:spacing w:val="-2"/>
                <w:sz w:val="20"/>
              </w:rPr>
              <w:t>254.11</w:t>
            </w:r>
          </w:p>
        </w:tc>
        <w:tc>
          <w:tcPr>
            <w:tcW w:w="2349" w:type="dxa"/>
          </w:tcPr>
          <w:p>
            <w:pPr>
              <w:pStyle w:val="TableParagraph"/>
              <w:ind w:left="14" w:right="1"/>
              <w:rPr>
                <w:b/>
                <w:sz w:val="20"/>
              </w:rPr>
            </w:pPr>
            <w:r>
              <w:rPr>
                <w:b/>
                <w:spacing w:val="-4"/>
                <w:sz w:val="20"/>
              </w:rPr>
              <w:t>5.49</w:t>
            </w:r>
          </w:p>
        </w:tc>
      </w:tr>
      <w:tr>
        <w:trPr>
          <w:trHeight w:val="472" w:hRule="atLeast"/>
        </w:trPr>
        <w:tc>
          <w:tcPr>
            <w:tcW w:w="2350" w:type="dxa"/>
          </w:tcPr>
          <w:p>
            <w:pPr>
              <w:pStyle w:val="TableParagraph"/>
              <w:spacing w:before="116"/>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PC1</w:t>
            </w:r>
          </w:p>
        </w:tc>
        <w:tc>
          <w:tcPr>
            <w:tcW w:w="2352" w:type="dxa"/>
          </w:tcPr>
          <w:p>
            <w:pPr>
              <w:pStyle w:val="TableParagraph"/>
              <w:spacing w:before="116"/>
              <w:ind w:right="1"/>
              <w:rPr>
                <w:sz w:val="20"/>
              </w:rPr>
            </w:pPr>
            <w:r>
              <w:rPr>
                <w:spacing w:val="-5"/>
                <w:sz w:val="20"/>
              </w:rPr>
              <w:t>11</w:t>
            </w:r>
          </w:p>
        </w:tc>
        <w:tc>
          <w:tcPr>
            <w:tcW w:w="2352" w:type="dxa"/>
          </w:tcPr>
          <w:p>
            <w:pPr>
              <w:pStyle w:val="TableParagraph"/>
              <w:spacing w:before="116"/>
              <w:rPr>
                <w:sz w:val="20"/>
              </w:rPr>
            </w:pPr>
            <w:r>
              <w:rPr>
                <w:spacing w:val="-2"/>
                <w:sz w:val="20"/>
              </w:rPr>
              <w:t>360.10</w:t>
            </w:r>
          </w:p>
        </w:tc>
        <w:tc>
          <w:tcPr>
            <w:tcW w:w="2349" w:type="dxa"/>
          </w:tcPr>
          <w:p>
            <w:pPr>
              <w:pStyle w:val="TableParagraph"/>
              <w:spacing w:before="116"/>
              <w:ind w:left="14" w:right="3"/>
              <w:rPr>
                <w:sz w:val="20"/>
              </w:rPr>
            </w:pPr>
            <w:r>
              <w:rPr>
                <w:spacing w:val="-2"/>
                <w:sz w:val="20"/>
              </w:rPr>
              <w:t>111.49</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ind w:right="4"/>
              <w:rPr>
                <w:sz w:val="20"/>
              </w:rPr>
            </w:pPr>
            <w:r>
              <w:rPr>
                <w:spacing w:val="-10"/>
                <w:sz w:val="20"/>
              </w:rPr>
              <w:t>8</w:t>
            </w:r>
          </w:p>
        </w:tc>
        <w:tc>
          <w:tcPr>
            <w:tcW w:w="2352" w:type="dxa"/>
          </w:tcPr>
          <w:p>
            <w:pPr>
              <w:pStyle w:val="TableParagraph"/>
              <w:ind w:right="3"/>
              <w:rPr>
                <w:sz w:val="20"/>
              </w:rPr>
            </w:pPr>
            <w:r>
              <w:rPr>
                <w:spacing w:val="-2"/>
                <w:sz w:val="20"/>
              </w:rPr>
              <w:t>342.53</w:t>
            </w:r>
          </w:p>
        </w:tc>
        <w:tc>
          <w:tcPr>
            <w:tcW w:w="2349" w:type="dxa"/>
          </w:tcPr>
          <w:p>
            <w:pPr>
              <w:pStyle w:val="TableParagraph"/>
              <w:ind w:left="14" w:right="4"/>
              <w:rPr>
                <w:sz w:val="20"/>
              </w:rPr>
            </w:pPr>
            <w:r>
              <w:rPr>
                <w:spacing w:val="-2"/>
                <w:sz w:val="20"/>
              </w:rPr>
              <w:t>93.92</w:t>
            </w:r>
          </w:p>
        </w:tc>
      </w:tr>
      <w:tr>
        <w:trPr>
          <w:trHeight w:val="472" w:hRule="atLeast"/>
        </w:trPr>
        <w:tc>
          <w:tcPr>
            <w:tcW w:w="2350" w:type="dxa"/>
          </w:tcPr>
          <w:p>
            <w:pPr>
              <w:pStyle w:val="TableParagraph"/>
              <w:ind w:left="11" w:right="5"/>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rPr>
                <w:sz w:val="20"/>
              </w:rPr>
            </w:pPr>
            <w:r>
              <w:rPr>
                <w:spacing w:val="-10"/>
                <w:sz w:val="20"/>
              </w:rPr>
              <w:t>7</w:t>
            </w:r>
          </w:p>
        </w:tc>
        <w:tc>
          <w:tcPr>
            <w:tcW w:w="2352" w:type="dxa"/>
          </w:tcPr>
          <w:p>
            <w:pPr>
              <w:pStyle w:val="TableParagraph"/>
              <w:ind w:right="3"/>
              <w:rPr>
                <w:sz w:val="20"/>
              </w:rPr>
            </w:pPr>
            <w:r>
              <w:rPr>
                <w:spacing w:val="-2"/>
                <w:sz w:val="20"/>
              </w:rPr>
              <w:t>337.86</w:t>
            </w:r>
          </w:p>
        </w:tc>
        <w:tc>
          <w:tcPr>
            <w:tcW w:w="2349" w:type="dxa"/>
          </w:tcPr>
          <w:p>
            <w:pPr>
              <w:pStyle w:val="TableParagraph"/>
              <w:ind w:left="14" w:right="2"/>
              <w:rPr>
                <w:sz w:val="20"/>
              </w:rPr>
            </w:pPr>
            <w:r>
              <w:rPr>
                <w:spacing w:val="-2"/>
                <w:sz w:val="20"/>
              </w:rPr>
              <w:t>89.24</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6"/>
                <w:sz w:val="20"/>
              </w:rPr>
              <w:t> </w:t>
            </w:r>
            <w:r>
              <w:rPr>
                <w:sz w:val="20"/>
              </w:rPr>
              <w:t>PC2</w:t>
            </w:r>
            <w:r>
              <w:rPr>
                <w:spacing w:val="-6"/>
                <w:sz w:val="20"/>
              </w:rPr>
              <w:t> </w:t>
            </w:r>
            <w:r>
              <w:rPr>
                <w:spacing w:val="-4"/>
                <w:sz w:val="20"/>
              </w:rPr>
              <w:t>axis</w:t>
            </w:r>
          </w:p>
        </w:tc>
      </w:tr>
      <w:tr>
        <w:trPr>
          <w:trHeight w:val="472"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w:t>
            </w:r>
            <w:r>
              <w:rPr>
                <w:spacing w:val="-2"/>
                <w:sz w:val="20"/>
              </w:rPr>
              <w:t> </w:t>
            </w:r>
            <w:r>
              <w:rPr>
                <w:spacing w:val="-5"/>
                <w:sz w:val="20"/>
              </w:rPr>
              <w:t>PC2</w:t>
            </w:r>
          </w:p>
        </w:tc>
        <w:tc>
          <w:tcPr>
            <w:tcW w:w="2352" w:type="dxa"/>
          </w:tcPr>
          <w:p>
            <w:pPr>
              <w:pStyle w:val="TableParagraph"/>
              <w:ind w:right="2"/>
              <w:rPr>
                <w:sz w:val="20"/>
              </w:rPr>
            </w:pPr>
            <w:r>
              <w:rPr>
                <w:spacing w:val="-5"/>
                <w:sz w:val="20"/>
              </w:rPr>
              <w:t>19</w:t>
            </w:r>
          </w:p>
        </w:tc>
        <w:tc>
          <w:tcPr>
            <w:tcW w:w="2352" w:type="dxa"/>
          </w:tcPr>
          <w:p>
            <w:pPr>
              <w:pStyle w:val="TableParagraph"/>
              <w:ind w:right="4"/>
              <w:rPr>
                <w:sz w:val="20"/>
              </w:rPr>
            </w:pPr>
            <w:r>
              <w:rPr>
                <w:spacing w:val="-2"/>
                <w:sz w:val="20"/>
              </w:rPr>
              <w:t>299.79</w:t>
            </w:r>
          </w:p>
        </w:tc>
        <w:tc>
          <w:tcPr>
            <w:tcW w:w="2349" w:type="dxa"/>
          </w:tcPr>
          <w:p>
            <w:pPr>
              <w:pStyle w:val="TableParagraph"/>
              <w:ind w:left="14"/>
              <w:rPr>
                <w:sz w:val="20"/>
              </w:rPr>
            </w:pPr>
            <w:r>
              <w:rPr>
                <w:spacing w:val="-2"/>
                <w:sz w:val="20"/>
              </w:rPr>
              <w:t>51.18</w:t>
            </w:r>
          </w:p>
        </w:tc>
      </w:tr>
      <w:tr>
        <w:trPr>
          <w:trHeight w:val="470"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PC2</w:t>
            </w:r>
          </w:p>
        </w:tc>
        <w:tc>
          <w:tcPr>
            <w:tcW w:w="2352" w:type="dxa"/>
          </w:tcPr>
          <w:p>
            <w:pPr>
              <w:pStyle w:val="TableParagraph"/>
              <w:rPr>
                <w:sz w:val="20"/>
              </w:rPr>
            </w:pPr>
            <w:r>
              <w:rPr>
                <w:spacing w:val="-5"/>
                <w:sz w:val="20"/>
              </w:rPr>
              <w:t>12</w:t>
            </w:r>
          </w:p>
        </w:tc>
        <w:tc>
          <w:tcPr>
            <w:tcW w:w="2352" w:type="dxa"/>
          </w:tcPr>
          <w:p>
            <w:pPr>
              <w:pStyle w:val="TableParagraph"/>
              <w:ind w:right="2"/>
              <w:rPr>
                <w:sz w:val="20"/>
              </w:rPr>
            </w:pPr>
            <w:r>
              <w:rPr>
                <w:spacing w:val="-2"/>
                <w:sz w:val="20"/>
              </w:rPr>
              <w:t>274.94</w:t>
            </w:r>
          </w:p>
        </w:tc>
        <w:tc>
          <w:tcPr>
            <w:tcW w:w="2349" w:type="dxa"/>
          </w:tcPr>
          <w:p>
            <w:pPr>
              <w:pStyle w:val="TableParagraph"/>
              <w:ind w:left="14" w:right="5"/>
              <w:rPr>
                <w:sz w:val="20"/>
              </w:rPr>
            </w:pPr>
            <w:r>
              <w:rPr>
                <w:spacing w:val="-2"/>
                <w:sz w:val="20"/>
              </w:rPr>
              <w:t>26.33</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PC2</w:t>
            </w:r>
            <w:r>
              <w:rPr>
                <w:spacing w:val="-3"/>
                <w:sz w:val="20"/>
              </w:rPr>
              <w:t> </w:t>
            </w:r>
            <w:r>
              <w:rPr>
                <w:sz w:val="20"/>
              </w:rPr>
              <w:t>+</w:t>
            </w:r>
            <w:r>
              <w:rPr>
                <w:spacing w:val="-2"/>
                <w:sz w:val="20"/>
              </w:rPr>
              <w:t> </w:t>
            </w:r>
            <w:r>
              <w:rPr>
                <w:sz w:val="20"/>
              </w:rPr>
              <w:t>Tree</w:t>
            </w:r>
            <w:r>
              <w:rPr>
                <w:spacing w:val="-3"/>
                <w:sz w:val="20"/>
              </w:rPr>
              <w:t> </w:t>
            </w:r>
            <w:r>
              <w:rPr>
                <w:spacing w:val="-4"/>
                <w:sz w:val="20"/>
              </w:rPr>
              <w:t>size</w:t>
            </w:r>
          </w:p>
        </w:tc>
        <w:tc>
          <w:tcPr>
            <w:tcW w:w="2352" w:type="dxa"/>
          </w:tcPr>
          <w:p>
            <w:pPr>
              <w:pStyle w:val="TableParagraph"/>
              <w:rPr>
                <w:sz w:val="20"/>
              </w:rPr>
            </w:pPr>
            <w:r>
              <w:rPr>
                <w:spacing w:val="-5"/>
                <w:sz w:val="20"/>
              </w:rPr>
              <w:t>12</w:t>
            </w:r>
          </w:p>
        </w:tc>
        <w:tc>
          <w:tcPr>
            <w:tcW w:w="2352" w:type="dxa"/>
          </w:tcPr>
          <w:p>
            <w:pPr>
              <w:pStyle w:val="TableParagraph"/>
              <w:ind w:right="6"/>
              <w:rPr>
                <w:sz w:val="20"/>
              </w:rPr>
            </w:pPr>
            <w:r>
              <w:rPr>
                <w:spacing w:val="-2"/>
                <w:sz w:val="20"/>
              </w:rPr>
              <w:t>272.98</w:t>
            </w:r>
          </w:p>
        </w:tc>
        <w:tc>
          <w:tcPr>
            <w:tcW w:w="2349" w:type="dxa"/>
          </w:tcPr>
          <w:p>
            <w:pPr>
              <w:pStyle w:val="TableParagraph"/>
              <w:ind w:left="14" w:right="2"/>
              <w:rPr>
                <w:sz w:val="20"/>
              </w:rPr>
            </w:pPr>
            <w:r>
              <w:rPr>
                <w:spacing w:val="-2"/>
                <w:sz w:val="20"/>
              </w:rPr>
              <w:t>24.37</w:t>
            </w:r>
          </w:p>
        </w:tc>
      </w:tr>
      <w:tr>
        <w:trPr>
          <w:trHeight w:val="472" w:hRule="atLeast"/>
        </w:trPr>
        <w:tc>
          <w:tcPr>
            <w:tcW w:w="2350" w:type="dxa"/>
          </w:tcPr>
          <w:p>
            <w:pPr>
              <w:pStyle w:val="TableParagraph"/>
              <w:spacing w:before="116"/>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PC2</w:t>
            </w:r>
          </w:p>
        </w:tc>
        <w:tc>
          <w:tcPr>
            <w:tcW w:w="2352" w:type="dxa"/>
          </w:tcPr>
          <w:p>
            <w:pPr>
              <w:pStyle w:val="TableParagraph"/>
              <w:spacing w:before="116"/>
              <w:ind w:right="2"/>
              <w:rPr>
                <w:sz w:val="20"/>
              </w:rPr>
            </w:pPr>
            <w:r>
              <w:rPr>
                <w:spacing w:val="-10"/>
                <w:sz w:val="20"/>
              </w:rPr>
              <w:t>9</w:t>
            </w:r>
          </w:p>
        </w:tc>
        <w:tc>
          <w:tcPr>
            <w:tcW w:w="2352" w:type="dxa"/>
          </w:tcPr>
          <w:p>
            <w:pPr>
              <w:pStyle w:val="TableParagraph"/>
              <w:spacing w:before="116"/>
              <w:ind w:right="1"/>
              <w:rPr>
                <w:sz w:val="20"/>
              </w:rPr>
            </w:pPr>
            <w:r>
              <w:rPr>
                <w:spacing w:val="-2"/>
                <w:sz w:val="20"/>
              </w:rPr>
              <w:t>256.88</w:t>
            </w:r>
          </w:p>
        </w:tc>
        <w:tc>
          <w:tcPr>
            <w:tcW w:w="2349" w:type="dxa"/>
          </w:tcPr>
          <w:p>
            <w:pPr>
              <w:pStyle w:val="TableParagraph"/>
              <w:spacing w:before="116"/>
              <w:ind w:left="14" w:right="3"/>
              <w:rPr>
                <w:sz w:val="20"/>
              </w:rPr>
            </w:pPr>
            <w:r>
              <w:rPr>
                <w:spacing w:val="-4"/>
                <w:sz w:val="20"/>
              </w:rPr>
              <w:t>8.26</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PC2</w:t>
            </w:r>
          </w:p>
        </w:tc>
        <w:tc>
          <w:tcPr>
            <w:tcW w:w="2352" w:type="dxa"/>
          </w:tcPr>
          <w:p>
            <w:pPr>
              <w:pStyle w:val="TableParagraph"/>
              <w:ind w:right="5"/>
              <w:rPr>
                <w:b/>
                <w:sz w:val="20"/>
              </w:rPr>
            </w:pPr>
            <w:r>
              <w:rPr>
                <w:b/>
                <w:spacing w:val="-10"/>
                <w:sz w:val="20"/>
              </w:rPr>
              <w:t>8</w:t>
            </w:r>
          </w:p>
        </w:tc>
        <w:tc>
          <w:tcPr>
            <w:tcW w:w="2352" w:type="dxa"/>
          </w:tcPr>
          <w:p>
            <w:pPr>
              <w:pStyle w:val="TableParagraph"/>
              <w:ind w:right="2"/>
              <w:rPr>
                <w:b/>
                <w:sz w:val="20"/>
              </w:rPr>
            </w:pPr>
            <w:r>
              <w:rPr>
                <w:b/>
                <w:spacing w:val="-2"/>
                <w:sz w:val="20"/>
              </w:rPr>
              <w:t>252.42</w:t>
            </w:r>
          </w:p>
        </w:tc>
        <w:tc>
          <w:tcPr>
            <w:tcW w:w="2349" w:type="dxa"/>
          </w:tcPr>
          <w:p>
            <w:pPr>
              <w:pStyle w:val="TableParagraph"/>
              <w:ind w:left="14" w:right="4"/>
              <w:rPr>
                <w:b/>
                <w:sz w:val="20"/>
              </w:rPr>
            </w:pPr>
            <w:r>
              <w:rPr>
                <w:b/>
                <w:spacing w:val="-4"/>
                <w:sz w:val="20"/>
              </w:rPr>
              <w:t>3.81</w:t>
            </w:r>
          </w:p>
        </w:tc>
      </w:tr>
      <w:tr>
        <w:trPr>
          <w:trHeight w:val="472" w:hRule="atLeast"/>
        </w:trPr>
        <w:tc>
          <w:tcPr>
            <w:tcW w:w="2350" w:type="dxa"/>
          </w:tcPr>
          <w:p>
            <w:pPr>
              <w:pStyle w:val="TableParagraph"/>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PC2</w:t>
            </w:r>
          </w:p>
        </w:tc>
        <w:tc>
          <w:tcPr>
            <w:tcW w:w="2352" w:type="dxa"/>
          </w:tcPr>
          <w:p>
            <w:pPr>
              <w:pStyle w:val="TableParagraph"/>
              <w:ind w:right="1"/>
              <w:rPr>
                <w:sz w:val="20"/>
              </w:rPr>
            </w:pPr>
            <w:r>
              <w:rPr>
                <w:spacing w:val="-5"/>
                <w:sz w:val="20"/>
              </w:rPr>
              <w:t>11</w:t>
            </w:r>
          </w:p>
        </w:tc>
        <w:tc>
          <w:tcPr>
            <w:tcW w:w="2352" w:type="dxa"/>
          </w:tcPr>
          <w:p>
            <w:pPr>
              <w:pStyle w:val="TableParagraph"/>
              <w:rPr>
                <w:sz w:val="20"/>
              </w:rPr>
            </w:pPr>
            <w:r>
              <w:rPr>
                <w:spacing w:val="-2"/>
                <w:sz w:val="20"/>
              </w:rPr>
              <w:t>357.04</w:t>
            </w:r>
          </w:p>
        </w:tc>
        <w:tc>
          <w:tcPr>
            <w:tcW w:w="2349" w:type="dxa"/>
          </w:tcPr>
          <w:p>
            <w:pPr>
              <w:pStyle w:val="TableParagraph"/>
              <w:ind w:left="14" w:right="3"/>
              <w:rPr>
                <w:sz w:val="20"/>
              </w:rPr>
            </w:pPr>
            <w:r>
              <w:rPr>
                <w:spacing w:val="-2"/>
                <w:sz w:val="20"/>
              </w:rPr>
              <w:t>108.43</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ind w:right="4"/>
              <w:rPr>
                <w:sz w:val="20"/>
              </w:rPr>
            </w:pPr>
            <w:r>
              <w:rPr>
                <w:spacing w:val="-10"/>
                <w:sz w:val="20"/>
              </w:rPr>
              <w:t>8</w:t>
            </w:r>
          </w:p>
        </w:tc>
        <w:tc>
          <w:tcPr>
            <w:tcW w:w="2352" w:type="dxa"/>
          </w:tcPr>
          <w:p>
            <w:pPr>
              <w:pStyle w:val="TableParagraph"/>
              <w:ind w:right="2"/>
              <w:rPr>
                <w:sz w:val="20"/>
              </w:rPr>
            </w:pPr>
            <w:r>
              <w:rPr>
                <w:spacing w:val="-2"/>
                <w:sz w:val="20"/>
              </w:rPr>
              <w:t>341.09</w:t>
            </w:r>
          </w:p>
        </w:tc>
        <w:tc>
          <w:tcPr>
            <w:tcW w:w="2349" w:type="dxa"/>
          </w:tcPr>
          <w:p>
            <w:pPr>
              <w:pStyle w:val="TableParagraph"/>
              <w:ind w:left="14" w:right="3"/>
              <w:rPr>
                <w:sz w:val="20"/>
              </w:rPr>
            </w:pPr>
            <w:r>
              <w:rPr>
                <w:spacing w:val="-2"/>
                <w:sz w:val="20"/>
              </w:rPr>
              <w:t>92.48</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rPr>
                <w:sz w:val="20"/>
              </w:rPr>
            </w:pPr>
            <w:r>
              <w:rPr>
                <w:spacing w:val="-10"/>
                <w:sz w:val="20"/>
              </w:rPr>
              <w:t>7</w:t>
            </w:r>
          </w:p>
        </w:tc>
        <w:tc>
          <w:tcPr>
            <w:tcW w:w="2352" w:type="dxa"/>
          </w:tcPr>
          <w:p>
            <w:pPr>
              <w:pStyle w:val="TableParagraph"/>
              <w:ind w:right="3"/>
              <w:rPr>
                <w:sz w:val="20"/>
              </w:rPr>
            </w:pPr>
            <w:r>
              <w:rPr>
                <w:spacing w:val="-2"/>
                <w:sz w:val="20"/>
              </w:rPr>
              <w:t>336.50</w:t>
            </w:r>
          </w:p>
        </w:tc>
        <w:tc>
          <w:tcPr>
            <w:tcW w:w="2349" w:type="dxa"/>
          </w:tcPr>
          <w:p>
            <w:pPr>
              <w:pStyle w:val="TableParagraph"/>
              <w:ind w:left="14" w:right="1"/>
              <w:rPr>
                <w:sz w:val="20"/>
              </w:rPr>
            </w:pPr>
            <w:r>
              <w:rPr>
                <w:spacing w:val="-2"/>
                <w:sz w:val="20"/>
              </w:rPr>
              <w:t>87.88</w:t>
            </w:r>
          </w:p>
        </w:tc>
      </w:tr>
      <w:tr>
        <w:trPr>
          <w:trHeight w:val="472" w:hRule="atLeast"/>
        </w:trPr>
        <w:tc>
          <w:tcPr>
            <w:tcW w:w="9403" w:type="dxa"/>
            <w:gridSpan w:val="4"/>
          </w:tcPr>
          <w:p>
            <w:pPr>
              <w:pStyle w:val="TableParagraph"/>
              <w:spacing w:before="116"/>
              <w:ind w:left="6"/>
              <w:rPr>
                <w:sz w:val="20"/>
              </w:rPr>
            </w:pPr>
            <w:r>
              <w:rPr>
                <w:sz w:val="20"/>
              </w:rPr>
              <w:t>Models</w:t>
            </w:r>
            <w:r>
              <w:rPr>
                <w:spacing w:val="-4"/>
                <w:sz w:val="20"/>
              </w:rPr>
              <w:t> </w:t>
            </w:r>
            <w:r>
              <w:rPr>
                <w:sz w:val="20"/>
              </w:rPr>
              <w:t>without</w:t>
            </w:r>
            <w:r>
              <w:rPr>
                <w:spacing w:val="-6"/>
                <w:sz w:val="20"/>
              </w:rPr>
              <w:t> </w:t>
            </w:r>
            <w:r>
              <w:rPr>
                <w:sz w:val="20"/>
              </w:rPr>
              <w:t>a</w:t>
            </w:r>
            <w:r>
              <w:rPr>
                <w:spacing w:val="-3"/>
                <w:sz w:val="20"/>
              </w:rPr>
              <w:t> </w:t>
            </w:r>
            <w:r>
              <w:rPr>
                <w:sz w:val="20"/>
              </w:rPr>
              <w:t>PC</w:t>
            </w:r>
            <w:r>
              <w:rPr>
                <w:spacing w:val="-5"/>
                <w:sz w:val="20"/>
              </w:rPr>
              <w:t> </w:t>
            </w:r>
            <w:r>
              <w:rPr>
                <w:spacing w:val="-4"/>
                <w:sz w:val="20"/>
              </w:rPr>
              <w:t>axis</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1"/>
                <w:sz w:val="20"/>
              </w:rPr>
              <w:t> </w:t>
            </w:r>
            <w:r>
              <w:rPr>
                <w:sz w:val="20"/>
              </w:rPr>
              <w:t>Tree</w:t>
            </w:r>
            <w:r>
              <w:rPr>
                <w:spacing w:val="-2"/>
                <w:sz w:val="20"/>
              </w:rPr>
              <w:t> </w:t>
            </w:r>
            <w:r>
              <w:rPr>
                <w:spacing w:val="-4"/>
                <w:sz w:val="20"/>
              </w:rPr>
              <w:t>size</w:t>
            </w:r>
          </w:p>
        </w:tc>
        <w:tc>
          <w:tcPr>
            <w:tcW w:w="2352" w:type="dxa"/>
          </w:tcPr>
          <w:p>
            <w:pPr>
              <w:pStyle w:val="TableParagraph"/>
              <w:ind w:right="1"/>
              <w:rPr>
                <w:sz w:val="20"/>
              </w:rPr>
            </w:pPr>
            <w:r>
              <w:rPr>
                <w:spacing w:val="-5"/>
                <w:sz w:val="20"/>
              </w:rPr>
              <w:t>11</w:t>
            </w:r>
          </w:p>
        </w:tc>
        <w:tc>
          <w:tcPr>
            <w:tcW w:w="2352" w:type="dxa"/>
          </w:tcPr>
          <w:p>
            <w:pPr>
              <w:pStyle w:val="TableParagraph"/>
              <w:ind w:right="2"/>
              <w:rPr>
                <w:sz w:val="20"/>
              </w:rPr>
            </w:pPr>
            <w:r>
              <w:rPr>
                <w:spacing w:val="-2"/>
                <w:sz w:val="20"/>
              </w:rPr>
              <w:t>269.02</w:t>
            </w:r>
          </w:p>
        </w:tc>
        <w:tc>
          <w:tcPr>
            <w:tcW w:w="2349" w:type="dxa"/>
          </w:tcPr>
          <w:p>
            <w:pPr>
              <w:pStyle w:val="TableParagraph"/>
              <w:ind w:left="14" w:right="2"/>
              <w:rPr>
                <w:sz w:val="20"/>
              </w:rPr>
            </w:pPr>
            <w:r>
              <w:rPr>
                <w:spacing w:val="-2"/>
                <w:sz w:val="20"/>
              </w:rPr>
              <w:t>20.40</w:t>
            </w:r>
          </w:p>
        </w:tc>
      </w:tr>
      <w:tr>
        <w:trPr>
          <w:trHeight w:val="472"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1"/>
                <w:sz w:val="20"/>
              </w:rPr>
              <w:t> </w:t>
            </w:r>
            <w:r>
              <w:rPr>
                <w:sz w:val="20"/>
              </w:rPr>
              <w:t>Tree</w:t>
            </w:r>
            <w:r>
              <w:rPr>
                <w:spacing w:val="-2"/>
                <w:sz w:val="20"/>
              </w:rPr>
              <w:t> </w:t>
            </w:r>
            <w:r>
              <w:rPr>
                <w:spacing w:val="-4"/>
                <w:sz w:val="20"/>
              </w:rPr>
              <w:t>size</w:t>
            </w:r>
          </w:p>
        </w:tc>
        <w:tc>
          <w:tcPr>
            <w:tcW w:w="2352" w:type="dxa"/>
          </w:tcPr>
          <w:p>
            <w:pPr>
              <w:pStyle w:val="TableParagraph"/>
              <w:ind w:right="4"/>
              <w:rPr>
                <w:sz w:val="20"/>
              </w:rPr>
            </w:pPr>
            <w:r>
              <w:rPr>
                <w:spacing w:val="-10"/>
                <w:sz w:val="20"/>
              </w:rPr>
              <w:t>8</w:t>
            </w:r>
          </w:p>
        </w:tc>
        <w:tc>
          <w:tcPr>
            <w:tcW w:w="2352" w:type="dxa"/>
          </w:tcPr>
          <w:p>
            <w:pPr>
              <w:pStyle w:val="TableParagraph"/>
              <w:rPr>
                <w:sz w:val="20"/>
              </w:rPr>
            </w:pPr>
            <w:r>
              <w:rPr>
                <w:spacing w:val="-2"/>
                <w:sz w:val="20"/>
              </w:rPr>
              <w:t>253.18</w:t>
            </w:r>
          </w:p>
        </w:tc>
        <w:tc>
          <w:tcPr>
            <w:tcW w:w="2349" w:type="dxa"/>
          </w:tcPr>
          <w:p>
            <w:pPr>
              <w:pStyle w:val="TableParagraph"/>
              <w:ind w:left="14" w:right="2"/>
              <w:rPr>
                <w:sz w:val="20"/>
              </w:rPr>
            </w:pPr>
            <w:r>
              <w:rPr>
                <w:spacing w:val="-4"/>
                <w:sz w:val="20"/>
              </w:rPr>
              <w:t>4.57</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pacing w:val="-4"/>
                <w:sz w:val="20"/>
              </w:rPr>
              <w:t>size</w:t>
            </w:r>
          </w:p>
        </w:tc>
        <w:tc>
          <w:tcPr>
            <w:tcW w:w="2352" w:type="dxa"/>
          </w:tcPr>
          <w:p>
            <w:pPr>
              <w:pStyle w:val="TableParagraph"/>
              <w:ind w:right="3"/>
              <w:rPr>
                <w:b/>
                <w:sz w:val="20"/>
              </w:rPr>
            </w:pPr>
            <w:r>
              <w:rPr>
                <w:b/>
                <w:spacing w:val="-10"/>
                <w:sz w:val="20"/>
              </w:rPr>
              <w:t>7</w:t>
            </w:r>
          </w:p>
        </w:tc>
        <w:tc>
          <w:tcPr>
            <w:tcW w:w="2352" w:type="dxa"/>
          </w:tcPr>
          <w:p>
            <w:pPr>
              <w:pStyle w:val="TableParagraph"/>
              <w:ind w:right="5"/>
              <w:rPr>
                <w:b/>
                <w:sz w:val="20"/>
              </w:rPr>
            </w:pPr>
            <w:r>
              <w:rPr>
                <w:b/>
                <w:spacing w:val="-2"/>
                <w:sz w:val="20"/>
              </w:rPr>
              <w:t>248.62</w:t>
            </w:r>
          </w:p>
        </w:tc>
        <w:tc>
          <w:tcPr>
            <w:tcW w:w="2349" w:type="dxa"/>
          </w:tcPr>
          <w:p>
            <w:pPr>
              <w:pStyle w:val="TableParagraph"/>
              <w:ind w:left="14"/>
              <w:rPr>
                <w:b/>
                <w:sz w:val="20"/>
              </w:rPr>
            </w:pPr>
            <w:r>
              <w:rPr>
                <w:b/>
                <w:spacing w:val="-4"/>
                <w:sz w:val="20"/>
              </w:rPr>
              <w:t>0.00</w:t>
            </w:r>
          </w:p>
        </w:tc>
      </w:tr>
      <w:tr>
        <w:trPr>
          <w:trHeight w:val="472" w:hRule="atLeast"/>
        </w:trPr>
        <w:tc>
          <w:tcPr>
            <w:tcW w:w="2350" w:type="dxa"/>
          </w:tcPr>
          <w:p>
            <w:pPr>
              <w:pStyle w:val="TableParagraph"/>
              <w:ind w:left="11" w:right="4"/>
              <w:rPr>
                <w:sz w:val="20"/>
              </w:rPr>
            </w:pPr>
            <w:r>
              <w:rPr>
                <w:sz w:val="20"/>
              </w:rPr>
              <w:t>N</w:t>
            </w:r>
            <w:r>
              <w:rPr>
                <w:spacing w:val="-3"/>
                <w:sz w:val="20"/>
              </w:rPr>
              <w:t> </w:t>
            </w:r>
            <w:r>
              <w:rPr>
                <w:sz w:val="20"/>
              </w:rPr>
              <w:t>x</w:t>
            </w:r>
            <w:r>
              <w:rPr>
                <w:spacing w:val="-1"/>
                <w:sz w:val="20"/>
              </w:rPr>
              <w:t> </w:t>
            </w:r>
            <w:r>
              <w:rPr>
                <w:spacing w:val="-10"/>
                <w:sz w:val="20"/>
              </w:rPr>
              <w:t>P</w:t>
            </w:r>
          </w:p>
        </w:tc>
        <w:tc>
          <w:tcPr>
            <w:tcW w:w="2352" w:type="dxa"/>
          </w:tcPr>
          <w:p>
            <w:pPr>
              <w:pStyle w:val="TableParagraph"/>
              <w:rPr>
                <w:sz w:val="20"/>
              </w:rPr>
            </w:pPr>
            <w:r>
              <w:rPr>
                <w:spacing w:val="-10"/>
                <w:sz w:val="20"/>
              </w:rPr>
              <w:t>7</w:t>
            </w:r>
          </w:p>
        </w:tc>
        <w:tc>
          <w:tcPr>
            <w:tcW w:w="2352" w:type="dxa"/>
          </w:tcPr>
          <w:p>
            <w:pPr>
              <w:pStyle w:val="TableParagraph"/>
              <w:ind w:right="5"/>
              <w:rPr>
                <w:sz w:val="20"/>
              </w:rPr>
            </w:pPr>
            <w:r>
              <w:rPr>
                <w:spacing w:val="-2"/>
                <w:sz w:val="20"/>
              </w:rPr>
              <w:t>336.32</w:t>
            </w:r>
          </w:p>
        </w:tc>
        <w:tc>
          <w:tcPr>
            <w:tcW w:w="2349" w:type="dxa"/>
          </w:tcPr>
          <w:p>
            <w:pPr>
              <w:pStyle w:val="TableParagraph"/>
              <w:ind w:left="14" w:right="4"/>
              <w:rPr>
                <w:sz w:val="20"/>
              </w:rPr>
            </w:pPr>
            <w:r>
              <w:rPr>
                <w:spacing w:val="-2"/>
                <w:sz w:val="20"/>
              </w:rPr>
              <w:t>87.71</w:t>
            </w:r>
          </w:p>
        </w:tc>
      </w:tr>
      <w:tr>
        <w:trPr>
          <w:trHeight w:val="470" w:hRule="atLeast"/>
        </w:trPr>
        <w:tc>
          <w:tcPr>
            <w:tcW w:w="2350" w:type="dxa"/>
          </w:tcPr>
          <w:p>
            <w:pPr>
              <w:pStyle w:val="TableParagraph"/>
              <w:ind w:left="11" w:right="4"/>
              <w:rPr>
                <w:sz w:val="20"/>
              </w:rPr>
            </w:pPr>
            <w:r>
              <w:rPr>
                <w:sz w:val="20"/>
              </w:rPr>
              <w:t>N</w:t>
            </w:r>
            <w:r>
              <w:rPr>
                <w:spacing w:val="-3"/>
                <w:sz w:val="20"/>
              </w:rPr>
              <w:t> </w:t>
            </w:r>
            <w:r>
              <w:rPr>
                <w:sz w:val="20"/>
              </w:rPr>
              <w:t>+</w:t>
            </w:r>
            <w:r>
              <w:rPr>
                <w:spacing w:val="-1"/>
                <w:sz w:val="20"/>
              </w:rPr>
              <w:t> </w:t>
            </w:r>
            <w:r>
              <w:rPr>
                <w:spacing w:val="-10"/>
                <w:sz w:val="20"/>
              </w:rPr>
              <w:t>P</w:t>
            </w:r>
          </w:p>
        </w:tc>
        <w:tc>
          <w:tcPr>
            <w:tcW w:w="2352" w:type="dxa"/>
          </w:tcPr>
          <w:p>
            <w:pPr>
              <w:pStyle w:val="TableParagraph"/>
              <w:ind w:right="3"/>
              <w:rPr>
                <w:sz w:val="20"/>
              </w:rPr>
            </w:pPr>
            <w:r>
              <w:rPr>
                <w:spacing w:val="-10"/>
                <w:sz w:val="20"/>
              </w:rPr>
              <w:t>6</w:t>
            </w:r>
          </w:p>
        </w:tc>
        <w:tc>
          <w:tcPr>
            <w:tcW w:w="2352" w:type="dxa"/>
          </w:tcPr>
          <w:p>
            <w:pPr>
              <w:pStyle w:val="TableParagraph"/>
              <w:ind w:right="1"/>
              <w:rPr>
                <w:sz w:val="20"/>
              </w:rPr>
            </w:pPr>
            <w:r>
              <w:rPr>
                <w:spacing w:val="-2"/>
                <w:sz w:val="20"/>
              </w:rPr>
              <w:t>331.65</w:t>
            </w:r>
          </w:p>
        </w:tc>
        <w:tc>
          <w:tcPr>
            <w:tcW w:w="2349" w:type="dxa"/>
          </w:tcPr>
          <w:p>
            <w:pPr>
              <w:pStyle w:val="TableParagraph"/>
              <w:ind w:left="14" w:right="2"/>
              <w:rPr>
                <w:sz w:val="20"/>
              </w:rPr>
            </w:pPr>
            <w:r>
              <w:rPr>
                <w:spacing w:val="-2"/>
                <w:sz w:val="20"/>
              </w:rPr>
              <w:t>83.04</w:t>
            </w:r>
          </w:p>
        </w:tc>
      </w:tr>
    </w:tbl>
    <w:p>
      <w:pPr>
        <w:pStyle w:val="TableParagraph"/>
        <w:spacing w:after="0"/>
        <w:rPr>
          <w:sz w:val="20"/>
        </w:rPr>
        <w:sectPr>
          <w:pgSz w:w="12240" w:h="15840"/>
          <w:pgMar w:header="0" w:footer="1012" w:top="1220" w:bottom="1200" w:left="850" w:right="850"/>
        </w:sectPr>
      </w:pPr>
    </w:p>
    <w:p>
      <w:pPr>
        <w:spacing w:line="240" w:lineRule="auto" w:before="37"/>
        <w:ind w:left="157" w:right="152" w:firstLine="0"/>
        <w:jc w:val="both"/>
        <w:rPr>
          <w:sz w:val="22"/>
        </w:rPr>
      </w:pPr>
      <w:r>
        <w:rPr>
          <w:color w:val="7E7E7E"/>
          <w:sz w:val="22"/>
        </w:rPr>
        <w:t>Tab. S3: Comparison of 21 Linear Mixed Models for the 2000m asl site predicting tree basal area change over at least 12 years as a function of nutrient addition treatment (N, P), initial basal area (Tree size), functional traits collapsed in two PCA axes (PC 1 and PC 2), species identity and block are included as random factors. Best model for each grouping is highlighted in bold.</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2"/>
        <w:gridCol w:w="2352"/>
        <w:gridCol w:w="2349"/>
      </w:tblGrid>
      <w:tr>
        <w:trPr>
          <w:trHeight w:val="472" w:hRule="atLeast"/>
        </w:trPr>
        <w:tc>
          <w:tcPr>
            <w:tcW w:w="2350" w:type="dxa"/>
          </w:tcPr>
          <w:p>
            <w:pPr>
              <w:pStyle w:val="TableParagraph"/>
              <w:spacing w:before="116"/>
              <w:ind w:left="11" w:right="5"/>
              <w:rPr>
                <w:sz w:val="20"/>
              </w:rPr>
            </w:pPr>
            <w:r>
              <w:rPr>
                <w:spacing w:val="-2"/>
                <w:sz w:val="20"/>
              </w:rPr>
              <w:t>Models</w:t>
            </w:r>
          </w:p>
        </w:tc>
        <w:tc>
          <w:tcPr>
            <w:tcW w:w="2352" w:type="dxa"/>
          </w:tcPr>
          <w:p>
            <w:pPr>
              <w:pStyle w:val="TableParagraph"/>
              <w:spacing w:before="116"/>
              <w:ind w:right="4"/>
              <w:rPr>
                <w:sz w:val="20"/>
              </w:rPr>
            </w:pPr>
            <w:r>
              <w:rPr>
                <w:spacing w:val="-5"/>
                <w:sz w:val="20"/>
              </w:rPr>
              <w:t>df</w:t>
            </w:r>
          </w:p>
        </w:tc>
        <w:tc>
          <w:tcPr>
            <w:tcW w:w="2352" w:type="dxa"/>
          </w:tcPr>
          <w:p>
            <w:pPr>
              <w:pStyle w:val="TableParagraph"/>
              <w:spacing w:before="116"/>
              <w:ind w:right="4"/>
              <w:rPr>
                <w:sz w:val="20"/>
              </w:rPr>
            </w:pPr>
            <w:r>
              <w:rPr>
                <w:spacing w:val="-5"/>
                <w:sz w:val="20"/>
              </w:rPr>
              <w:t>AIC</w:t>
            </w:r>
          </w:p>
        </w:tc>
        <w:tc>
          <w:tcPr>
            <w:tcW w:w="2349" w:type="dxa"/>
          </w:tcPr>
          <w:p>
            <w:pPr>
              <w:pStyle w:val="TableParagraph"/>
              <w:spacing w:before="116"/>
              <w:ind w:left="14" w:right="4"/>
              <w:rPr>
                <w:sz w:val="20"/>
              </w:rPr>
            </w:pPr>
            <w:r>
              <w:rPr>
                <w:spacing w:val="-4"/>
                <w:sz w:val="20"/>
              </w:rPr>
              <w:t>ΔAIC</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5"/>
                <w:sz w:val="20"/>
              </w:rPr>
              <w:t> </w:t>
            </w:r>
            <w:r>
              <w:rPr>
                <w:sz w:val="20"/>
              </w:rPr>
              <w:t>PC1</w:t>
            </w:r>
            <w:r>
              <w:rPr>
                <w:spacing w:val="-6"/>
                <w:sz w:val="20"/>
              </w:rPr>
              <w:t> </w:t>
            </w:r>
            <w:r>
              <w:rPr>
                <w:spacing w:val="-4"/>
                <w:sz w:val="20"/>
              </w:rPr>
              <w:t>axis</w:t>
            </w:r>
          </w:p>
        </w:tc>
      </w:tr>
      <w:tr>
        <w:trPr>
          <w:trHeight w:val="472" w:hRule="atLeast"/>
        </w:trPr>
        <w:tc>
          <w:tcPr>
            <w:tcW w:w="2350" w:type="dxa"/>
          </w:tcPr>
          <w:p>
            <w:pPr>
              <w:pStyle w:val="TableParagraph"/>
              <w:ind w:left="1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 </w:t>
            </w:r>
            <w:r>
              <w:rPr>
                <w:spacing w:val="-5"/>
                <w:sz w:val="20"/>
              </w:rPr>
              <w:t>PC1</w:t>
            </w:r>
          </w:p>
        </w:tc>
        <w:tc>
          <w:tcPr>
            <w:tcW w:w="2352" w:type="dxa"/>
          </w:tcPr>
          <w:p>
            <w:pPr>
              <w:pStyle w:val="TableParagraph"/>
              <w:ind w:right="6"/>
              <w:rPr>
                <w:sz w:val="20"/>
              </w:rPr>
            </w:pPr>
            <w:r>
              <w:rPr>
                <w:spacing w:val="-2"/>
                <w:sz w:val="20"/>
              </w:rPr>
              <w:t>19.00</w:t>
            </w:r>
          </w:p>
        </w:tc>
        <w:tc>
          <w:tcPr>
            <w:tcW w:w="2352" w:type="dxa"/>
          </w:tcPr>
          <w:p>
            <w:pPr>
              <w:pStyle w:val="TableParagraph"/>
              <w:ind w:right="2"/>
              <w:rPr>
                <w:sz w:val="20"/>
              </w:rPr>
            </w:pPr>
            <w:r>
              <w:rPr>
                <w:spacing w:val="-2"/>
                <w:sz w:val="20"/>
              </w:rPr>
              <w:t>872.62</w:t>
            </w:r>
          </w:p>
        </w:tc>
        <w:tc>
          <w:tcPr>
            <w:tcW w:w="2349" w:type="dxa"/>
          </w:tcPr>
          <w:p>
            <w:pPr>
              <w:pStyle w:val="TableParagraph"/>
              <w:ind w:left="14"/>
              <w:rPr>
                <w:sz w:val="20"/>
              </w:rPr>
            </w:pPr>
            <w:r>
              <w:rPr>
                <w:spacing w:val="-2"/>
                <w:sz w:val="20"/>
              </w:rPr>
              <w:t>48.66</w:t>
            </w:r>
          </w:p>
        </w:tc>
      </w:tr>
      <w:tr>
        <w:trPr>
          <w:trHeight w:val="470" w:hRule="atLeast"/>
        </w:trPr>
        <w:tc>
          <w:tcPr>
            <w:tcW w:w="2350" w:type="dxa"/>
          </w:tcPr>
          <w:p>
            <w:pPr>
              <w:pStyle w:val="TableParagraph"/>
              <w:ind w:left="11" w:right="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PC1</w:t>
            </w:r>
          </w:p>
        </w:tc>
        <w:tc>
          <w:tcPr>
            <w:tcW w:w="2352" w:type="dxa"/>
          </w:tcPr>
          <w:p>
            <w:pPr>
              <w:pStyle w:val="TableParagraph"/>
              <w:ind w:right="4"/>
              <w:rPr>
                <w:sz w:val="20"/>
              </w:rPr>
            </w:pPr>
            <w:r>
              <w:rPr>
                <w:spacing w:val="-2"/>
                <w:sz w:val="20"/>
              </w:rPr>
              <w:t>12.00</w:t>
            </w:r>
          </w:p>
        </w:tc>
        <w:tc>
          <w:tcPr>
            <w:tcW w:w="2352" w:type="dxa"/>
          </w:tcPr>
          <w:p>
            <w:pPr>
              <w:pStyle w:val="TableParagraph"/>
              <w:ind w:right="4"/>
              <w:rPr>
                <w:sz w:val="20"/>
              </w:rPr>
            </w:pPr>
            <w:r>
              <w:rPr>
                <w:spacing w:val="-2"/>
                <w:sz w:val="20"/>
              </w:rPr>
              <w:t>847.09</w:t>
            </w:r>
          </w:p>
        </w:tc>
        <w:tc>
          <w:tcPr>
            <w:tcW w:w="2349" w:type="dxa"/>
          </w:tcPr>
          <w:p>
            <w:pPr>
              <w:pStyle w:val="TableParagraph"/>
              <w:ind w:left="14" w:right="2"/>
              <w:rPr>
                <w:sz w:val="20"/>
              </w:rPr>
            </w:pPr>
            <w:r>
              <w:rPr>
                <w:spacing w:val="-2"/>
                <w:sz w:val="20"/>
              </w:rPr>
              <w:t>23.13</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PC1</w:t>
            </w:r>
            <w:r>
              <w:rPr>
                <w:spacing w:val="-3"/>
                <w:sz w:val="20"/>
              </w:rPr>
              <w:t> </w:t>
            </w:r>
            <w:r>
              <w:rPr>
                <w:sz w:val="20"/>
              </w:rPr>
              <w:t>+</w:t>
            </w:r>
            <w:r>
              <w:rPr>
                <w:spacing w:val="-2"/>
                <w:sz w:val="20"/>
              </w:rPr>
              <w:t> </w:t>
            </w:r>
            <w:r>
              <w:rPr>
                <w:sz w:val="20"/>
              </w:rPr>
              <w:t>Tree</w:t>
            </w:r>
            <w:r>
              <w:rPr>
                <w:spacing w:val="-2"/>
                <w:sz w:val="20"/>
              </w:rPr>
              <w:t> </w:t>
            </w:r>
            <w:r>
              <w:rPr>
                <w:spacing w:val="-4"/>
                <w:sz w:val="20"/>
              </w:rPr>
              <w:t>size</w:t>
            </w:r>
          </w:p>
        </w:tc>
        <w:tc>
          <w:tcPr>
            <w:tcW w:w="2352" w:type="dxa"/>
          </w:tcPr>
          <w:p>
            <w:pPr>
              <w:pStyle w:val="TableParagraph"/>
              <w:ind w:right="4"/>
              <w:rPr>
                <w:sz w:val="20"/>
              </w:rPr>
            </w:pPr>
            <w:r>
              <w:rPr>
                <w:spacing w:val="-2"/>
                <w:sz w:val="20"/>
              </w:rPr>
              <w:t>12.00</w:t>
            </w:r>
          </w:p>
        </w:tc>
        <w:tc>
          <w:tcPr>
            <w:tcW w:w="2352" w:type="dxa"/>
          </w:tcPr>
          <w:p>
            <w:pPr>
              <w:pStyle w:val="TableParagraph"/>
              <w:ind w:right="1"/>
              <w:rPr>
                <w:sz w:val="20"/>
              </w:rPr>
            </w:pPr>
            <w:r>
              <w:rPr>
                <w:spacing w:val="-2"/>
                <w:sz w:val="20"/>
              </w:rPr>
              <w:t>846.65</w:t>
            </w:r>
          </w:p>
        </w:tc>
        <w:tc>
          <w:tcPr>
            <w:tcW w:w="2349" w:type="dxa"/>
          </w:tcPr>
          <w:p>
            <w:pPr>
              <w:pStyle w:val="TableParagraph"/>
              <w:ind w:left="14" w:right="4"/>
              <w:rPr>
                <w:sz w:val="20"/>
              </w:rPr>
            </w:pPr>
            <w:r>
              <w:rPr>
                <w:spacing w:val="-2"/>
                <w:sz w:val="20"/>
              </w:rPr>
              <w:t>22.69</w:t>
            </w:r>
          </w:p>
        </w:tc>
      </w:tr>
      <w:tr>
        <w:trPr>
          <w:trHeight w:val="473" w:hRule="atLeast"/>
        </w:trPr>
        <w:tc>
          <w:tcPr>
            <w:tcW w:w="2350" w:type="dxa"/>
          </w:tcPr>
          <w:p>
            <w:pPr>
              <w:pStyle w:val="TableParagraph"/>
              <w:spacing w:before="116"/>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PC1</w:t>
            </w:r>
          </w:p>
        </w:tc>
        <w:tc>
          <w:tcPr>
            <w:tcW w:w="2352" w:type="dxa"/>
          </w:tcPr>
          <w:p>
            <w:pPr>
              <w:pStyle w:val="TableParagraph"/>
              <w:spacing w:before="116"/>
              <w:ind w:right="6"/>
              <w:rPr>
                <w:sz w:val="20"/>
              </w:rPr>
            </w:pPr>
            <w:r>
              <w:rPr>
                <w:spacing w:val="-4"/>
                <w:sz w:val="20"/>
              </w:rPr>
              <w:t>9.00</w:t>
            </w:r>
          </w:p>
        </w:tc>
        <w:tc>
          <w:tcPr>
            <w:tcW w:w="2352" w:type="dxa"/>
          </w:tcPr>
          <w:p>
            <w:pPr>
              <w:pStyle w:val="TableParagraph"/>
              <w:spacing w:before="116"/>
              <w:ind w:right="3"/>
              <w:rPr>
                <w:sz w:val="20"/>
              </w:rPr>
            </w:pPr>
            <w:r>
              <w:rPr>
                <w:spacing w:val="-2"/>
                <w:sz w:val="20"/>
              </w:rPr>
              <w:t>833.61</w:t>
            </w:r>
          </w:p>
        </w:tc>
        <w:tc>
          <w:tcPr>
            <w:tcW w:w="2349" w:type="dxa"/>
          </w:tcPr>
          <w:p>
            <w:pPr>
              <w:pStyle w:val="TableParagraph"/>
              <w:spacing w:before="116"/>
              <w:ind w:left="14" w:right="3"/>
              <w:rPr>
                <w:sz w:val="20"/>
              </w:rPr>
            </w:pPr>
            <w:r>
              <w:rPr>
                <w:spacing w:val="-4"/>
                <w:sz w:val="20"/>
              </w:rPr>
              <w:t>9.65</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PC1</w:t>
            </w:r>
          </w:p>
        </w:tc>
        <w:tc>
          <w:tcPr>
            <w:tcW w:w="2352" w:type="dxa"/>
          </w:tcPr>
          <w:p>
            <w:pPr>
              <w:pStyle w:val="TableParagraph"/>
              <w:ind w:right="6"/>
              <w:rPr>
                <w:b/>
                <w:sz w:val="20"/>
              </w:rPr>
            </w:pPr>
            <w:r>
              <w:rPr>
                <w:b/>
                <w:spacing w:val="-4"/>
                <w:sz w:val="20"/>
              </w:rPr>
              <w:t>8.00</w:t>
            </w:r>
          </w:p>
        </w:tc>
        <w:tc>
          <w:tcPr>
            <w:tcW w:w="2352" w:type="dxa"/>
          </w:tcPr>
          <w:p>
            <w:pPr>
              <w:pStyle w:val="TableParagraph"/>
              <w:ind w:right="5"/>
              <w:rPr>
                <w:b/>
                <w:sz w:val="20"/>
              </w:rPr>
            </w:pPr>
            <w:r>
              <w:rPr>
                <w:b/>
                <w:spacing w:val="-2"/>
                <w:sz w:val="20"/>
              </w:rPr>
              <w:t>830.32</w:t>
            </w:r>
          </w:p>
        </w:tc>
        <w:tc>
          <w:tcPr>
            <w:tcW w:w="2349" w:type="dxa"/>
          </w:tcPr>
          <w:p>
            <w:pPr>
              <w:pStyle w:val="TableParagraph"/>
              <w:ind w:left="14" w:right="2"/>
              <w:rPr>
                <w:b/>
                <w:sz w:val="20"/>
              </w:rPr>
            </w:pPr>
            <w:r>
              <w:rPr>
                <w:b/>
                <w:spacing w:val="-4"/>
                <w:sz w:val="20"/>
              </w:rPr>
              <w:t>6.36</w:t>
            </w:r>
          </w:p>
        </w:tc>
      </w:tr>
      <w:tr>
        <w:trPr>
          <w:trHeight w:val="472" w:hRule="atLeast"/>
        </w:trPr>
        <w:tc>
          <w:tcPr>
            <w:tcW w:w="2350" w:type="dxa"/>
          </w:tcPr>
          <w:p>
            <w:pPr>
              <w:pStyle w:val="TableParagraph"/>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PC1</w:t>
            </w:r>
          </w:p>
        </w:tc>
        <w:tc>
          <w:tcPr>
            <w:tcW w:w="2352" w:type="dxa"/>
          </w:tcPr>
          <w:p>
            <w:pPr>
              <w:pStyle w:val="TableParagraph"/>
              <w:ind w:right="4"/>
              <w:rPr>
                <w:sz w:val="20"/>
              </w:rPr>
            </w:pPr>
            <w:r>
              <w:rPr>
                <w:spacing w:val="-2"/>
                <w:sz w:val="20"/>
              </w:rPr>
              <w:t>11.00</w:t>
            </w:r>
          </w:p>
        </w:tc>
        <w:tc>
          <w:tcPr>
            <w:tcW w:w="2352" w:type="dxa"/>
          </w:tcPr>
          <w:p>
            <w:pPr>
              <w:pStyle w:val="TableParagraph"/>
              <w:ind w:right="3"/>
              <w:rPr>
                <w:sz w:val="20"/>
              </w:rPr>
            </w:pPr>
            <w:r>
              <w:rPr>
                <w:spacing w:val="-2"/>
                <w:sz w:val="20"/>
              </w:rPr>
              <w:t>868.81</w:t>
            </w:r>
          </w:p>
        </w:tc>
        <w:tc>
          <w:tcPr>
            <w:tcW w:w="2349" w:type="dxa"/>
          </w:tcPr>
          <w:p>
            <w:pPr>
              <w:pStyle w:val="TableParagraph"/>
              <w:ind w:left="14" w:right="1"/>
              <w:rPr>
                <w:sz w:val="20"/>
              </w:rPr>
            </w:pPr>
            <w:r>
              <w:rPr>
                <w:spacing w:val="-2"/>
                <w:sz w:val="20"/>
              </w:rPr>
              <w:t>44.85</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ind w:right="2"/>
              <w:rPr>
                <w:sz w:val="20"/>
              </w:rPr>
            </w:pPr>
            <w:r>
              <w:rPr>
                <w:spacing w:val="-4"/>
                <w:sz w:val="20"/>
              </w:rPr>
              <w:t>8.00</w:t>
            </w:r>
          </w:p>
        </w:tc>
        <w:tc>
          <w:tcPr>
            <w:tcW w:w="2352" w:type="dxa"/>
          </w:tcPr>
          <w:p>
            <w:pPr>
              <w:pStyle w:val="TableParagraph"/>
              <w:rPr>
                <w:sz w:val="20"/>
              </w:rPr>
            </w:pPr>
            <w:r>
              <w:rPr>
                <w:spacing w:val="-2"/>
                <w:sz w:val="20"/>
              </w:rPr>
              <w:t>857.09</w:t>
            </w:r>
          </w:p>
        </w:tc>
        <w:tc>
          <w:tcPr>
            <w:tcW w:w="2349" w:type="dxa"/>
          </w:tcPr>
          <w:p>
            <w:pPr>
              <w:pStyle w:val="TableParagraph"/>
              <w:ind w:left="14" w:right="2"/>
              <w:rPr>
                <w:sz w:val="20"/>
              </w:rPr>
            </w:pPr>
            <w:r>
              <w:rPr>
                <w:spacing w:val="-2"/>
                <w:sz w:val="20"/>
              </w:rPr>
              <w:t>33.13</w:t>
            </w:r>
          </w:p>
        </w:tc>
      </w:tr>
      <w:tr>
        <w:trPr>
          <w:trHeight w:val="472" w:hRule="atLeast"/>
        </w:trPr>
        <w:tc>
          <w:tcPr>
            <w:tcW w:w="2350" w:type="dxa"/>
          </w:tcPr>
          <w:p>
            <w:pPr>
              <w:pStyle w:val="TableParagraph"/>
              <w:ind w:left="11" w:right="5"/>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ind w:right="4"/>
              <w:rPr>
                <w:sz w:val="20"/>
              </w:rPr>
            </w:pPr>
            <w:r>
              <w:rPr>
                <w:spacing w:val="-4"/>
                <w:sz w:val="20"/>
              </w:rPr>
              <w:t>7.00</w:t>
            </w:r>
          </w:p>
        </w:tc>
        <w:tc>
          <w:tcPr>
            <w:tcW w:w="2352" w:type="dxa"/>
          </w:tcPr>
          <w:p>
            <w:pPr>
              <w:pStyle w:val="TableParagraph"/>
              <w:ind w:right="2"/>
              <w:rPr>
                <w:sz w:val="20"/>
              </w:rPr>
            </w:pPr>
            <w:r>
              <w:rPr>
                <w:spacing w:val="-2"/>
                <w:sz w:val="20"/>
              </w:rPr>
              <w:t>853.45</w:t>
            </w:r>
          </w:p>
        </w:tc>
        <w:tc>
          <w:tcPr>
            <w:tcW w:w="2349" w:type="dxa"/>
          </w:tcPr>
          <w:p>
            <w:pPr>
              <w:pStyle w:val="TableParagraph"/>
              <w:ind w:left="14" w:right="4"/>
              <w:rPr>
                <w:sz w:val="20"/>
              </w:rPr>
            </w:pPr>
            <w:r>
              <w:rPr>
                <w:spacing w:val="-2"/>
                <w:sz w:val="20"/>
              </w:rPr>
              <w:t>29.49</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6"/>
                <w:sz w:val="20"/>
              </w:rPr>
              <w:t> </w:t>
            </w:r>
            <w:r>
              <w:rPr>
                <w:sz w:val="20"/>
              </w:rPr>
              <w:t>PC2</w:t>
            </w:r>
            <w:r>
              <w:rPr>
                <w:spacing w:val="-6"/>
                <w:sz w:val="20"/>
              </w:rPr>
              <w:t> </w:t>
            </w:r>
            <w:r>
              <w:rPr>
                <w:spacing w:val="-4"/>
                <w:sz w:val="20"/>
              </w:rPr>
              <w:t>axis</w:t>
            </w:r>
          </w:p>
        </w:tc>
      </w:tr>
      <w:tr>
        <w:trPr>
          <w:trHeight w:val="470"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w:t>
            </w:r>
            <w:r>
              <w:rPr>
                <w:spacing w:val="-2"/>
                <w:sz w:val="20"/>
              </w:rPr>
              <w:t> </w:t>
            </w:r>
            <w:r>
              <w:rPr>
                <w:spacing w:val="-5"/>
                <w:sz w:val="20"/>
              </w:rPr>
              <w:t>PC2</w:t>
            </w:r>
          </w:p>
        </w:tc>
        <w:tc>
          <w:tcPr>
            <w:tcW w:w="2352" w:type="dxa"/>
          </w:tcPr>
          <w:p>
            <w:pPr>
              <w:pStyle w:val="TableParagraph"/>
              <w:ind w:right="6"/>
              <w:rPr>
                <w:sz w:val="20"/>
              </w:rPr>
            </w:pPr>
            <w:r>
              <w:rPr>
                <w:spacing w:val="-2"/>
                <w:sz w:val="20"/>
              </w:rPr>
              <w:t>19.00</w:t>
            </w:r>
          </w:p>
        </w:tc>
        <w:tc>
          <w:tcPr>
            <w:tcW w:w="2352" w:type="dxa"/>
          </w:tcPr>
          <w:p>
            <w:pPr>
              <w:pStyle w:val="TableParagraph"/>
              <w:ind w:right="5"/>
              <w:rPr>
                <w:sz w:val="20"/>
              </w:rPr>
            </w:pPr>
            <w:r>
              <w:rPr>
                <w:spacing w:val="-2"/>
                <w:sz w:val="20"/>
              </w:rPr>
              <w:t>871.34</w:t>
            </w:r>
          </w:p>
        </w:tc>
        <w:tc>
          <w:tcPr>
            <w:tcW w:w="2349" w:type="dxa"/>
          </w:tcPr>
          <w:p>
            <w:pPr>
              <w:pStyle w:val="TableParagraph"/>
              <w:ind w:left="14" w:right="6"/>
              <w:rPr>
                <w:sz w:val="20"/>
              </w:rPr>
            </w:pPr>
            <w:r>
              <w:rPr>
                <w:spacing w:val="-2"/>
                <w:sz w:val="20"/>
              </w:rPr>
              <w:t>47.38</w:t>
            </w:r>
          </w:p>
        </w:tc>
      </w:tr>
      <w:tr>
        <w:trPr>
          <w:trHeight w:val="472" w:hRule="atLeast"/>
        </w:trPr>
        <w:tc>
          <w:tcPr>
            <w:tcW w:w="2350" w:type="dxa"/>
          </w:tcPr>
          <w:p>
            <w:pPr>
              <w:pStyle w:val="TableParagraph"/>
              <w:spacing w:before="116"/>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PC2</w:t>
            </w:r>
          </w:p>
        </w:tc>
        <w:tc>
          <w:tcPr>
            <w:tcW w:w="2352" w:type="dxa"/>
          </w:tcPr>
          <w:p>
            <w:pPr>
              <w:pStyle w:val="TableParagraph"/>
              <w:spacing w:before="116"/>
              <w:ind w:right="4"/>
              <w:rPr>
                <w:sz w:val="20"/>
              </w:rPr>
            </w:pPr>
            <w:r>
              <w:rPr>
                <w:spacing w:val="-2"/>
                <w:sz w:val="20"/>
              </w:rPr>
              <w:t>12.00</w:t>
            </w:r>
          </w:p>
        </w:tc>
        <w:tc>
          <w:tcPr>
            <w:tcW w:w="2352" w:type="dxa"/>
          </w:tcPr>
          <w:p>
            <w:pPr>
              <w:pStyle w:val="TableParagraph"/>
              <w:spacing w:before="116"/>
              <w:ind w:right="2"/>
              <w:rPr>
                <w:sz w:val="20"/>
              </w:rPr>
            </w:pPr>
            <w:r>
              <w:rPr>
                <w:spacing w:val="-2"/>
                <w:sz w:val="20"/>
              </w:rPr>
              <w:t>840.44</w:t>
            </w:r>
          </w:p>
        </w:tc>
        <w:tc>
          <w:tcPr>
            <w:tcW w:w="2349" w:type="dxa"/>
          </w:tcPr>
          <w:p>
            <w:pPr>
              <w:pStyle w:val="TableParagraph"/>
              <w:spacing w:before="116"/>
              <w:ind w:left="14" w:right="2"/>
              <w:rPr>
                <w:sz w:val="20"/>
              </w:rPr>
            </w:pPr>
            <w:r>
              <w:rPr>
                <w:spacing w:val="-2"/>
                <w:sz w:val="20"/>
              </w:rPr>
              <w:t>16.48</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PC2</w:t>
            </w:r>
            <w:r>
              <w:rPr>
                <w:spacing w:val="-3"/>
                <w:sz w:val="20"/>
              </w:rPr>
              <w:t> </w:t>
            </w:r>
            <w:r>
              <w:rPr>
                <w:sz w:val="20"/>
              </w:rPr>
              <w:t>+</w:t>
            </w:r>
            <w:r>
              <w:rPr>
                <w:spacing w:val="-2"/>
                <w:sz w:val="20"/>
              </w:rPr>
              <w:t> </w:t>
            </w:r>
            <w:r>
              <w:rPr>
                <w:sz w:val="20"/>
              </w:rPr>
              <w:t>Tree</w:t>
            </w:r>
            <w:r>
              <w:rPr>
                <w:spacing w:val="-3"/>
                <w:sz w:val="20"/>
              </w:rPr>
              <w:t> </w:t>
            </w:r>
            <w:r>
              <w:rPr>
                <w:spacing w:val="-4"/>
                <w:sz w:val="20"/>
              </w:rPr>
              <w:t>size</w:t>
            </w:r>
          </w:p>
        </w:tc>
        <w:tc>
          <w:tcPr>
            <w:tcW w:w="2352" w:type="dxa"/>
          </w:tcPr>
          <w:p>
            <w:pPr>
              <w:pStyle w:val="TableParagraph"/>
              <w:ind w:right="4"/>
              <w:rPr>
                <w:sz w:val="20"/>
              </w:rPr>
            </w:pPr>
            <w:r>
              <w:rPr>
                <w:spacing w:val="-2"/>
                <w:sz w:val="20"/>
              </w:rPr>
              <w:t>12.00</w:t>
            </w:r>
          </w:p>
        </w:tc>
        <w:tc>
          <w:tcPr>
            <w:tcW w:w="2352" w:type="dxa"/>
          </w:tcPr>
          <w:p>
            <w:pPr>
              <w:pStyle w:val="TableParagraph"/>
              <w:ind w:right="2"/>
              <w:rPr>
                <w:sz w:val="20"/>
              </w:rPr>
            </w:pPr>
            <w:r>
              <w:rPr>
                <w:spacing w:val="-2"/>
                <w:sz w:val="20"/>
              </w:rPr>
              <w:t>840.21</w:t>
            </w:r>
          </w:p>
        </w:tc>
        <w:tc>
          <w:tcPr>
            <w:tcW w:w="2349" w:type="dxa"/>
          </w:tcPr>
          <w:p>
            <w:pPr>
              <w:pStyle w:val="TableParagraph"/>
              <w:ind w:left="14" w:right="1"/>
              <w:rPr>
                <w:sz w:val="20"/>
              </w:rPr>
            </w:pPr>
            <w:r>
              <w:rPr>
                <w:spacing w:val="-2"/>
                <w:sz w:val="20"/>
              </w:rPr>
              <w:t>16.25</w:t>
            </w:r>
          </w:p>
        </w:tc>
      </w:tr>
      <w:tr>
        <w:trPr>
          <w:trHeight w:val="472"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PC2</w:t>
            </w:r>
          </w:p>
        </w:tc>
        <w:tc>
          <w:tcPr>
            <w:tcW w:w="2352" w:type="dxa"/>
          </w:tcPr>
          <w:p>
            <w:pPr>
              <w:pStyle w:val="TableParagraph"/>
              <w:ind w:right="6"/>
              <w:rPr>
                <w:sz w:val="20"/>
              </w:rPr>
            </w:pPr>
            <w:r>
              <w:rPr>
                <w:spacing w:val="-4"/>
                <w:sz w:val="20"/>
              </w:rPr>
              <w:t>9.00</w:t>
            </w:r>
          </w:p>
        </w:tc>
        <w:tc>
          <w:tcPr>
            <w:tcW w:w="2352" w:type="dxa"/>
          </w:tcPr>
          <w:p>
            <w:pPr>
              <w:pStyle w:val="TableParagraph"/>
              <w:ind w:right="5"/>
              <w:rPr>
                <w:sz w:val="20"/>
              </w:rPr>
            </w:pPr>
            <w:r>
              <w:rPr>
                <w:spacing w:val="-2"/>
                <w:sz w:val="20"/>
              </w:rPr>
              <w:t>827.54</w:t>
            </w:r>
          </w:p>
        </w:tc>
        <w:tc>
          <w:tcPr>
            <w:tcW w:w="2349" w:type="dxa"/>
          </w:tcPr>
          <w:p>
            <w:pPr>
              <w:pStyle w:val="TableParagraph"/>
              <w:ind w:left="14" w:right="1"/>
              <w:rPr>
                <w:sz w:val="20"/>
              </w:rPr>
            </w:pPr>
            <w:r>
              <w:rPr>
                <w:spacing w:val="-4"/>
                <w:sz w:val="20"/>
              </w:rPr>
              <w:t>3.58</w:t>
            </w:r>
          </w:p>
        </w:tc>
      </w:tr>
      <w:tr>
        <w:trPr>
          <w:trHeight w:val="470" w:hRule="atLeast"/>
        </w:trPr>
        <w:tc>
          <w:tcPr>
            <w:tcW w:w="2350" w:type="dxa"/>
          </w:tcPr>
          <w:p>
            <w:pPr>
              <w:pStyle w:val="TableParagraph"/>
              <w:ind w:left="11" w:right="3"/>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1"/>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PC2</w:t>
            </w:r>
          </w:p>
        </w:tc>
        <w:tc>
          <w:tcPr>
            <w:tcW w:w="2352" w:type="dxa"/>
          </w:tcPr>
          <w:p>
            <w:pPr>
              <w:pStyle w:val="TableParagraph"/>
              <w:ind w:right="6"/>
              <w:rPr>
                <w:b/>
                <w:sz w:val="20"/>
              </w:rPr>
            </w:pPr>
            <w:r>
              <w:rPr>
                <w:b/>
                <w:spacing w:val="-4"/>
                <w:sz w:val="20"/>
              </w:rPr>
              <w:t>8.00</w:t>
            </w:r>
          </w:p>
        </w:tc>
        <w:tc>
          <w:tcPr>
            <w:tcW w:w="2352" w:type="dxa"/>
          </w:tcPr>
          <w:p>
            <w:pPr>
              <w:pStyle w:val="TableParagraph"/>
              <w:ind w:right="4"/>
              <w:rPr>
                <w:b/>
                <w:sz w:val="20"/>
              </w:rPr>
            </w:pPr>
            <w:r>
              <w:rPr>
                <w:b/>
                <w:spacing w:val="-2"/>
                <w:sz w:val="20"/>
              </w:rPr>
              <w:t>823.96</w:t>
            </w:r>
          </w:p>
        </w:tc>
        <w:tc>
          <w:tcPr>
            <w:tcW w:w="2349" w:type="dxa"/>
          </w:tcPr>
          <w:p>
            <w:pPr>
              <w:pStyle w:val="TableParagraph"/>
              <w:ind w:left="14"/>
              <w:rPr>
                <w:b/>
                <w:sz w:val="20"/>
              </w:rPr>
            </w:pPr>
            <w:r>
              <w:rPr>
                <w:b/>
                <w:spacing w:val="-4"/>
                <w:sz w:val="20"/>
              </w:rPr>
              <w:t>0.00</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PC2</w:t>
            </w:r>
          </w:p>
        </w:tc>
        <w:tc>
          <w:tcPr>
            <w:tcW w:w="2352" w:type="dxa"/>
          </w:tcPr>
          <w:p>
            <w:pPr>
              <w:pStyle w:val="TableParagraph"/>
              <w:ind w:right="4"/>
              <w:rPr>
                <w:sz w:val="20"/>
              </w:rPr>
            </w:pPr>
            <w:r>
              <w:rPr>
                <w:spacing w:val="-2"/>
                <w:sz w:val="20"/>
              </w:rPr>
              <w:t>11.00</w:t>
            </w:r>
          </w:p>
        </w:tc>
        <w:tc>
          <w:tcPr>
            <w:tcW w:w="2352" w:type="dxa"/>
          </w:tcPr>
          <w:p>
            <w:pPr>
              <w:pStyle w:val="TableParagraph"/>
              <w:ind w:right="2"/>
              <w:rPr>
                <w:sz w:val="20"/>
              </w:rPr>
            </w:pPr>
            <w:r>
              <w:rPr>
                <w:spacing w:val="-2"/>
                <w:sz w:val="20"/>
              </w:rPr>
              <w:t>860.88</w:t>
            </w:r>
          </w:p>
        </w:tc>
        <w:tc>
          <w:tcPr>
            <w:tcW w:w="2349" w:type="dxa"/>
          </w:tcPr>
          <w:p>
            <w:pPr>
              <w:pStyle w:val="TableParagraph"/>
              <w:ind w:left="14" w:right="2"/>
              <w:rPr>
                <w:sz w:val="20"/>
              </w:rPr>
            </w:pPr>
            <w:r>
              <w:rPr>
                <w:spacing w:val="-2"/>
                <w:sz w:val="20"/>
              </w:rPr>
              <w:t>36.92</w:t>
            </w:r>
          </w:p>
        </w:tc>
      </w:tr>
      <w:tr>
        <w:trPr>
          <w:trHeight w:val="472" w:hRule="atLeast"/>
        </w:trPr>
        <w:tc>
          <w:tcPr>
            <w:tcW w:w="2350" w:type="dxa"/>
          </w:tcPr>
          <w:p>
            <w:pPr>
              <w:pStyle w:val="TableParagraph"/>
              <w:spacing w:before="116"/>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spacing w:before="116"/>
              <w:ind w:right="2"/>
              <w:rPr>
                <w:sz w:val="20"/>
              </w:rPr>
            </w:pPr>
            <w:r>
              <w:rPr>
                <w:spacing w:val="-4"/>
                <w:sz w:val="20"/>
              </w:rPr>
              <w:t>8.00</w:t>
            </w:r>
          </w:p>
        </w:tc>
        <w:tc>
          <w:tcPr>
            <w:tcW w:w="2352" w:type="dxa"/>
          </w:tcPr>
          <w:p>
            <w:pPr>
              <w:pStyle w:val="TableParagraph"/>
              <w:spacing w:before="116"/>
              <w:ind w:right="2"/>
              <w:rPr>
                <w:sz w:val="20"/>
              </w:rPr>
            </w:pPr>
            <w:r>
              <w:rPr>
                <w:spacing w:val="-2"/>
                <w:sz w:val="20"/>
              </w:rPr>
              <w:t>849.77</w:t>
            </w:r>
          </w:p>
        </w:tc>
        <w:tc>
          <w:tcPr>
            <w:tcW w:w="2349" w:type="dxa"/>
          </w:tcPr>
          <w:p>
            <w:pPr>
              <w:pStyle w:val="TableParagraph"/>
              <w:spacing w:before="116"/>
              <w:ind w:left="14"/>
              <w:rPr>
                <w:sz w:val="20"/>
              </w:rPr>
            </w:pPr>
            <w:r>
              <w:rPr>
                <w:spacing w:val="-2"/>
                <w:sz w:val="20"/>
              </w:rPr>
              <w:t>25.81</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ind w:right="4"/>
              <w:rPr>
                <w:sz w:val="20"/>
              </w:rPr>
            </w:pPr>
            <w:r>
              <w:rPr>
                <w:spacing w:val="-4"/>
                <w:sz w:val="20"/>
              </w:rPr>
              <w:t>7.00</w:t>
            </w:r>
          </w:p>
        </w:tc>
        <w:tc>
          <w:tcPr>
            <w:tcW w:w="2352" w:type="dxa"/>
          </w:tcPr>
          <w:p>
            <w:pPr>
              <w:pStyle w:val="TableParagraph"/>
              <w:ind w:right="3"/>
              <w:rPr>
                <w:sz w:val="20"/>
              </w:rPr>
            </w:pPr>
            <w:r>
              <w:rPr>
                <w:spacing w:val="-2"/>
                <w:sz w:val="20"/>
              </w:rPr>
              <w:t>845.87</w:t>
            </w:r>
          </w:p>
        </w:tc>
        <w:tc>
          <w:tcPr>
            <w:tcW w:w="2349" w:type="dxa"/>
          </w:tcPr>
          <w:p>
            <w:pPr>
              <w:pStyle w:val="TableParagraph"/>
              <w:ind w:left="14" w:right="4"/>
              <w:rPr>
                <w:sz w:val="20"/>
              </w:rPr>
            </w:pPr>
            <w:r>
              <w:rPr>
                <w:spacing w:val="-2"/>
                <w:sz w:val="20"/>
              </w:rPr>
              <w:t>21.91</w:t>
            </w:r>
          </w:p>
        </w:tc>
      </w:tr>
      <w:tr>
        <w:trPr>
          <w:trHeight w:val="472" w:hRule="atLeast"/>
        </w:trPr>
        <w:tc>
          <w:tcPr>
            <w:tcW w:w="9403" w:type="dxa"/>
            <w:gridSpan w:val="4"/>
          </w:tcPr>
          <w:p>
            <w:pPr>
              <w:pStyle w:val="TableParagraph"/>
              <w:ind w:left="107"/>
              <w:jc w:val="left"/>
              <w:rPr>
                <w:sz w:val="20"/>
              </w:rPr>
            </w:pPr>
            <w:r>
              <w:rPr>
                <w:sz w:val="20"/>
              </w:rPr>
              <w:t>Models</w:t>
            </w:r>
            <w:r>
              <w:rPr>
                <w:spacing w:val="-4"/>
                <w:sz w:val="20"/>
              </w:rPr>
              <w:t> </w:t>
            </w:r>
            <w:r>
              <w:rPr>
                <w:sz w:val="20"/>
              </w:rPr>
              <w:t>without</w:t>
            </w:r>
            <w:r>
              <w:rPr>
                <w:spacing w:val="-6"/>
                <w:sz w:val="20"/>
              </w:rPr>
              <w:t> </w:t>
            </w:r>
            <w:r>
              <w:rPr>
                <w:sz w:val="20"/>
              </w:rPr>
              <w:t>a</w:t>
            </w:r>
            <w:r>
              <w:rPr>
                <w:spacing w:val="-3"/>
                <w:sz w:val="20"/>
              </w:rPr>
              <w:t> </w:t>
            </w:r>
            <w:r>
              <w:rPr>
                <w:sz w:val="20"/>
              </w:rPr>
              <w:t>PC</w:t>
            </w:r>
            <w:r>
              <w:rPr>
                <w:spacing w:val="-5"/>
                <w:sz w:val="20"/>
              </w:rPr>
              <w:t> </w:t>
            </w:r>
            <w:r>
              <w:rPr>
                <w:spacing w:val="-4"/>
                <w:sz w:val="20"/>
              </w:rPr>
              <w:t>axis</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1"/>
                <w:sz w:val="20"/>
              </w:rPr>
              <w:t> </w:t>
            </w:r>
            <w:r>
              <w:rPr>
                <w:sz w:val="20"/>
              </w:rPr>
              <w:t>Tree</w:t>
            </w:r>
            <w:r>
              <w:rPr>
                <w:spacing w:val="-2"/>
                <w:sz w:val="20"/>
              </w:rPr>
              <w:t> </w:t>
            </w:r>
            <w:r>
              <w:rPr>
                <w:spacing w:val="-4"/>
                <w:sz w:val="20"/>
              </w:rPr>
              <w:t>size</w:t>
            </w:r>
          </w:p>
        </w:tc>
        <w:tc>
          <w:tcPr>
            <w:tcW w:w="2352" w:type="dxa"/>
          </w:tcPr>
          <w:p>
            <w:pPr>
              <w:pStyle w:val="TableParagraph"/>
              <w:ind w:right="4"/>
              <w:rPr>
                <w:sz w:val="20"/>
              </w:rPr>
            </w:pPr>
            <w:r>
              <w:rPr>
                <w:spacing w:val="-2"/>
                <w:sz w:val="20"/>
              </w:rPr>
              <w:t>11.00</w:t>
            </w:r>
          </w:p>
        </w:tc>
        <w:tc>
          <w:tcPr>
            <w:tcW w:w="2352" w:type="dxa"/>
          </w:tcPr>
          <w:p>
            <w:pPr>
              <w:pStyle w:val="TableParagraph"/>
              <w:ind w:right="3"/>
              <w:rPr>
                <w:sz w:val="20"/>
              </w:rPr>
            </w:pPr>
            <w:r>
              <w:rPr>
                <w:spacing w:val="-2"/>
                <w:sz w:val="20"/>
              </w:rPr>
              <w:t>840.45</w:t>
            </w:r>
          </w:p>
        </w:tc>
        <w:tc>
          <w:tcPr>
            <w:tcW w:w="2349" w:type="dxa"/>
          </w:tcPr>
          <w:p>
            <w:pPr>
              <w:pStyle w:val="TableParagraph"/>
              <w:ind w:left="14" w:right="2"/>
              <w:rPr>
                <w:sz w:val="20"/>
              </w:rPr>
            </w:pPr>
            <w:r>
              <w:rPr>
                <w:spacing w:val="-2"/>
                <w:sz w:val="20"/>
              </w:rPr>
              <w:t>16.48</w:t>
            </w:r>
          </w:p>
        </w:tc>
      </w:tr>
      <w:tr>
        <w:trPr>
          <w:trHeight w:val="472"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1"/>
                <w:sz w:val="20"/>
              </w:rPr>
              <w:t> </w:t>
            </w:r>
            <w:r>
              <w:rPr>
                <w:sz w:val="20"/>
              </w:rPr>
              <w:t>Tree</w:t>
            </w:r>
            <w:r>
              <w:rPr>
                <w:spacing w:val="-2"/>
                <w:sz w:val="20"/>
              </w:rPr>
              <w:t> </w:t>
            </w:r>
            <w:r>
              <w:rPr>
                <w:spacing w:val="-4"/>
                <w:sz w:val="20"/>
              </w:rPr>
              <w:t>size</w:t>
            </w:r>
          </w:p>
        </w:tc>
        <w:tc>
          <w:tcPr>
            <w:tcW w:w="2352" w:type="dxa"/>
          </w:tcPr>
          <w:p>
            <w:pPr>
              <w:pStyle w:val="TableParagraph"/>
              <w:ind w:right="2"/>
              <w:rPr>
                <w:sz w:val="20"/>
              </w:rPr>
            </w:pPr>
            <w:r>
              <w:rPr>
                <w:spacing w:val="-4"/>
                <w:sz w:val="20"/>
              </w:rPr>
              <w:t>8.00</w:t>
            </w:r>
          </w:p>
        </w:tc>
        <w:tc>
          <w:tcPr>
            <w:tcW w:w="2352" w:type="dxa"/>
          </w:tcPr>
          <w:p>
            <w:pPr>
              <w:pStyle w:val="TableParagraph"/>
              <w:ind w:right="6"/>
              <w:rPr>
                <w:sz w:val="20"/>
              </w:rPr>
            </w:pPr>
            <w:r>
              <w:rPr>
                <w:spacing w:val="-2"/>
                <w:sz w:val="20"/>
              </w:rPr>
              <w:t>827.57</w:t>
            </w:r>
          </w:p>
        </w:tc>
        <w:tc>
          <w:tcPr>
            <w:tcW w:w="2349" w:type="dxa"/>
          </w:tcPr>
          <w:p>
            <w:pPr>
              <w:pStyle w:val="TableParagraph"/>
              <w:ind w:left="14" w:right="4"/>
              <w:rPr>
                <w:sz w:val="20"/>
              </w:rPr>
            </w:pPr>
            <w:r>
              <w:rPr>
                <w:spacing w:val="-4"/>
                <w:sz w:val="20"/>
              </w:rPr>
              <w:t>3.61</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pacing w:val="-4"/>
                <w:sz w:val="20"/>
              </w:rPr>
              <w:t>size</w:t>
            </w:r>
          </w:p>
        </w:tc>
        <w:tc>
          <w:tcPr>
            <w:tcW w:w="2352" w:type="dxa"/>
          </w:tcPr>
          <w:p>
            <w:pPr>
              <w:pStyle w:val="TableParagraph"/>
              <w:ind w:right="4"/>
              <w:rPr>
                <w:b/>
                <w:sz w:val="20"/>
              </w:rPr>
            </w:pPr>
            <w:r>
              <w:rPr>
                <w:b/>
                <w:spacing w:val="-4"/>
                <w:sz w:val="20"/>
              </w:rPr>
              <w:t>7.00</w:t>
            </w:r>
          </w:p>
        </w:tc>
        <w:tc>
          <w:tcPr>
            <w:tcW w:w="2352" w:type="dxa"/>
          </w:tcPr>
          <w:p>
            <w:pPr>
              <w:pStyle w:val="TableParagraph"/>
              <w:ind w:right="6"/>
              <w:rPr>
                <w:b/>
                <w:sz w:val="20"/>
              </w:rPr>
            </w:pPr>
            <w:r>
              <w:rPr>
                <w:b/>
                <w:spacing w:val="-2"/>
                <w:sz w:val="20"/>
              </w:rPr>
              <w:t>824.26</w:t>
            </w:r>
          </w:p>
        </w:tc>
        <w:tc>
          <w:tcPr>
            <w:tcW w:w="2349" w:type="dxa"/>
          </w:tcPr>
          <w:p>
            <w:pPr>
              <w:pStyle w:val="TableParagraph"/>
              <w:ind w:left="14"/>
              <w:rPr>
                <w:b/>
                <w:sz w:val="20"/>
              </w:rPr>
            </w:pPr>
            <w:r>
              <w:rPr>
                <w:b/>
                <w:spacing w:val="-4"/>
                <w:sz w:val="20"/>
              </w:rPr>
              <w:t>0.30</w:t>
            </w:r>
          </w:p>
        </w:tc>
      </w:tr>
      <w:tr>
        <w:trPr>
          <w:trHeight w:val="469" w:hRule="atLeast"/>
        </w:trPr>
        <w:tc>
          <w:tcPr>
            <w:tcW w:w="2350" w:type="dxa"/>
          </w:tcPr>
          <w:p>
            <w:pPr>
              <w:pStyle w:val="TableParagraph"/>
              <w:ind w:left="11" w:right="4"/>
              <w:rPr>
                <w:sz w:val="20"/>
              </w:rPr>
            </w:pPr>
            <w:r>
              <w:rPr>
                <w:sz w:val="20"/>
              </w:rPr>
              <w:t>N</w:t>
            </w:r>
            <w:r>
              <w:rPr>
                <w:spacing w:val="-3"/>
                <w:sz w:val="20"/>
              </w:rPr>
              <w:t> </w:t>
            </w:r>
            <w:r>
              <w:rPr>
                <w:sz w:val="20"/>
              </w:rPr>
              <w:t>x</w:t>
            </w:r>
            <w:r>
              <w:rPr>
                <w:spacing w:val="-1"/>
                <w:sz w:val="20"/>
              </w:rPr>
              <w:t> </w:t>
            </w:r>
            <w:r>
              <w:rPr>
                <w:spacing w:val="-10"/>
                <w:sz w:val="20"/>
              </w:rPr>
              <w:t>P</w:t>
            </w:r>
          </w:p>
        </w:tc>
        <w:tc>
          <w:tcPr>
            <w:tcW w:w="2352" w:type="dxa"/>
          </w:tcPr>
          <w:p>
            <w:pPr>
              <w:pStyle w:val="TableParagraph"/>
              <w:ind w:right="4"/>
              <w:rPr>
                <w:sz w:val="20"/>
              </w:rPr>
            </w:pPr>
            <w:r>
              <w:rPr>
                <w:spacing w:val="-4"/>
                <w:sz w:val="20"/>
              </w:rPr>
              <w:t>7.00</w:t>
            </w:r>
          </w:p>
        </w:tc>
        <w:tc>
          <w:tcPr>
            <w:tcW w:w="2352" w:type="dxa"/>
          </w:tcPr>
          <w:p>
            <w:pPr>
              <w:pStyle w:val="TableParagraph"/>
              <w:ind w:right="3"/>
              <w:rPr>
                <w:sz w:val="20"/>
              </w:rPr>
            </w:pPr>
            <w:r>
              <w:rPr>
                <w:spacing w:val="-2"/>
                <w:sz w:val="20"/>
              </w:rPr>
              <w:t>852.56</w:t>
            </w:r>
          </w:p>
        </w:tc>
        <w:tc>
          <w:tcPr>
            <w:tcW w:w="2349" w:type="dxa"/>
          </w:tcPr>
          <w:p>
            <w:pPr>
              <w:pStyle w:val="TableParagraph"/>
              <w:ind w:left="14"/>
              <w:rPr>
                <w:sz w:val="20"/>
              </w:rPr>
            </w:pPr>
            <w:r>
              <w:rPr>
                <w:spacing w:val="-2"/>
                <w:sz w:val="20"/>
              </w:rPr>
              <w:t>28.60</w:t>
            </w:r>
          </w:p>
        </w:tc>
      </w:tr>
      <w:tr>
        <w:trPr>
          <w:trHeight w:val="472" w:hRule="atLeast"/>
        </w:trPr>
        <w:tc>
          <w:tcPr>
            <w:tcW w:w="2350" w:type="dxa"/>
          </w:tcPr>
          <w:p>
            <w:pPr>
              <w:pStyle w:val="TableParagraph"/>
              <w:spacing w:before="116"/>
              <w:ind w:left="11" w:right="4"/>
              <w:rPr>
                <w:sz w:val="20"/>
              </w:rPr>
            </w:pPr>
            <w:r>
              <w:rPr>
                <w:sz w:val="20"/>
              </w:rPr>
              <w:t>N</w:t>
            </w:r>
            <w:r>
              <w:rPr>
                <w:spacing w:val="-3"/>
                <w:sz w:val="20"/>
              </w:rPr>
              <w:t> </w:t>
            </w:r>
            <w:r>
              <w:rPr>
                <w:sz w:val="20"/>
              </w:rPr>
              <w:t>+</w:t>
            </w:r>
            <w:r>
              <w:rPr>
                <w:spacing w:val="-1"/>
                <w:sz w:val="20"/>
              </w:rPr>
              <w:t> </w:t>
            </w:r>
            <w:r>
              <w:rPr>
                <w:spacing w:val="-10"/>
                <w:sz w:val="20"/>
              </w:rPr>
              <w:t>P</w:t>
            </w:r>
          </w:p>
        </w:tc>
        <w:tc>
          <w:tcPr>
            <w:tcW w:w="2352" w:type="dxa"/>
          </w:tcPr>
          <w:p>
            <w:pPr>
              <w:pStyle w:val="TableParagraph"/>
              <w:spacing w:before="116"/>
              <w:ind w:right="1"/>
              <w:rPr>
                <w:sz w:val="20"/>
              </w:rPr>
            </w:pPr>
            <w:r>
              <w:rPr>
                <w:spacing w:val="-4"/>
                <w:sz w:val="20"/>
              </w:rPr>
              <w:t>6.00</w:t>
            </w:r>
          </w:p>
        </w:tc>
        <w:tc>
          <w:tcPr>
            <w:tcW w:w="2352" w:type="dxa"/>
          </w:tcPr>
          <w:p>
            <w:pPr>
              <w:pStyle w:val="TableParagraph"/>
              <w:spacing w:before="116"/>
              <w:ind w:right="3"/>
              <w:rPr>
                <w:sz w:val="20"/>
              </w:rPr>
            </w:pPr>
            <w:r>
              <w:rPr>
                <w:spacing w:val="-2"/>
                <w:sz w:val="20"/>
              </w:rPr>
              <w:t>848.89</w:t>
            </w:r>
          </w:p>
        </w:tc>
        <w:tc>
          <w:tcPr>
            <w:tcW w:w="2349" w:type="dxa"/>
          </w:tcPr>
          <w:p>
            <w:pPr>
              <w:pStyle w:val="TableParagraph"/>
              <w:spacing w:before="116"/>
              <w:ind w:left="14" w:right="2"/>
              <w:rPr>
                <w:sz w:val="20"/>
              </w:rPr>
            </w:pPr>
            <w:r>
              <w:rPr>
                <w:spacing w:val="-2"/>
                <w:sz w:val="20"/>
              </w:rPr>
              <w:t>24.93</w:t>
            </w:r>
          </w:p>
        </w:tc>
      </w:tr>
    </w:tbl>
    <w:p>
      <w:pPr>
        <w:pStyle w:val="TableParagraph"/>
        <w:spacing w:after="0"/>
        <w:rPr>
          <w:sz w:val="20"/>
        </w:rPr>
        <w:sectPr>
          <w:pgSz w:w="12240" w:h="15840"/>
          <w:pgMar w:header="0" w:footer="1012" w:top="1220" w:bottom="1200" w:left="850" w:right="850"/>
        </w:sectPr>
      </w:pPr>
    </w:p>
    <w:p>
      <w:pPr>
        <w:spacing w:line="240" w:lineRule="auto" w:before="37"/>
        <w:ind w:left="157" w:right="152" w:firstLine="0"/>
        <w:jc w:val="both"/>
        <w:rPr>
          <w:sz w:val="22"/>
        </w:rPr>
      </w:pPr>
      <w:r>
        <w:rPr>
          <w:color w:val="7E7E7E"/>
          <w:sz w:val="22"/>
        </w:rPr>
        <w:t>Tab. S4: Comparison of 21 Linear Mixed Models for the 3000m asl site predicting tree basal area change over at least 12 years as a function of nutrient addition treatment (N, P), initial basal area (Tree size), functional traits collapsed in two PCA axes (PC 1 and PC 2), species identity and block are included as random factors. Best model for each grouping is highlighted in bold.</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0"/>
        <w:gridCol w:w="2352"/>
        <w:gridCol w:w="2352"/>
        <w:gridCol w:w="2349"/>
      </w:tblGrid>
      <w:tr>
        <w:trPr>
          <w:trHeight w:val="472" w:hRule="atLeast"/>
        </w:trPr>
        <w:tc>
          <w:tcPr>
            <w:tcW w:w="2350" w:type="dxa"/>
          </w:tcPr>
          <w:p>
            <w:pPr>
              <w:pStyle w:val="TableParagraph"/>
              <w:spacing w:before="116"/>
              <w:ind w:left="11" w:right="5"/>
              <w:rPr>
                <w:sz w:val="20"/>
              </w:rPr>
            </w:pPr>
            <w:r>
              <w:rPr>
                <w:spacing w:val="-2"/>
                <w:sz w:val="20"/>
              </w:rPr>
              <w:t>Models</w:t>
            </w:r>
          </w:p>
        </w:tc>
        <w:tc>
          <w:tcPr>
            <w:tcW w:w="2352" w:type="dxa"/>
          </w:tcPr>
          <w:p>
            <w:pPr>
              <w:pStyle w:val="TableParagraph"/>
              <w:spacing w:before="116"/>
              <w:ind w:right="4"/>
              <w:rPr>
                <w:sz w:val="20"/>
              </w:rPr>
            </w:pPr>
            <w:r>
              <w:rPr>
                <w:spacing w:val="-5"/>
                <w:sz w:val="20"/>
              </w:rPr>
              <w:t>df</w:t>
            </w:r>
          </w:p>
        </w:tc>
        <w:tc>
          <w:tcPr>
            <w:tcW w:w="2352" w:type="dxa"/>
          </w:tcPr>
          <w:p>
            <w:pPr>
              <w:pStyle w:val="TableParagraph"/>
              <w:spacing w:before="116"/>
              <w:ind w:right="4"/>
              <w:rPr>
                <w:sz w:val="20"/>
              </w:rPr>
            </w:pPr>
            <w:r>
              <w:rPr>
                <w:spacing w:val="-5"/>
                <w:sz w:val="20"/>
              </w:rPr>
              <w:t>AIC</w:t>
            </w:r>
          </w:p>
        </w:tc>
        <w:tc>
          <w:tcPr>
            <w:tcW w:w="2349" w:type="dxa"/>
          </w:tcPr>
          <w:p>
            <w:pPr>
              <w:pStyle w:val="TableParagraph"/>
              <w:spacing w:before="116"/>
              <w:ind w:left="14" w:right="4"/>
              <w:rPr>
                <w:sz w:val="20"/>
              </w:rPr>
            </w:pPr>
            <w:r>
              <w:rPr>
                <w:spacing w:val="-4"/>
                <w:sz w:val="20"/>
              </w:rPr>
              <w:t>ΔAIC</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5"/>
                <w:sz w:val="20"/>
              </w:rPr>
              <w:t> </w:t>
            </w:r>
            <w:r>
              <w:rPr>
                <w:sz w:val="20"/>
              </w:rPr>
              <w:t>PC1</w:t>
            </w:r>
            <w:r>
              <w:rPr>
                <w:spacing w:val="-6"/>
                <w:sz w:val="20"/>
              </w:rPr>
              <w:t> </w:t>
            </w:r>
            <w:r>
              <w:rPr>
                <w:spacing w:val="-4"/>
                <w:sz w:val="20"/>
              </w:rPr>
              <w:t>axis</w:t>
            </w:r>
          </w:p>
        </w:tc>
      </w:tr>
      <w:tr>
        <w:trPr>
          <w:trHeight w:val="472" w:hRule="atLeast"/>
        </w:trPr>
        <w:tc>
          <w:tcPr>
            <w:tcW w:w="2350" w:type="dxa"/>
          </w:tcPr>
          <w:p>
            <w:pPr>
              <w:pStyle w:val="TableParagraph"/>
              <w:ind w:left="1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 </w:t>
            </w:r>
            <w:r>
              <w:rPr>
                <w:spacing w:val="-5"/>
                <w:sz w:val="20"/>
              </w:rPr>
              <w:t>PC1</w:t>
            </w:r>
          </w:p>
        </w:tc>
        <w:tc>
          <w:tcPr>
            <w:tcW w:w="2352" w:type="dxa"/>
          </w:tcPr>
          <w:p>
            <w:pPr>
              <w:pStyle w:val="TableParagraph"/>
              <w:ind w:right="2"/>
              <w:rPr>
                <w:sz w:val="20"/>
              </w:rPr>
            </w:pPr>
            <w:r>
              <w:rPr>
                <w:spacing w:val="-5"/>
                <w:sz w:val="20"/>
              </w:rPr>
              <w:t>19</w:t>
            </w:r>
          </w:p>
        </w:tc>
        <w:tc>
          <w:tcPr>
            <w:tcW w:w="2352" w:type="dxa"/>
          </w:tcPr>
          <w:p>
            <w:pPr>
              <w:pStyle w:val="TableParagraph"/>
              <w:ind w:right="3"/>
              <w:rPr>
                <w:sz w:val="20"/>
              </w:rPr>
            </w:pPr>
            <w:r>
              <w:rPr>
                <w:spacing w:val="-2"/>
                <w:sz w:val="20"/>
              </w:rPr>
              <w:t>161.20</w:t>
            </w:r>
          </w:p>
        </w:tc>
        <w:tc>
          <w:tcPr>
            <w:tcW w:w="2349" w:type="dxa"/>
          </w:tcPr>
          <w:p>
            <w:pPr>
              <w:pStyle w:val="TableParagraph"/>
              <w:ind w:left="14" w:right="4"/>
              <w:rPr>
                <w:sz w:val="20"/>
              </w:rPr>
            </w:pPr>
            <w:r>
              <w:rPr>
                <w:spacing w:val="-2"/>
                <w:sz w:val="20"/>
              </w:rPr>
              <w:t>145.75</w:t>
            </w:r>
          </w:p>
        </w:tc>
      </w:tr>
      <w:tr>
        <w:trPr>
          <w:trHeight w:val="470" w:hRule="atLeast"/>
        </w:trPr>
        <w:tc>
          <w:tcPr>
            <w:tcW w:w="2350" w:type="dxa"/>
          </w:tcPr>
          <w:p>
            <w:pPr>
              <w:pStyle w:val="TableParagraph"/>
              <w:ind w:left="11" w:right="1"/>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PC1</w:t>
            </w:r>
          </w:p>
        </w:tc>
        <w:tc>
          <w:tcPr>
            <w:tcW w:w="2352" w:type="dxa"/>
          </w:tcPr>
          <w:p>
            <w:pPr>
              <w:pStyle w:val="TableParagraph"/>
              <w:rPr>
                <w:sz w:val="20"/>
              </w:rPr>
            </w:pPr>
            <w:r>
              <w:rPr>
                <w:spacing w:val="-5"/>
                <w:sz w:val="20"/>
              </w:rPr>
              <w:t>12</w:t>
            </w:r>
          </w:p>
        </w:tc>
        <w:tc>
          <w:tcPr>
            <w:tcW w:w="2352" w:type="dxa"/>
          </w:tcPr>
          <w:p>
            <w:pPr>
              <w:pStyle w:val="TableParagraph"/>
              <w:ind w:right="2"/>
              <w:rPr>
                <w:sz w:val="20"/>
              </w:rPr>
            </w:pPr>
            <w:r>
              <w:rPr>
                <w:spacing w:val="-2"/>
                <w:sz w:val="20"/>
              </w:rPr>
              <w:t>46.03</w:t>
            </w:r>
          </w:p>
        </w:tc>
        <w:tc>
          <w:tcPr>
            <w:tcW w:w="2349" w:type="dxa"/>
          </w:tcPr>
          <w:p>
            <w:pPr>
              <w:pStyle w:val="TableParagraph"/>
              <w:ind w:left="14" w:right="4"/>
              <w:rPr>
                <w:sz w:val="20"/>
              </w:rPr>
            </w:pPr>
            <w:r>
              <w:rPr>
                <w:spacing w:val="-2"/>
                <w:sz w:val="20"/>
              </w:rPr>
              <w:t>30.58</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PC1</w:t>
            </w:r>
            <w:r>
              <w:rPr>
                <w:spacing w:val="-3"/>
                <w:sz w:val="20"/>
              </w:rPr>
              <w:t> </w:t>
            </w:r>
            <w:r>
              <w:rPr>
                <w:sz w:val="20"/>
              </w:rPr>
              <w:t>+</w:t>
            </w:r>
            <w:r>
              <w:rPr>
                <w:spacing w:val="-2"/>
                <w:sz w:val="20"/>
              </w:rPr>
              <w:t> </w:t>
            </w:r>
            <w:r>
              <w:rPr>
                <w:sz w:val="20"/>
              </w:rPr>
              <w:t>Tree</w:t>
            </w:r>
            <w:r>
              <w:rPr>
                <w:spacing w:val="-2"/>
                <w:sz w:val="20"/>
              </w:rPr>
              <w:t> </w:t>
            </w:r>
            <w:r>
              <w:rPr>
                <w:spacing w:val="-4"/>
                <w:sz w:val="20"/>
              </w:rPr>
              <w:t>size</w:t>
            </w:r>
          </w:p>
        </w:tc>
        <w:tc>
          <w:tcPr>
            <w:tcW w:w="2352" w:type="dxa"/>
          </w:tcPr>
          <w:p>
            <w:pPr>
              <w:pStyle w:val="TableParagraph"/>
              <w:rPr>
                <w:sz w:val="20"/>
              </w:rPr>
            </w:pPr>
            <w:r>
              <w:rPr>
                <w:spacing w:val="-5"/>
                <w:sz w:val="20"/>
              </w:rPr>
              <w:t>12</w:t>
            </w:r>
          </w:p>
        </w:tc>
        <w:tc>
          <w:tcPr>
            <w:tcW w:w="2352" w:type="dxa"/>
          </w:tcPr>
          <w:p>
            <w:pPr>
              <w:pStyle w:val="TableParagraph"/>
              <w:ind w:right="2"/>
              <w:rPr>
                <w:sz w:val="20"/>
              </w:rPr>
            </w:pPr>
            <w:r>
              <w:rPr>
                <w:spacing w:val="-2"/>
                <w:sz w:val="20"/>
              </w:rPr>
              <w:t>82.46</w:t>
            </w:r>
          </w:p>
        </w:tc>
        <w:tc>
          <w:tcPr>
            <w:tcW w:w="2349" w:type="dxa"/>
          </w:tcPr>
          <w:p>
            <w:pPr>
              <w:pStyle w:val="TableParagraph"/>
              <w:ind w:left="14"/>
              <w:rPr>
                <w:sz w:val="20"/>
              </w:rPr>
            </w:pPr>
            <w:r>
              <w:rPr>
                <w:spacing w:val="-2"/>
                <w:sz w:val="20"/>
              </w:rPr>
              <w:t>67.00</w:t>
            </w:r>
          </w:p>
        </w:tc>
      </w:tr>
      <w:tr>
        <w:trPr>
          <w:trHeight w:val="473" w:hRule="atLeast"/>
        </w:trPr>
        <w:tc>
          <w:tcPr>
            <w:tcW w:w="2350" w:type="dxa"/>
          </w:tcPr>
          <w:p>
            <w:pPr>
              <w:pStyle w:val="TableParagraph"/>
              <w:spacing w:before="116"/>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PC1</w:t>
            </w:r>
          </w:p>
        </w:tc>
        <w:tc>
          <w:tcPr>
            <w:tcW w:w="2352" w:type="dxa"/>
          </w:tcPr>
          <w:p>
            <w:pPr>
              <w:pStyle w:val="TableParagraph"/>
              <w:spacing w:before="116"/>
              <w:ind w:right="2"/>
              <w:rPr>
                <w:sz w:val="20"/>
              </w:rPr>
            </w:pPr>
            <w:r>
              <w:rPr>
                <w:spacing w:val="-10"/>
                <w:sz w:val="20"/>
              </w:rPr>
              <w:t>9</w:t>
            </w:r>
          </w:p>
        </w:tc>
        <w:tc>
          <w:tcPr>
            <w:tcW w:w="2352" w:type="dxa"/>
          </w:tcPr>
          <w:p>
            <w:pPr>
              <w:pStyle w:val="TableParagraph"/>
              <w:spacing w:before="116"/>
              <w:ind w:right="5"/>
              <w:rPr>
                <w:sz w:val="20"/>
              </w:rPr>
            </w:pPr>
            <w:r>
              <w:rPr>
                <w:spacing w:val="-2"/>
                <w:sz w:val="20"/>
              </w:rPr>
              <w:t>30.74</w:t>
            </w:r>
          </w:p>
        </w:tc>
        <w:tc>
          <w:tcPr>
            <w:tcW w:w="2349" w:type="dxa"/>
          </w:tcPr>
          <w:p>
            <w:pPr>
              <w:pStyle w:val="TableParagraph"/>
              <w:spacing w:before="116"/>
              <w:ind w:left="14" w:right="1"/>
              <w:rPr>
                <w:sz w:val="20"/>
              </w:rPr>
            </w:pPr>
            <w:r>
              <w:rPr>
                <w:spacing w:val="-2"/>
                <w:sz w:val="20"/>
              </w:rPr>
              <w:t>15.28</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PC1</w:t>
            </w:r>
          </w:p>
        </w:tc>
        <w:tc>
          <w:tcPr>
            <w:tcW w:w="2352" w:type="dxa"/>
          </w:tcPr>
          <w:p>
            <w:pPr>
              <w:pStyle w:val="TableParagraph"/>
              <w:ind w:right="5"/>
              <w:rPr>
                <w:b/>
                <w:sz w:val="20"/>
              </w:rPr>
            </w:pPr>
            <w:r>
              <w:rPr>
                <w:b/>
                <w:spacing w:val="-10"/>
                <w:sz w:val="20"/>
              </w:rPr>
              <w:t>8</w:t>
            </w:r>
          </w:p>
        </w:tc>
        <w:tc>
          <w:tcPr>
            <w:tcW w:w="2352" w:type="dxa"/>
          </w:tcPr>
          <w:p>
            <w:pPr>
              <w:pStyle w:val="TableParagraph"/>
              <w:ind w:right="2"/>
              <w:rPr>
                <w:b/>
                <w:sz w:val="20"/>
              </w:rPr>
            </w:pPr>
            <w:r>
              <w:rPr>
                <w:b/>
                <w:spacing w:val="-2"/>
                <w:sz w:val="20"/>
              </w:rPr>
              <w:t>24.01</w:t>
            </w:r>
          </w:p>
        </w:tc>
        <w:tc>
          <w:tcPr>
            <w:tcW w:w="2349" w:type="dxa"/>
          </w:tcPr>
          <w:p>
            <w:pPr>
              <w:pStyle w:val="TableParagraph"/>
              <w:ind w:left="14" w:right="1"/>
              <w:rPr>
                <w:b/>
                <w:sz w:val="20"/>
              </w:rPr>
            </w:pPr>
            <w:r>
              <w:rPr>
                <w:b/>
                <w:spacing w:val="-4"/>
                <w:sz w:val="20"/>
              </w:rPr>
              <w:t>8.55</w:t>
            </w:r>
          </w:p>
        </w:tc>
      </w:tr>
      <w:tr>
        <w:trPr>
          <w:trHeight w:val="472" w:hRule="atLeast"/>
        </w:trPr>
        <w:tc>
          <w:tcPr>
            <w:tcW w:w="2350" w:type="dxa"/>
          </w:tcPr>
          <w:p>
            <w:pPr>
              <w:pStyle w:val="TableParagraph"/>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PC1</w:t>
            </w:r>
          </w:p>
        </w:tc>
        <w:tc>
          <w:tcPr>
            <w:tcW w:w="2352" w:type="dxa"/>
          </w:tcPr>
          <w:p>
            <w:pPr>
              <w:pStyle w:val="TableParagraph"/>
              <w:ind w:right="1"/>
              <w:rPr>
                <w:sz w:val="20"/>
              </w:rPr>
            </w:pPr>
            <w:r>
              <w:rPr>
                <w:spacing w:val="-5"/>
                <w:sz w:val="20"/>
              </w:rPr>
              <w:t>11</w:t>
            </w:r>
          </w:p>
        </w:tc>
        <w:tc>
          <w:tcPr>
            <w:tcW w:w="2352" w:type="dxa"/>
          </w:tcPr>
          <w:p>
            <w:pPr>
              <w:pStyle w:val="TableParagraph"/>
              <w:ind w:right="4"/>
              <w:rPr>
                <w:sz w:val="20"/>
              </w:rPr>
            </w:pPr>
            <w:r>
              <w:rPr>
                <w:spacing w:val="-2"/>
                <w:sz w:val="20"/>
              </w:rPr>
              <w:t>62.09</w:t>
            </w:r>
          </w:p>
        </w:tc>
        <w:tc>
          <w:tcPr>
            <w:tcW w:w="2349" w:type="dxa"/>
          </w:tcPr>
          <w:p>
            <w:pPr>
              <w:pStyle w:val="TableParagraph"/>
              <w:ind w:left="14" w:right="2"/>
              <w:rPr>
                <w:sz w:val="20"/>
              </w:rPr>
            </w:pPr>
            <w:r>
              <w:rPr>
                <w:spacing w:val="-2"/>
                <w:sz w:val="20"/>
              </w:rPr>
              <w:t>46.63</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ind w:right="4"/>
              <w:rPr>
                <w:sz w:val="20"/>
              </w:rPr>
            </w:pPr>
            <w:r>
              <w:rPr>
                <w:spacing w:val="-10"/>
                <w:sz w:val="20"/>
              </w:rPr>
              <w:t>8</w:t>
            </w:r>
          </w:p>
        </w:tc>
        <w:tc>
          <w:tcPr>
            <w:tcW w:w="2352" w:type="dxa"/>
          </w:tcPr>
          <w:p>
            <w:pPr>
              <w:pStyle w:val="TableParagraph"/>
              <w:ind w:right="3"/>
              <w:rPr>
                <w:sz w:val="20"/>
              </w:rPr>
            </w:pPr>
            <w:r>
              <w:rPr>
                <w:spacing w:val="-2"/>
                <w:sz w:val="20"/>
              </w:rPr>
              <w:t>48.87</w:t>
            </w:r>
          </w:p>
        </w:tc>
        <w:tc>
          <w:tcPr>
            <w:tcW w:w="2349" w:type="dxa"/>
          </w:tcPr>
          <w:p>
            <w:pPr>
              <w:pStyle w:val="TableParagraph"/>
              <w:ind w:left="14" w:right="2"/>
              <w:rPr>
                <w:sz w:val="20"/>
              </w:rPr>
            </w:pPr>
            <w:r>
              <w:rPr>
                <w:spacing w:val="-2"/>
                <w:sz w:val="20"/>
              </w:rPr>
              <w:t>33.42</w:t>
            </w:r>
          </w:p>
        </w:tc>
      </w:tr>
      <w:tr>
        <w:trPr>
          <w:trHeight w:val="472" w:hRule="atLeast"/>
        </w:trPr>
        <w:tc>
          <w:tcPr>
            <w:tcW w:w="2350" w:type="dxa"/>
          </w:tcPr>
          <w:p>
            <w:pPr>
              <w:pStyle w:val="TableParagraph"/>
              <w:ind w:left="11" w:right="5"/>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PC1</w:t>
            </w:r>
          </w:p>
        </w:tc>
        <w:tc>
          <w:tcPr>
            <w:tcW w:w="2352" w:type="dxa"/>
          </w:tcPr>
          <w:p>
            <w:pPr>
              <w:pStyle w:val="TableParagraph"/>
              <w:rPr>
                <w:sz w:val="20"/>
              </w:rPr>
            </w:pPr>
            <w:r>
              <w:rPr>
                <w:spacing w:val="-10"/>
                <w:sz w:val="20"/>
              </w:rPr>
              <w:t>7</w:t>
            </w:r>
          </w:p>
        </w:tc>
        <w:tc>
          <w:tcPr>
            <w:tcW w:w="2352" w:type="dxa"/>
          </w:tcPr>
          <w:p>
            <w:pPr>
              <w:pStyle w:val="TableParagraph"/>
              <w:ind w:right="3"/>
              <w:rPr>
                <w:sz w:val="20"/>
              </w:rPr>
            </w:pPr>
            <w:r>
              <w:rPr>
                <w:spacing w:val="-2"/>
                <w:sz w:val="20"/>
              </w:rPr>
              <w:t>42.33</w:t>
            </w:r>
          </w:p>
        </w:tc>
        <w:tc>
          <w:tcPr>
            <w:tcW w:w="2349" w:type="dxa"/>
          </w:tcPr>
          <w:p>
            <w:pPr>
              <w:pStyle w:val="TableParagraph"/>
              <w:ind w:left="14" w:right="2"/>
              <w:rPr>
                <w:sz w:val="20"/>
              </w:rPr>
            </w:pPr>
            <w:r>
              <w:rPr>
                <w:spacing w:val="-2"/>
                <w:sz w:val="20"/>
              </w:rPr>
              <w:t>26.87</w:t>
            </w:r>
          </w:p>
        </w:tc>
      </w:tr>
      <w:tr>
        <w:trPr>
          <w:trHeight w:val="470" w:hRule="atLeast"/>
        </w:trPr>
        <w:tc>
          <w:tcPr>
            <w:tcW w:w="9403" w:type="dxa"/>
            <w:gridSpan w:val="4"/>
          </w:tcPr>
          <w:p>
            <w:pPr>
              <w:pStyle w:val="TableParagraph"/>
              <w:ind w:left="107"/>
              <w:jc w:val="left"/>
              <w:rPr>
                <w:sz w:val="20"/>
              </w:rPr>
            </w:pPr>
            <w:r>
              <w:rPr>
                <w:sz w:val="20"/>
              </w:rPr>
              <w:t>Models</w:t>
            </w:r>
            <w:r>
              <w:rPr>
                <w:spacing w:val="-5"/>
                <w:sz w:val="20"/>
              </w:rPr>
              <w:t> </w:t>
            </w:r>
            <w:r>
              <w:rPr>
                <w:sz w:val="20"/>
              </w:rPr>
              <w:t>with</w:t>
            </w:r>
            <w:r>
              <w:rPr>
                <w:spacing w:val="-6"/>
                <w:sz w:val="20"/>
              </w:rPr>
              <w:t> </w:t>
            </w:r>
            <w:r>
              <w:rPr>
                <w:sz w:val="20"/>
              </w:rPr>
              <w:t>PC2</w:t>
            </w:r>
            <w:r>
              <w:rPr>
                <w:spacing w:val="-6"/>
                <w:sz w:val="20"/>
              </w:rPr>
              <w:t> </w:t>
            </w:r>
            <w:r>
              <w:rPr>
                <w:spacing w:val="-4"/>
                <w:sz w:val="20"/>
              </w:rPr>
              <w:t>axis</w:t>
            </w:r>
          </w:p>
        </w:tc>
      </w:tr>
      <w:tr>
        <w:trPr>
          <w:trHeight w:val="470"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1"/>
                <w:sz w:val="20"/>
              </w:rPr>
              <w:t> </w:t>
            </w:r>
            <w:r>
              <w:rPr>
                <w:sz w:val="20"/>
              </w:rPr>
              <w:t>x</w:t>
            </w:r>
            <w:r>
              <w:rPr>
                <w:spacing w:val="-2"/>
                <w:sz w:val="20"/>
              </w:rPr>
              <w:t> </w:t>
            </w:r>
            <w:r>
              <w:rPr>
                <w:spacing w:val="-5"/>
                <w:sz w:val="20"/>
              </w:rPr>
              <w:t>PC2</w:t>
            </w:r>
          </w:p>
        </w:tc>
        <w:tc>
          <w:tcPr>
            <w:tcW w:w="2352" w:type="dxa"/>
          </w:tcPr>
          <w:p>
            <w:pPr>
              <w:pStyle w:val="TableParagraph"/>
              <w:ind w:right="2"/>
              <w:rPr>
                <w:sz w:val="20"/>
              </w:rPr>
            </w:pPr>
            <w:r>
              <w:rPr>
                <w:spacing w:val="-5"/>
                <w:sz w:val="20"/>
              </w:rPr>
              <w:t>19</w:t>
            </w:r>
          </w:p>
        </w:tc>
        <w:tc>
          <w:tcPr>
            <w:tcW w:w="2352" w:type="dxa"/>
          </w:tcPr>
          <w:p>
            <w:pPr>
              <w:pStyle w:val="TableParagraph"/>
              <w:ind w:right="2"/>
              <w:rPr>
                <w:sz w:val="20"/>
              </w:rPr>
            </w:pPr>
            <w:r>
              <w:rPr>
                <w:spacing w:val="-2"/>
                <w:sz w:val="20"/>
              </w:rPr>
              <w:t>152.21</w:t>
            </w:r>
          </w:p>
        </w:tc>
        <w:tc>
          <w:tcPr>
            <w:tcW w:w="2349" w:type="dxa"/>
          </w:tcPr>
          <w:p>
            <w:pPr>
              <w:pStyle w:val="TableParagraph"/>
              <w:ind w:left="14"/>
              <w:rPr>
                <w:sz w:val="20"/>
              </w:rPr>
            </w:pPr>
            <w:r>
              <w:rPr>
                <w:spacing w:val="-2"/>
                <w:sz w:val="20"/>
              </w:rPr>
              <w:t>136.75</w:t>
            </w:r>
          </w:p>
        </w:tc>
      </w:tr>
      <w:tr>
        <w:trPr>
          <w:trHeight w:val="472" w:hRule="atLeast"/>
        </w:trPr>
        <w:tc>
          <w:tcPr>
            <w:tcW w:w="2350" w:type="dxa"/>
          </w:tcPr>
          <w:p>
            <w:pPr>
              <w:pStyle w:val="TableParagraph"/>
              <w:spacing w:before="116"/>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Tree</w:t>
            </w:r>
            <w:r>
              <w:rPr>
                <w:spacing w:val="-2"/>
                <w:sz w:val="20"/>
              </w:rPr>
              <w:t> </w:t>
            </w:r>
            <w:r>
              <w:rPr>
                <w:sz w:val="20"/>
              </w:rPr>
              <w:t>size</w:t>
            </w:r>
            <w:r>
              <w:rPr>
                <w:spacing w:val="-2"/>
                <w:sz w:val="20"/>
              </w:rPr>
              <w:t> </w:t>
            </w:r>
            <w:r>
              <w:rPr>
                <w:sz w:val="20"/>
              </w:rPr>
              <w:t>+</w:t>
            </w:r>
            <w:r>
              <w:rPr>
                <w:spacing w:val="-1"/>
                <w:sz w:val="20"/>
              </w:rPr>
              <w:t> </w:t>
            </w:r>
            <w:r>
              <w:rPr>
                <w:spacing w:val="-5"/>
                <w:sz w:val="20"/>
              </w:rPr>
              <w:t>PC2</w:t>
            </w:r>
          </w:p>
        </w:tc>
        <w:tc>
          <w:tcPr>
            <w:tcW w:w="2352" w:type="dxa"/>
          </w:tcPr>
          <w:p>
            <w:pPr>
              <w:pStyle w:val="TableParagraph"/>
              <w:spacing w:before="116"/>
              <w:rPr>
                <w:sz w:val="20"/>
              </w:rPr>
            </w:pPr>
            <w:r>
              <w:rPr>
                <w:spacing w:val="-5"/>
                <w:sz w:val="20"/>
              </w:rPr>
              <w:t>12</w:t>
            </w:r>
          </w:p>
        </w:tc>
        <w:tc>
          <w:tcPr>
            <w:tcW w:w="2352" w:type="dxa"/>
          </w:tcPr>
          <w:p>
            <w:pPr>
              <w:pStyle w:val="TableParagraph"/>
              <w:spacing w:before="116"/>
              <w:ind w:right="3"/>
              <w:rPr>
                <w:sz w:val="20"/>
              </w:rPr>
            </w:pPr>
            <w:r>
              <w:rPr>
                <w:spacing w:val="-2"/>
                <w:sz w:val="20"/>
              </w:rPr>
              <w:t>45.80</w:t>
            </w:r>
          </w:p>
        </w:tc>
        <w:tc>
          <w:tcPr>
            <w:tcW w:w="2349" w:type="dxa"/>
          </w:tcPr>
          <w:p>
            <w:pPr>
              <w:pStyle w:val="TableParagraph"/>
              <w:spacing w:before="116"/>
              <w:ind w:left="14" w:right="1"/>
              <w:rPr>
                <w:sz w:val="20"/>
              </w:rPr>
            </w:pPr>
            <w:r>
              <w:rPr>
                <w:spacing w:val="-2"/>
                <w:sz w:val="20"/>
              </w:rPr>
              <w:t>30.35</w:t>
            </w:r>
          </w:p>
        </w:tc>
      </w:tr>
      <w:tr>
        <w:trPr>
          <w:trHeight w:val="470" w:hRule="atLeast"/>
        </w:trPr>
        <w:tc>
          <w:tcPr>
            <w:tcW w:w="2350" w:type="dxa"/>
          </w:tcPr>
          <w:p>
            <w:pPr>
              <w:pStyle w:val="TableParagraph"/>
              <w:ind w:left="11" w:right="5"/>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2"/>
                <w:sz w:val="20"/>
              </w:rPr>
              <w:t> </w:t>
            </w:r>
            <w:r>
              <w:rPr>
                <w:sz w:val="20"/>
              </w:rPr>
              <w:t>PC2</w:t>
            </w:r>
            <w:r>
              <w:rPr>
                <w:spacing w:val="-3"/>
                <w:sz w:val="20"/>
              </w:rPr>
              <w:t> </w:t>
            </w:r>
            <w:r>
              <w:rPr>
                <w:sz w:val="20"/>
              </w:rPr>
              <w:t>+</w:t>
            </w:r>
            <w:r>
              <w:rPr>
                <w:spacing w:val="-2"/>
                <w:sz w:val="20"/>
              </w:rPr>
              <w:t> </w:t>
            </w:r>
            <w:r>
              <w:rPr>
                <w:sz w:val="20"/>
              </w:rPr>
              <w:t>Tree</w:t>
            </w:r>
            <w:r>
              <w:rPr>
                <w:spacing w:val="-3"/>
                <w:sz w:val="20"/>
              </w:rPr>
              <w:t> </w:t>
            </w:r>
            <w:r>
              <w:rPr>
                <w:spacing w:val="-4"/>
                <w:sz w:val="20"/>
              </w:rPr>
              <w:t>size</w:t>
            </w:r>
          </w:p>
        </w:tc>
        <w:tc>
          <w:tcPr>
            <w:tcW w:w="2352" w:type="dxa"/>
          </w:tcPr>
          <w:p>
            <w:pPr>
              <w:pStyle w:val="TableParagraph"/>
              <w:rPr>
                <w:sz w:val="20"/>
              </w:rPr>
            </w:pPr>
            <w:r>
              <w:rPr>
                <w:spacing w:val="-5"/>
                <w:sz w:val="20"/>
              </w:rPr>
              <w:t>12</w:t>
            </w:r>
          </w:p>
        </w:tc>
        <w:tc>
          <w:tcPr>
            <w:tcW w:w="2352" w:type="dxa"/>
          </w:tcPr>
          <w:p>
            <w:pPr>
              <w:pStyle w:val="TableParagraph"/>
              <w:ind w:right="5"/>
              <w:rPr>
                <w:sz w:val="20"/>
              </w:rPr>
            </w:pPr>
            <w:r>
              <w:rPr>
                <w:spacing w:val="-2"/>
                <w:sz w:val="20"/>
              </w:rPr>
              <w:t>82.96</w:t>
            </w:r>
          </w:p>
        </w:tc>
        <w:tc>
          <w:tcPr>
            <w:tcW w:w="2349" w:type="dxa"/>
          </w:tcPr>
          <w:p>
            <w:pPr>
              <w:pStyle w:val="TableParagraph"/>
              <w:ind w:left="14" w:right="3"/>
              <w:rPr>
                <w:sz w:val="20"/>
              </w:rPr>
            </w:pPr>
            <w:r>
              <w:rPr>
                <w:spacing w:val="-2"/>
                <w:sz w:val="20"/>
              </w:rPr>
              <w:t>67.50</w:t>
            </w:r>
          </w:p>
        </w:tc>
      </w:tr>
      <w:tr>
        <w:trPr>
          <w:trHeight w:val="472" w:hRule="atLeast"/>
        </w:trPr>
        <w:tc>
          <w:tcPr>
            <w:tcW w:w="2350" w:type="dxa"/>
          </w:tcPr>
          <w:p>
            <w:pPr>
              <w:pStyle w:val="TableParagraph"/>
              <w:ind w:left="11" w:right="6"/>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2"/>
                <w:sz w:val="20"/>
              </w:rPr>
              <w:t> </w:t>
            </w:r>
            <w:r>
              <w:rPr>
                <w:sz w:val="20"/>
              </w:rPr>
              <w:t>Tree</w:t>
            </w:r>
            <w:r>
              <w:rPr>
                <w:spacing w:val="-2"/>
                <w:sz w:val="20"/>
              </w:rPr>
              <w:t> </w:t>
            </w:r>
            <w:r>
              <w:rPr>
                <w:sz w:val="20"/>
              </w:rPr>
              <w:t>size</w:t>
            </w:r>
            <w:r>
              <w:rPr>
                <w:spacing w:val="-2"/>
                <w:sz w:val="20"/>
              </w:rPr>
              <w:t> </w:t>
            </w:r>
            <w:r>
              <w:rPr>
                <w:sz w:val="20"/>
              </w:rPr>
              <w:t>+</w:t>
            </w:r>
            <w:r>
              <w:rPr>
                <w:spacing w:val="-2"/>
                <w:sz w:val="20"/>
              </w:rPr>
              <w:t> </w:t>
            </w:r>
            <w:r>
              <w:rPr>
                <w:spacing w:val="-5"/>
                <w:sz w:val="20"/>
              </w:rPr>
              <w:t>PC2</w:t>
            </w:r>
          </w:p>
        </w:tc>
        <w:tc>
          <w:tcPr>
            <w:tcW w:w="2352" w:type="dxa"/>
          </w:tcPr>
          <w:p>
            <w:pPr>
              <w:pStyle w:val="TableParagraph"/>
              <w:ind w:right="2"/>
              <w:rPr>
                <w:sz w:val="20"/>
              </w:rPr>
            </w:pPr>
            <w:r>
              <w:rPr>
                <w:spacing w:val="-10"/>
                <w:sz w:val="20"/>
              </w:rPr>
              <w:t>9</w:t>
            </w:r>
          </w:p>
        </w:tc>
        <w:tc>
          <w:tcPr>
            <w:tcW w:w="2352" w:type="dxa"/>
          </w:tcPr>
          <w:p>
            <w:pPr>
              <w:pStyle w:val="TableParagraph"/>
              <w:ind w:right="6"/>
              <w:rPr>
                <w:sz w:val="20"/>
              </w:rPr>
            </w:pPr>
            <w:r>
              <w:rPr>
                <w:spacing w:val="-2"/>
                <w:sz w:val="20"/>
              </w:rPr>
              <w:t>31.28</w:t>
            </w:r>
          </w:p>
        </w:tc>
        <w:tc>
          <w:tcPr>
            <w:tcW w:w="2349" w:type="dxa"/>
          </w:tcPr>
          <w:p>
            <w:pPr>
              <w:pStyle w:val="TableParagraph"/>
              <w:ind w:left="14"/>
              <w:rPr>
                <w:sz w:val="20"/>
              </w:rPr>
            </w:pPr>
            <w:r>
              <w:rPr>
                <w:spacing w:val="-2"/>
                <w:sz w:val="20"/>
              </w:rPr>
              <w:t>15.82</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z w:val="20"/>
              </w:rPr>
              <w:t>size</w:t>
            </w:r>
            <w:r>
              <w:rPr>
                <w:b/>
                <w:spacing w:val="-2"/>
                <w:sz w:val="20"/>
              </w:rPr>
              <w:t> </w:t>
            </w:r>
            <w:r>
              <w:rPr>
                <w:b/>
                <w:sz w:val="20"/>
              </w:rPr>
              <w:t>+</w:t>
            </w:r>
            <w:r>
              <w:rPr>
                <w:b/>
                <w:spacing w:val="-2"/>
                <w:sz w:val="20"/>
              </w:rPr>
              <w:t> </w:t>
            </w:r>
            <w:r>
              <w:rPr>
                <w:b/>
                <w:spacing w:val="-5"/>
                <w:sz w:val="20"/>
              </w:rPr>
              <w:t>PC2</w:t>
            </w:r>
          </w:p>
        </w:tc>
        <w:tc>
          <w:tcPr>
            <w:tcW w:w="2352" w:type="dxa"/>
          </w:tcPr>
          <w:p>
            <w:pPr>
              <w:pStyle w:val="TableParagraph"/>
              <w:ind w:right="5"/>
              <w:rPr>
                <w:b/>
                <w:sz w:val="20"/>
              </w:rPr>
            </w:pPr>
            <w:r>
              <w:rPr>
                <w:b/>
                <w:spacing w:val="-10"/>
                <w:sz w:val="20"/>
              </w:rPr>
              <w:t>8</w:t>
            </w:r>
          </w:p>
        </w:tc>
        <w:tc>
          <w:tcPr>
            <w:tcW w:w="2352" w:type="dxa"/>
          </w:tcPr>
          <w:p>
            <w:pPr>
              <w:pStyle w:val="TableParagraph"/>
              <w:ind w:right="2"/>
              <w:rPr>
                <w:b/>
                <w:sz w:val="20"/>
              </w:rPr>
            </w:pPr>
            <w:r>
              <w:rPr>
                <w:b/>
                <w:spacing w:val="-2"/>
                <w:sz w:val="20"/>
              </w:rPr>
              <w:t>24.54</w:t>
            </w:r>
          </w:p>
        </w:tc>
        <w:tc>
          <w:tcPr>
            <w:tcW w:w="2349" w:type="dxa"/>
          </w:tcPr>
          <w:p>
            <w:pPr>
              <w:pStyle w:val="TableParagraph"/>
              <w:ind w:left="14" w:right="2"/>
              <w:rPr>
                <w:b/>
                <w:sz w:val="20"/>
              </w:rPr>
            </w:pPr>
            <w:r>
              <w:rPr>
                <w:b/>
                <w:spacing w:val="-4"/>
                <w:sz w:val="20"/>
              </w:rPr>
              <w:t>9.08</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x</w:t>
            </w:r>
            <w:r>
              <w:rPr>
                <w:spacing w:val="-1"/>
                <w:sz w:val="20"/>
              </w:rPr>
              <w:t> </w:t>
            </w:r>
            <w:r>
              <w:rPr>
                <w:spacing w:val="-5"/>
                <w:sz w:val="20"/>
              </w:rPr>
              <w:t>PC2</w:t>
            </w:r>
          </w:p>
        </w:tc>
        <w:tc>
          <w:tcPr>
            <w:tcW w:w="2352" w:type="dxa"/>
          </w:tcPr>
          <w:p>
            <w:pPr>
              <w:pStyle w:val="TableParagraph"/>
              <w:ind w:right="1"/>
              <w:rPr>
                <w:sz w:val="20"/>
              </w:rPr>
            </w:pPr>
            <w:r>
              <w:rPr>
                <w:spacing w:val="-5"/>
                <w:sz w:val="20"/>
              </w:rPr>
              <w:t>11</w:t>
            </w:r>
          </w:p>
        </w:tc>
        <w:tc>
          <w:tcPr>
            <w:tcW w:w="2352" w:type="dxa"/>
          </w:tcPr>
          <w:p>
            <w:pPr>
              <w:pStyle w:val="TableParagraph"/>
              <w:ind w:right="4"/>
              <w:rPr>
                <w:sz w:val="20"/>
              </w:rPr>
            </w:pPr>
            <w:r>
              <w:rPr>
                <w:spacing w:val="-2"/>
                <w:sz w:val="20"/>
              </w:rPr>
              <w:t>61.44</w:t>
            </w:r>
          </w:p>
        </w:tc>
        <w:tc>
          <w:tcPr>
            <w:tcW w:w="2349" w:type="dxa"/>
          </w:tcPr>
          <w:p>
            <w:pPr>
              <w:pStyle w:val="TableParagraph"/>
              <w:ind w:left="14" w:right="3"/>
              <w:rPr>
                <w:sz w:val="20"/>
              </w:rPr>
            </w:pPr>
            <w:r>
              <w:rPr>
                <w:spacing w:val="-2"/>
                <w:sz w:val="20"/>
              </w:rPr>
              <w:t>45.98</w:t>
            </w:r>
          </w:p>
        </w:tc>
      </w:tr>
      <w:tr>
        <w:trPr>
          <w:trHeight w:val="472" w:hRule="atLeast"/>
        </w:trPr>
        <w:tc>
          <w:tcPr>
            <w:tcW w:w="2350" w:type="dxa"/>
          </w:tcPr>
          <w:p>
            <w:pPr>
              <w:pStyle w:val="TableParagraph"/>
              <w:spacing w:before="116"/>
              <w:ind w:left="11" w:right="3"/>
              <w:rPr>
                <w:sz w:val="20"/>
              </w:rPr>
            </w:pPr>
            <w:r>
              <w:rPr>
                <w:sz w:val="20"/>
              </w:rPr>
              <w:t>N</w:t>
            </w:r>
            <w:r>
              <w:rPr>
                <w:spacing w:val="-3"/>
                <w:sz w:val="20"/>
              </w:rPr>
              <w:t> </w:t>
            </w:r>
            <w:r>
              <w:rPr>
                <w:sz w:val="20"/>
              </w:rPr>
              <w:t>x</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spacing w:before="116"/>
              <w:ind w:right="4"/>
              <w:rPr>
                <w:sz w:val="20"/>
              </w:rPr>
            </w:pPr>
            <w:r>
              <w:rPr>
                <w:spacing w:val="-10"/>
                <w:sz w:val="20"/>
              </w:rPr>
              <w:t>8</w:t>
            </w:r>
          </w:p>
        </w:tc>
        <w:tc>
          <w:tcPr>
            <w:tcW w:w="2352" w:type="dxa"/>
          </w:tcPr>
          <w:p>
            <w:pPr>
              <w:pStyle w:val="TableParagraph"/>
              <w:spacing w:before="116"/>
              <w:ind w:right="2"/>
              <w:rPr>
                <w:sz w:val="20"/>
              </w:rPr>
            </w:pPr>
            <w:r>
              <w:rPr>
                <w:spacing w:val="-2"/>
                <w:sz w:val="20"/>
              </w:rPr>
              <w:t>48.55</w:t>
            </w:r>
          </w:p>
        </w:tc>
        <w:tc>
          <w:tcPr>
            <w:tcW w:w="2349" w:type="dxa"/>
          </w:tcPr>
          <w:p>
            <w:pPr>
              <w:pStyle w:val="TableParagraph"/>
              <w:spacing w:before="116"/>
              <w:ind w:left="14" w:right="2"/>
              <w:rPr>
                <w:sz w:val="20"/>
              </w:rPr>
            </w:pPr>
            <w:r>
              <w:rPr>
                <w:spacing w:val="-2"/>
                <w:sz w:val="20"/>
              </w:rPr>
              <w:t>33.09</w:t>
            </w:r>
          </w:p>
        </w:tc>
      </w:tr>
      <w:tr>
        <w:trPr>
          <w:trHeight w:val="470" w:hRule="atLeast"/>
        </w:trPr>
        <w:tc>
          <w:tcPr>
            <w:tcW w:w="2350" w:type="dxa"/>
          </w:tcPr>
          <w:p>
            <w:pPr>
              <w:pStyle w:val="TableParagraph"/>
              <w:ind w:left="11" w:right="3"/>
              <w:rPr>
                <w:sz w:val="20"/>
              </w:rPr>
            </w:pPr>
            <w:r>
              <w:rPr>
                <w:sz w:val="20"/>
              </w:rPr>
              <w:t>N</w:t>
            </w:r>
            <w:r>
              <w:rPr>
                <w:spacing w:val="-3"/>
                <w:sz w:val="20"/>
              </w:rPr>
              <w:t> </w:t>
            </w:r>
            <w:r>
              <w:rPr>
                <w:sz w:val="20"/>
              </w:rPr>
              <w:t>+</w:t>
            </w:r>
            <w:r>
              <w:rPr>
                <w:spacing w:val="-1"/>
                <w:sz w:val="20"/>
              </w:rPr>
              <w:t> </w:t>
            </w:r>
            <w:r>
              <w:rPr>
                <w:sz w:val="20"/>
              </w:rPr>
              <w:t>P</w:t>
            </w:r>
            <w:r>
              <w:rPr>
                <w:spacing w:val="-2"/>
                <w:sz w:val="20"/>
              </w:rPr>
              <w:t> </w:t>
            </w:r>
            <w:r>
              <w:rPr>
                <w:sz w:val="20"/>
              </w:rPr>
              <w:t>+</w:t>
            </w:r>
            <w:r>
              <w:rPr>
                <w:spacing w:val="-1"/>
                <w:sz w:val="20"/>
              </w:rPr>
              <w:t> </w:t>
            </w:r>
            <w:r>
              <w:rPr>
                <w:spacing w:val="-5"/>
                <w:sz w:val="20"/>
              </w:rPr>
              <w:t>PC2</w:t>
            </w:r>
          </w:p>
        </w:tc>
        <w:tc>
          <w:tcPr>
            <w:tcW w:w="2352" w:type="dxa"/>
          </w:tcPr>
          <w:p>
            <w:pPr>
              <w:pStyle w:val="TableParagraph"/>
              <w:rPr>
                <w:sz w:val="20"/>
              </w:rPr>
            </w:pPr>
            <w:r>
              <w:rPr>
                <w:spacing w:val="-10"/>
                <w:sz w:val="20"/>
              </w:rPr>
              <w:t>7</w:t>
            </w:r>
          </w:p>
        </w:tc>
        <w:tc>
          <w:tcPr>
            <w:tcW w:w="2352" w:type="dxa"/>
          </w:tcPr>
          <w:p>
            <w:pPr>
              <w:pStyle w:val="TableParagraph"/>
              <w:ind w:right="4"/>
              <w:rPr>
                <w:sz w:val="20"/>
              </w:rPr>
            </w:pPr>
            <w:r>
              <w:rPr>
                <w:spacing w:val="-2"/>
                <w:sz w:val="20"/>
              </w:rPr>
              <w:t>41.99</w:t>
            </w:r>
          </w:p>
        </w:tc>
        <w:tc>
          <w:tcPr>
            <w:tcW w:w="2349" w:type="dxa"/>
          </w:tcPr>
          <w:p>
            <w:pPr>
              <w:pStyle w:val="TableParagraph"/>
              <w:ind w:left="14"/>
              <w:rPr>
                <w:sz w:val="20"/>
              </w:rPr>
            </w:pPr>
            <w:r>
              <w:rPr>
                <w:spacing w:val="-2"/>
                <w:sz w:val="20"/>
              </w:rPr>
              <w:t>26.53</w:t>
            </w:r>
          </w:p>
        </w:tc>
      </w:tr>
      <w:tr>
        <w:trPr>
          <w:trHeight w:val="472" w:hRule="atLeast"/>
        </w:trPr>
        <w:tc>
          <w:tcPr>
            <w:tcW w:w="9403" w:type="dxa"/>
            <w:gridSpan w:val="4"/>
          </w:tcPr>
          <w:p>
            <w:pPr>
              <w:pStyle w:val="TableParagraph"/>
              <w:ind w:left="107"/>
              <w:jc w:val="left"/>
              <w:rPr>
                <w:sz w:val="20"/>
              </w:rPr>
            </w:pPr>
            <w:r>
              <w:rPr>
                <w:sz w:val="20"/>
              </w:rPr>
              <w:t>Models</w:t>
            </w:r>
            <w:r>
              <w:rPr>
                <w:spacing w:val="-4"/>
                <w:sz w:val="20"/>
              </w:rPr>
              <w:t> </w:t>
            </w:r>
            <w:r>
              <w:rPr>
                <w:sz w:val="20"/>
              </w:rPr>
              <w:t>without</w:t>
            </w:r>
            <w:r>
              <w:rPr>
                <w:spacing w:val="-6"/>
                <w:sz w:val="20"/>
              </w:rPr>
              <w:t> </w:t>
            </w:r>
            <w:r>
              <w:rPr>
                <w:sz w:val="20"/>
              </w:rPr>
              <w:t>a</w:t>
            </w:r>
            <w:r>
              <w:rPr>
                <w:spacing w:val="-3"/>
                <w:sz w:val="20"/>
              </w:rPr>
              <w:t> </w:t>
            </w:r>
            <w:r>
              <w:rPr>
                <w:sz w:val="20"/>
              </w:rPr>
              <w:t>PC</w:t>
            </w:r>
            <w:r>
              <w:rPr>
                <w:spacing w:val="-5"/>
                <w:sz w:val="20"/>
              </w:rPr>
              <w:t> </w:t>
            </w:r>
            <w:r>
              <w:rPr>
                <w:spacing w:val="-4"/>
                <w:sz w:val="20"/>
              </w:rPr>
              <w:t>axis</w:t>
            </w:r>
          </w:p>
        </w:tc>
      </w:tr>
      <w:tr>
        <w:trPr>
          <w:trHeight w:val="470"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x</w:t>
            </w:r>
            <w:r>
              <w:rPr>
                <w:spacing w:val="-1"/>
                <w:sz w:val="20"/>
              </w:rPr>
              <w:t> </w:t>
            </w:r>
            <w:r>
              <w:rPr>
                <w:sz w:val="20"/>
              </w:rPr>
              <w:t>Tree</w:t>
            </w:r>
            <w:r>
              <w:rPr>
                <w:spacing w:val="-2"/>
                <w:sz w:val="20"/>
              </w:rPr>
              <w:t> </w:t>
            </w:r>
            <w:r>
              <w:rPr>
                <w:spacing w:val="-4"/>
                <w:sz w:val="20"/>
              </w:rPr>
              <w:t>size</w:t>
            </w:r>
          </w:p>
        </w:tc>
        <w:tc>
          <w:tcPr>
            <w:tcW w:w="2352" w:type="dxa"/>
          </w:tcPr>
          <w:p>
            <w:pPr>
              <w:pStyle w:val="TableParagraph"/>
              <w:ind w:right="1"/>
              <w:rPr>
                <w:sz w:val="20"/>
              </w:rPr>
            </w:pPr>
            <w:r>
              <w:rPr>
                <w:spacing w:val="-5"/>
                <w:sz w:val="20"/>
              </w:rPr>
              <w:t>11</w:t>
            </w:r>
          </w:p>
        </w:tc>
        <w:tc>
          <w:tcPr>
            <w:tcW w:w="2352" w:type="dxa"/>
          </w:tcPr>
          <w:p>
            <w:pPr>
              <w:pStyle w:val="TableParagraph"/>
              <w:ind w:right="5"/>
              <w:rPr>
                <w:sz w:val="20"/>
              </w:rPr>
            </w:pPr>
            <w:r>
              <w:rPr>
                <w:spacing w:val="-2"/>
                <w:sz w:val="20"/>
              </w:rPr>
              <w:t>73.93</w:t>
            </w:r>
          </w:p>
        </w:tc>
        <w:tc>
          <w:tcPr>
            <w:tcW w:w="2349" w:type="dxa"/>
          </w:tcPr>
          <w:p>
            <w:pPr>
              <w:pStyle w:val="TableParagraph"/>
              <w:ind w:left="14"/>
              <w:rPr>
                <w:sz w:val="20"/>
              </w:rPr>
            </w:pPr>
            <w:r>
              <w:rPr>
                <w:spacing w:val="-2"/>
                <w:sz w:val="20"/>
              </w:rPr>
              <w:t>58.47</w:t>
            </w:r>
          </w:p>
        </w:tc>
      </w:tr>
      <w:tr>
        <w:trPr>
          <w:trHeight w:val="472" w:hRule="atLeast"/>
        </w:trPr>
        <w:tc>
          <w:tcPr>
            <w:tcW w:w="2350" w:type="dxa"/>
          </w:tcPr>
          <w:p>
            <w:pPr>
              <w:pStyle w:val="TableParagraph"/>
              <w:ind w:left="11" w:right="2"/>
              <w:rPr>
                <w:sz w:val="20"/>
              </w:rPr>
            </w:pPr>
            <w:r>
              <w:rPr>
                <w:sz w:val="20"/>
              </w:rPr>
              <w:t>N</w:t>
            </w:r>
            <w:r>
              <w:rPr>
                <w:spacing w:val="-3"/>
                <w:sz w:val="20"/>
              </w:rPr>
              <w:t> </w:t>
            </w:r>
            <w:r>
              <w:rPr>
                <w:sz w:val="20"/>
              </w:rPr>
              <w:t>x</w:t>
            </w:r>
            <w:r>
              <w:rPr>
                <w:spacing w:val="-2"/>
                <w:sz w:val="20"/>
              </w:rPr>
              <w:t> </w:t>
            </w:r>
            <w:r>
              <w:rPr>
                <w:sz w:val="20"/>
              </w:rPr>
              <w:t>P</w:t>
            </w:r>
            <w:r>
              <w:rPr>
                <w:spacing w:val="-3"/>
                <w:sz w:val="20"/>
              </w:rPr>
              <w:t> </w:t>
            </w:r>
            <w:r>
              <w:rPr>
                <w:sz w:val="20"/>
              </w:rPr>
              <w:t>+</w:t>
            </w:r>
            <w:r>
              <w:rPr>
                <w:spacing w:val="-1"/>
                <w:sz w:val="20"/>
              </w:rPr>
              <w:t> </w:t>
            </w:r>
            <w:r>
              <w:rPr>
                <w:sz w:val="20"/>
              </w:rPr>
              <w:t>Tree</w:t>
            </w:r>
            <w:r>
              <w:rPr>
                <w:spacing w:val="-2"/>
                <w:sz w:val="20"/>
              </w:rPr>
              <w:t> </w:t>
            </w:r>
            <w:r>
              <w:rPr>
                <w:spacing w:val="-4"/>
                <w:sz w:val="20"/>
              </w:rPr>
              <w:t>size</w:t>
            </w:r>
          </w:p>
        </w:tc>
        <w:tc>
          <w:tcPr>
            <w:tcW w:w="2352" w:type="dxa"/>
          </w:tcPr>
          <w:p>
            <w:pPr>
              <w:pStyle w:val="TableParagraph"/>
              <w:ind w:right="4"/>
              <w:rPr>
                <w:sz w:val="20"/>
              </w:rPr>
            </w:pPr>
            <w:r>
              <w:rPr>
                <w:spacing w:val="-10"/>
                <w:sz w:val="20"/>
              </w:rPr>
              <w:t>8</w:t>
            </w:r>
          </w:p>
        </w:tc>
        <w:tc>
          <w:tcPr>
            <w:tcW w:w="2352" w:type="dxa"/>
          </w:tcPr>
          <w:p>
            <w:pPr>
              <w:pStyle w:val="TableParagraph"/>
              <w:ind w:right="5"/>
              <w:rPr>
                <w:sz w:val="20"/>
              </w:rPr>
            </w:pPr>
            <w:r>
              <w:rPr>
                <w:spacing w:val="-2"/>
                <w:sz w:val="20"/>
              </w:rPr>
              <w:t>22.20</w:t>
            </w:r>
          </w:p>
        </w:tc>
        <w:tc>
          <w:tcPr>
            <w:tcW w:w="2349" w:type="dxa"/>
          </w:tcPr>
          <w:p>
            <w:pPr>
              <w:pStyle w:val="TableParagraph"/>
              <w:ind w:left="14" w:right="4"/>
              <w:rPr>
                <w:sz w:val="20"/>
              </w:rPr>
            </w:pPr>
            <w:r>
              <w:rPr>
                <w:spacing w:val="-4"/>
                <w:sz w:val="20"/>
              </w:rPr>
              <w:t>6.74</w:t>
            </w:r>
          </w:p>
        </w:tc>
      </w:tr>
      <w:tr>
        <w:trPr>
          <w:trHeight w:val="470" w:hRule="atLeast"/>
        </w:trPr>
        <w:tc>
          <w:tcPr>
            <w:tcW w:w="2350" w:type="dxa"/>
          </w:tcPr>
          <w:p>
            <w:pPr>
              <w:pStyle w:val="TableParagraph"/>
              <w:ind w:left="11" w:right="4"/>
              <w:rPr>
                <w:b/>
                <w:sz w:val="20"/>
              </w:rPr>
            </w:pPr>
            <w:r>
              <w:rPr>
                <w:b/>
                <w:sz w:val="20"/>
              </w:rPr>
              <w:t>N</w:t>
            </w:r>
            <w:r>
              <w:rPr>
                <w:b/>
                <w:spacing w:val="-2"/>
                <w:sz w:val="20"/>
              </w:rPr>
              <w:t> </w:t>
            </w:r>
            <w:r>
              <w:rPr>
                <w:b/>
                <w:sz w:val="20"/>
              </w:rPr>
              <w:t>+</w:t>
            </w:r>
            <w:r>
              <w:rPr>
                <w:b/>
                <w:spacing w:val="-2"/>
                <w:sz w:val="20"/>
              </w:rPr>
              <w:t> </w:t>
            </w:r>
            <w:r>
              <w:rPr>
                <w:b/>
                <w:sz w:val="20"/>
              </w:rPr>
              <w:t>P</w:t>
            </w:r>
            <w:r>
              <w:rPr>
                <w:b/>
                <w:spacing w:val="-3"/>
                <w:sz w:val="20"/>
              </w:rPr>
              <w:t> </w:t>
            </w:r>
            <w:r>
              <w:rPr>
                <w:b/>
                <w:sz w:val="20"/>
              </w:rPr>
              <w:t>+</w:t>
            </w:r>
            <w:r>
              <w:rPr>
                <w:b/>
                <w:spacing w:val="-2"/>
                <w:sz w:val="20"/>
              </w:rPr>
              <w:t> </w:t>
            </w:r>
            <w:r>
              <w:rPr>
                <w:b/>
                <w:sz w:val="20"/>
              </w:rPr>
              <w:t>Tree</w:t>
            </w:r>
            <w:r>
              <w:rPr>
                <w:b/>
                <w:spacing w:val="-2"/>
                <w:sz w:val="20"/>
              </w:rPr>
              <w:t> </w:t>
            </w:r>
            <w:r>
              <w:rPr>
                <w:b/>
                <w:spacing w:val="-4"/>
                <w:sz w:val="20"/>
              </w:rPr>
              <w:t>size</w:t>
            </w:r>
          </w:p>
        </w:tc>
        <w:tc>
          <w:tcPr>
            <w:tcW w:w="2352" w:type="dxa"/>
          </w:tcPr>
          <w:p>
            <w:pPr>
              <w:pStyle w:val="TableParagraph"/>
              <w:ind w:right="3"/>
              <w:rPr>
                <w:b/>
                <w:sz w:val="20"/>
              </w:rPr>
            </w:pPr>
            <w:r>
              <w:rPr>
                <w:b/>
                <w:spacing w:val="-10"/>
                <w:sz w:val="20"/>
              </w:rPr>
              <w:t>7</w:t>
            </w:r>
          </w:p>
        </w:tc>
        <w:tc>
          <w:tcPr>
            <w:tcW w:w="2352" w:type="dxa"/>
          </w:tcPr>
          <w:p>
            <w:pPr>
              <w:pStyle w:val="TableParagraph"/>
              <w:ind w:right="6"/>
              <w:rPr>
                <w:b/>
                <w:sz w:val="20"/>
              </w:rPr>
            </w:pPr>
            <w:r>
              <w:rPr>
                <w:b/>
                <w:spacing w:val="-2"/>
                <w:sz w:val="20"/>
              </w:rPr>
              <w:t>15.46</w:t>
            </w:r>
          </w:p>
        </w:tc>
        <w:tc>
          <w:tcPr>
            <w:tcW w:w="2349" w:type="dxa"/>
          </w:tcPr>
          <w:p>
            <w:pPr>
              <w:pStyle w:val="TableParagraph"/>
              <w:ind w:left="14"/>
              <w:rPr>
                <w:b/>
                <w:sz w:val="20"/>
              </w:rPr>
            </w:pPr>
            <w:r>
              <w:rPr>
                <w:b/>
                <w:spacing w:val="-4"/>
                <w:sz w:val="20"/>
              </w:rPr>
              <w:t>0.00</w:t>
            </w:r>
          </w:p>
        </w:tc>
      </w:tr>
      <w:tr>
        <w:trPr>
          <w:trHeight w:val="469" w:hRule="atLeast"/>
        </w:trPr>
        <w:tc>
          <w:tcPr>
            <w:tcW w:w="2350" w:type="dxa"/>
          </w:tcPr>
          <w:p>
            <w:pPr>
              <w:pStyle w:val="TableParagraph"/>
              <w:ind w:left="11" w:right="4"/>
              <w:rPr>
                <w:sz w:val="20"/>
              </w:rPr>
            </w:pPr>
            <w:r>
              <w:rPr>
                <w:sz w:val="20"/>
              </w:rPr>
              <w:t>N</w:t>
            </w:r>
            <w:r>
              <w:rPr>
                <w:spacing w:val="-3"/>
                <w:sz w:val="20"/>
              </w:rPr>
              <w:t> </w:t>
            </w:r>
            <w:r>
              <w:rPr>
                <w:sz w:val="20"/>
              </w:rPr>
              <w:t>x</w:t>
            </w:r>
            <w:r>
              <w:rPr>
                <w:spacing w:val="-1"/>
                <w:sz w:val="20"/>
              </w:rPr>
              <w:t> </w:t>
            </w:r>
            <w:r>
              <w:rPr>
                <w:spacing w:val="-10"/>
                <w:sz w:val="20"/>
              </w:rPr>
              <w:t>P</w:t>
            </w:r>
          </w:p>
        </w:tc>
        <w:tc>
          <w:tcPr>
            <w:tcW w:w="2352" w:type="dxa"/>
          </w:tcPr>
          <w:p>
            <w:pPr>
              <w:pStyle w:val="TableParagraph"/>
              <w:rPr>
                <w:sz w:val="20"/>
              </w:rPr>
            </w:pPr>
            <w:r>
              <w:rPr>
                <w:spacing w:val="-10"/>
                <w:sz w:val="20"/>
              </w:rPr>
              <w:t>7</w:t>
            </w:r>
          </w:p>
        </w:tc>
        <w:tc>
          <w:tcPr>
            <w:tcW w:w="2352" w:type="dxa"/>
          </w:tcPr>
          <w:p>
            <w:pPr>
              <w:pStyle w:val="TableParagraph"/>
              <w:ind w:right="4"/>
              <w:rPr>
                <w:sz w:val="20"/>
              </w:rPr>
            </w:pPr>
            <w:r>
              <w:rPr>
                <w:spacing w:val="-2"/>
                <w:sz w:val="20"/>
              </w:rPr>
              <w:t>40.42</w:t>
            </w:r>
          </w:p>
        </w:tc>
        <w:tc>
          <w:tcPr>
            <w:tcW w:w="2349" w:type="dxa"/>
          </w:tcPr>
          <w:p>
            <w:pPr>
              <w:pStyle w:val="TableParagraph"/>
              <w:ind w:left="14" w:right="2"/>
              <w:rPr>
                <w:sz w:val="20"/>
              </w:rPr>
            </w:pPr>
            <w:r>
              <w:rPr>
                <w:spacing w:val="-2"/>
                <w:sz w:val="20"/>
              </w:rPr>
              <w:t>24.97</w:t>
            </w:r>
          </w:p>
        </w:tc>
      </w:tr>
      <w:tr>
        <w:trPr>
          <w:trHeight w:val="472" w:hRule="atLeast"/>
        </w:trPr>
        <w:tc>
          <w:tcPr>
            <w:tcW w:w="2350" w:type="dxa"/>
          </w:tcPr>
          <w:p>
            <w:pPr>
              <w:pStyle w:val="TableParagraph"/>
              <w:spacing w:before="116"/>
              <w:ind w:left="11" w:right="4"/>
              <w:rPr>
                <w:sz w:val="20"/>
              </w:rPr>
            </w:pPr>
            <w:r>
              <w:rPr>
                <w:sz w:val="20"/>
              </w:rPr>
              <w:t>N</w:t>
            </w:r>
            <w:r>
              <w:rPr>
                <w:spacing w:val="-3"/>
                <w:sz w:val="20"/>
              </w:rPr>
              <w:t> </w:t>
            </w:r>
            <w:r>
              <w:rPr>
                <w:sz w:val="20"/>
              </w:rPr>
              <w:t>+</w:t>
            </w:r>
            <w:r>
              <w:rPr>
                <w:spacing w:val="-1"/>
                <w:sz w:val="20"/>
              </w:rPr>
              <w:t> </w:t>
            </w:r>
            <w:r>
              <w:rPr>
                <w:spacing w:val="-10"/>
                <w:sz w:val="20"/>
              </w:rPr>
              <w:t>P</w:t>
            </w:r>
          </w:p>
        </w:tc>
        <w:tc>
          <w:tcPr>
            <w:tcW w:w="2352" w:type="dxa"/>
          </w:tcPr>
          <w:p>
            <w:pPr>
              <w:pStyle w:val="TableParagraph"/>
              <w:spacing w:before="116"/>
              <w:ind w:right="3"/>
              <w:rPr>
                <w:sz w:val="20"/>
              </w:rPr>
            </w:pPr>
            <w:r>
              <w:rPr>
                <w:spacing w:val="-10"/>
                <w:sz w:val="20"/>
              </w:rPr>
              <w:t>6</w:t>
            </w:r>
          </w:p>
        </w:tc>
        <w:tc>
          <w:tcPr>
            <w:tcW w:w="2352" w:type="dxa"/>
          </w:tcPr>
          <w:p>
            <w:pPr>
              <w:pStyle w:val="TableParagraph"/>
              <w:spacing w:before="116"/>
              <w:ind w:right="3"/>
              <w:rPr>
                <w:sz w:val="20"/>
              </w:rPr>
            </w:pPr>
            <w:r>
              <w:rPr>
                <w:spacing w:val="-2"/>
                <w:sz w:val="20"/>
              </w:rPr>
              <w:t>33.86</w:t>
            </w:r>
          </w:p>
        </w:tc>
        <w:tc>
          <w:tcPr>
            <w:tcW w:w="2349" w:type="dxa"/>
          </w:tcPr>
          <w:p>
            <w:pPr>
              <w:pStyle w:val="TableParagraph"/>
              <w:spacing w:before="116"/>
              <w:ind w:left="14" w:right="3"/>
              <w:rPr>
                <w:sz w:val="20"/>
              </w:rPr>
            </w:pPr>
            <w:r>
              <w:rPr>
                <w:spacing w:val="-2"/>
                <w:sz w:val="20"/>
              </w:rPr>
              <w:t>18.40</w:t>
            </w:r>
          </w:p>
        </w:tc>
      </w:tr>
    </w:tbl>
    <w:p>
      <w:pPr>
        <w:pStyle w:val="TableParagraph"/>
        <w:spacing w:after="0"/>
        <w:rPr>
          <w:sz w:val="20"/>
        </w:rPr>
        <w:sectPr>
          <w:pgSz w:w="12240" w:h="15840"/>
          <w:pgMar w:header="0" w:footer="1012" w:top="1220" w:bottom="1200" w:left="850" w:right="850"/>
        </w:sectPr>
      </w:pPr>
    </w:p>
    <w:p>
      <w:pPr>
        <w:spacing w:line="240" w:lineRule="auto"/>
        <w:ind w:left="886" w:right="0" w:firstLine="0"/>
        <w:rPr>
          <w:sz w:val="20"/>
        </w:rPr>
      </w:pPr>
      <w:r>
        <w:rPr>
          <w:sz w:val="20"/>
        </w:rPr>
        <w:drawing>
          <wp:inline distT="0" distB="0" distL="0" distR="0">
            <wp:extent cx="5582420" cy="268233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04" cstate="print"/>
                    <a:stretch>
                      <a:fillRect/>
                    </a:stretch>
                  </pic:blipFill>
                  <pic:spPr>
                    <a:xfrm>
                      <a:off x="0" y="0"/>
                      <a:ext cx="5582420" cy="2682335"/>
                    </a:xfrm>
                    <a:prstGeom prst="rect">
                      <a:avLst/>
                    </a:prstGeom>
                  </pic:spPr>
                </pic:pic>
              </a:graphicData>
            </a:graphic>
          </wp:inline>
        </w:drawing>
      </w:r>
      <w:r>
        <w:rPr>
          <w:sz w:val="20"/>
        </w:rPr>
      </w:r>
    </w:p>
    <w:p>
      <w:pPr>
        <w:spacing w:before="146"/>
        <w:ind w:left="157" w:right="152" w:firstLine="0"/>
        <w:jc w:val="both"/>
        <w:rPr>
          <w:sz w:val="22"/>
        </w:rPr>
      </w:pPr>
      <w:r>
        <w:rPr>
          <w:color w:val="7E7E7E"/>
          <w:sz w:val="22"/>
        </w:rPr>
        <w:t>Fig. S1: Predicted tree growth and SE at the 1000m asl site with confidence interval as a function of initial basal area (BA). Predictions values were extracted from the two best models for the 1000m asl site that consider growth over at least 12 years as a function of the additive effects of nutrients added (N, P), as well as the additive effects of tree functional traits (PC 1 or PC 2) and the additive effect of initial tree size. (a) Model using PC 1. (b) Model using PC 2.</w:t>
      </w:r>
    </w:p>
    <w:p>
      <w:pPr>
        <w:pStyle w:val="BodyText"/>
        <w:spacing w:before="64"/>
        <w:ind w:left="0"/>
        <w:jc w:val="left"/>
        <w:rPr>
          <w:sz w:val="20"/>
        </w:rPr>
      </w:pPr>
      <w:r>
        <w:rPr>
          <w:sz w:val="20"/>
        </w:rPr>
        <w:drawing>
          <wp:anchor distT="0" distB="0" distL="0" distR="0" allowOverlap="1" layoutInCell="1" locked="0" behindDoc="1" simplePos="0" relativeHeight="487592960">
            <wp:simplePos x="0" y="0"/>
            <wp:positionH relativeFrom="page">
              <wp:posOffset>1102465</wp:posOffset>
            </wp:positionH>
            <wp:positionV relativeFrom="paragraph">
              <wp:posOffset>210970</wp:posOffset>
            </wp:positionV>
            <wp:extent cx="5582420" cy="268233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5" cstate="print"/>
                    <a:stretch>
                      <a:fillRect/>
                    </a:stretch>
                  </pic:blipFill>
                  <pic:spPr>
                    <a:xfrm>
                      <a:off x="0" y="0"/>
                      <a:ext cx="5582420" cy="2682335"/>
                    </a:xfrm>
                    <a:prstGeom prst="rect">
                      <a:avLst/>
                    </a:prstGeom>
                  </pic:spPr>
                </pic:pic>
              </a:graphicData>
            </a:graphic>
          </wp:anchor>
        </w:drawing>
      </w:r>
    </w:p>
    <w:p>
      <w:pPr>
        <w:spacing w:line="259" w:lineRule="auto" w:before="140"/>
        <w:ind w:left="157" w:right="151" w:firstLine="0"/>
        <w:jc w:val="both"/>
        <w:rPr>
          <w:sz w:val="22"/>
        </w:rPr>
      </w:pPr>
      <w:r>
        <w:rPr>
          <w:color w:val="7E7E7E"/>
          <w:sz w:val="22"/>
        </w:rPr>
        <w:t>Fig. S2: Predicted tree growth and SE at the 2000m asl site with confidence interval as a function of initial basal area. Predictions values were extracted</w:t>
      </w:r>
      <w:r>
        <w:rPr>
          <w:color w:val="7E7E7E"/>
          <w:spacing w:val="-1"/>
          <w:sz w:val="22"/>
        </w:rPr>
        <w:t> </w:t>
      </w:r>
      <w:r>
        <w:rPr>
          <w:color w:val="7E7E7E"/>
          <w:sz w:val="22"/>
        </w:rPr>
        <w:t>from the two best models for the 2000m asl site</w:t>
      </w:r>
      <w:r>
        <w:rPr>
          <w:color w:val="7E7E7E"/>
          <w:spacing w:val="-1"/>
          <w:sz w:val="22"/>
        </w:rPr>
        <w:t> </w:t>
      </w:r>
      <w:r>
        <w:rPr>
          <w:color w:val="7E7E7E"/>
          <w:sz w:val="22"/>
        </w:rPr>
        <w:t>that consider growth over at least 12 years as a function of the additive effects of nutrients added (N, P), as well as the additive effects of tree functional traits (PC 1 or PC 2) and the additive effect of initial tree size. (a) Model using PC 1. (b) Model using PC 2.</w:t>
      </w:r>
    </w:p>
    <w:p>
      <w:pPr>
        <w:spacing w:after="0" w:line="259" w:lineRule="auto"/>
        <w:jc w:val="both"/>
        <w:rPr>
          <w:sz w:val="22"/>
        </w:rPr>
        <w:sectPr>
          <w:pgSz w:w="12240" w:h="15840"/>
          <w:pgMar w:header="0" w:footer="1012" w:top="1420" w:bottom="1200" w:left="850" w:right="850"/>
        </w:sectPr>
      </w:pPr>
    </w:p>
    <w:p>
      <w:pPr>
        <w:spacing w:line="240" w:lineRule="auto"/>
        <w:ind w:left="886" w:right="0" w:firstLine="0"/>
        <w:rPr>
          <w:sz w:val="20"/>
        </w:rPr>
      </w:pPr>
      <w:r>
        <w:rPr>
          <w:sz w:val="20"/>
        </w:rPr>
        <w:drawing>
          <wp:inline distT="0" distB="0" distL="0" distR="0">
            <wp:extent cx="5581189" cy="268233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6" cstate="print"/>
                    <a:stretch>
                      <a:fillRect/>
                    </a:stretch>
                  </pic:blipFill>
                  <pic:spPr>
                    <a:xfrm>
                      <a:off x="0" y="0"/>
                      <a:ext cx="5581189" cy="2682335"/>
                    </a:xfrm>
                    <a:prstGeom prst="rect">
                      <a:avLst/>
                    </a:prstGeom>
                  </pic:spPr>
                </pic:pic>
              </a:graphicData>
            </a:graphic>
          </wp:inline>
        </w:drawing>
      </w:r>
      <w:r>
        <w:rPr>
          <w:sz w:val="20"/>
        </w:rPr>
      </w:r>
    </w:p>
    <w:p>
      <w:pPr>
        <w:spacing w:before="168"/>
        <w:ind w:left="157" w:right="151" w:firstLine="0"/>
        <w:jc w:val="both"/>
        <w:rPr>
          <w:sz w:val="22"/>
        </w:rPr>
      </w:pPr>
      <w:r>
        <w:rPr>
          <w:color w:val="7E7E7E"/>
          <w:sz w:val="22"/>
        </w:rPr>
        <w:t>Fig. S3: Predicted tree growth and SE at the 3000m asl site with confidence interval as a function of initial basal area. Predictions values were extracted from the two best models for the 3000m asl site that consider growth over at least 12 years as a function of the additive effects of nutrients added (N, P), as well as the additive effects of tree functional traits (PC 1 or PC 2) and the additive effect of initial tree size. (a) Model using PC 1. (b) Model using PC 2.</w:t>
      </w:r>
    </w:p>
    <w:p>
      <w:pPr>
        <w:spacing w:after="0"/>
        <w:jc w:val="both"/>
        <w:rPr>
          <w:sz w:val="22"/>
        </w:rPr>
        <w:sectPr>
          <w:pgSz w:w="12240" w:h="15840"/>
          <w:pgMar w:header="0" w:footer="1012" w:top="1420" w:bottom="1200" w:left="850" w:right="850"/>
        </w:sectPr>
      </w:pPr>
    </w:p>
    <w:p>
      <w:pPr>
        <w:spacing w:line="240" w:lineRule="auto"/>
        <w:ind w:left="158" w:right="0" w:firstLine="0"/>
        <w:rPr>
          <w:sz w:val="20"/>
        </w:rPr>
      </w:pPr>
      <w:r>
        <w:rPr>
          <w:sz w:val="20"/>
        </w:rPr>
        <w:drawing>
          <wp:inline distT="0" distB="0" distL="0" distR="0">
            <wp:extent cx="6407833" cy="16002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7" cstate="print"/>
                    <a:stretch>
                      <a:fillRect/>
                    </a:stretch>
                  </pic:blipFill>
                  <pic:spPr>
                    <a:xfrm>
                      <a:off x="0" y="0"/>
                      <a:ext cx="6407833" cy="1600200"/>
                    </a:xfrm>
                    <a:prstGeom prst="rect">
                      <a:avLst/>
                    </a:prstGeom>
                  </pic:spPr>
                </pic:pic>
              </a:graphicData>
            </a:graphic>
          </wp:inline>
        </w:drawing>
      </w:r>
      <w:r>
        <w:rPr>
          <w:sz w:val="20"/>
        </w:rPr>
      </w:r>
    </w:p>
    <w:p>
      <w:pPr>
        <w:spacing w:before="208"/>
        <w:ind w:left="157" w:right="153" w:firstLine="0"/>
        <w:jc w:val="both"/>
        <w:rPr>
          <w:sz w:val="22"/>
        </w:rPr>
      </w:pPr>
      <w:r>
        <w:rPr>
          <w:color w:val="7E7E7E"/>
          <w:sz w:val="22"/>
        </w:rPr>
        <w:t>Fig. S4: Forest-plot for the estimates in the fitted</w:t>
      </w:r>
      <w:r>
        <w:rPr>
          <w:color w:val="7E7E7E"/>
          <w:spacing w:val="-2"/>
          <w:sz w:val="22"/>
        </w:rPr>
        <w:t> </w:t>
      </w:r>
      <w:r>
        <w:rPr>
          <w:color w:val="7E7E7E"/>
          <w:sz w:val="22"/>
        </w:rPr>
        <w:t>model</w:t>
      </w:r>
      <w:r>
        <w:rPr>
          <w:color w:val="7E7E7E"/>
          <w:spacing w:val="-1"/>
          <w:sz w:val="22"/>
        </w:rPr>
        <w:t> </w:t>
      </w:r>
      <w:r>
        <w:rPr>
          <w:color w:val="7E7E7E"/>
          <w:sz w:val="22"/>
        </w:rPr>
        <w:t>for the</w:t>
      </w:r>
      <w:r>
        <w:rPr>
          <w:color w:val="7E7E7E"/>
          <w:spacing w:val="-1"/>
          <w:sz w:val="22"/>
        </w:rPr>
        <w:t> </w:t>
      </w:r>
      <w:r>
        <w:rPr>
          <w:color w:val="7E7E7E"/>
          <w:sz w:val="22"/>
        </w:rPr>
        <w:t>1000m asl site, with</w:t>
      </w:r>
      <w:r>
        <w:rPr>
          <w:color w:val="7E7E7E"/>
          <w:spacing w:val="-2"/>
          <w:sz w:val="22"/>
        </w:rPr>
        <w:t> </w:t>
      </w:r>
      <w:r>
        <w:rPr>
          <w:color w:val="7E7E7E"/>
          <w:sz w:val="22"/>
        </w:rPr>
        <w:t>means shown by</w:t>
      </w:r>
      <w:r>
        <w:rPr>
          <w:color w:val="7E7E7E"/>
          <w:spacing w:val="-3"/>
          <w:sz w:val="22"/>
        </w:rPr>
        <w:t> </w:t>
      </w:r>
      <w:r>
        <w:rPr>
          <w:color w:val="7E7E7E"/>
          <w:sz w:val="22"/>
        </w:rPr>
        <w:t>points and whiskers representing the 95% confidence interval. Positive</w:t>
      </w:r>
      <w:r>
        <w:rPr>
          <w:color w:val="7E7E7E"/>
          <w:spacing w:val="-1"/>
          <w:sz w:val="22"/>
        </w:rPr>
        <w:t> </w:t>
      </w:r>
      <w:r>
        <w:rPr>
          <w:color w:val="7E7E7E"/>
          <w:sz w:val="22"/>
        </w:rPr>
        <w:t>coefficients are in blue and</w:t>
      </w:r>
      <w:r>
        <w:rPr>
          <w:color w:val="7E7E7E"/>
          <w:spacing w:val="-1"/>
          <w:sz w:val="22"/>
        </w:rPr>
        <w:t> </w:t>
      </w:r>
      <w:r>
        <w:rPr>
          <w:color w:val="7E7E7E"/>
          <w:sz w:val="22"/>
        </w:rPr>
        <w:t>negative</w:t>
      </w:r>
      <w:r>
        <w:rPr>
          <w:color w:val="7E7E7E"/>
          <w:spacing w:val="-1"/>
          <w:sz w:val="22"/>
        </w:rPr>
        <w:t> </w:t>
      </w:r>
      <w:r>
        <w:rPr>
          <w:color w:val="7E7E7E"/>
          <w:sz w:val="22"/>
        </w:rPr>
        <w:t>are in red. (a) Model using PC 1. (b) Model using PC 2. Signif. codes 0 ‘***’ 0.001 ‘**’ 0.01 ‘*’ 0.05 ‘.’ 0.1 ‘ ’ 1</w:t>
      </w:r>
    </w:p>
    <w:p>
      <w:pPr>
        <w:pStyle w:val="BodyText"/>
        <w:spacing w:before="4"/>
        <w:ind w:left="0"/>
        <w:jc w:val="left"/>
        <w:rPr>
          <w:sz w:val="11"/>
        </w:rPr>
      </w:pPr>
      <w:r>
        <w:rPr>
          <w:sz w:val="11"/>
        </w:rPr>
        <w:drawing>
          <wp:anchor distT="0" distB="0" distL="0" distR="0" allowOverlap="1" layoutInCell="1" locked="0" behindDoc="1" simplePos="0" relativeHeight="487593472">
            <wp:simplePos x="0" y="0"/>
            <wp:positionH relativeFrom="page">
              <wp:posOffset>640080</wp:posOffset>
            </wp:positionH>
            <wp:positionV relativeFrom="paragraph">
              <wp:posOffset>103083</wp:posOffset>
            </wp:positionV>
            <wp:extent cx="6403310" cy="16002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08" cstate="print"/>
                    <a:stretch>
                      <a:fillRect/>
                    </a:stretch>
                  </pic:blipFill>
                  <pic:spPr>
                    <a:xfrm>
                      <a:off x="0" y="0"/>
                      <a:ext cx="6403310" cy="1600200"/>
                    </a:xfrm>
                    <a:prstGeom prst="rect">
                      <a:avLst/>
                    </a:prstGeom>
                  </pic:spPr>
                </pic:pic>
              </a:graphicData>
            </a:graphic>
          </wp:anchor>
        </w:drawing>
      </w:r>
    </w:p>
    <w:p>
      <w:pPr>
        <w:spacing w:before="211"/>
        <w:ind w:left="157" w:right="152" w:firstLine="0"/>
        <w:jc w:val="both"/>
        <w:rPr>
          <w:sz w:val="22"/>
        </w:rPr>
      </w:pPr>
      <w:r>
        <w:rPr>
          <w:color w:val="7E7E7E"/>
          <w:sz w:val="22"/>
        </w:rPr>
        <w:t>Fig. S5:</w:t>
      </w:r>
      <w:r>
        <w:rPr>
          <w:color w:val="7E7E7E"/>
          <w:spacing w:val="-3"/>
          <w:sz w:val="22"/>
        </w:rPr>
        <w:t> </w:t>
      </w:r>
      <w:r>
        <w:rPr>
          <w:color w:val="7E7E7E"/>
          <w:sz w:val="22"/>
        </w:rPr>
        <w:t>Forest-plot for</w:t>
      </w:r>
      <w:r>
        <w:rPr>
          <w:color w:val="7E7E7E"/>
          <w:spacing w:val="-1"/>
          <w:sz w:val="22"/>
        </w:rPr>
        <w:t> </w:t>
      </w:r>
      <w:r>
        <w:rPr>
          <w:color w:val="7E7E7E"/>
          <w:sz w:val="22"/>
        </w:rPr>
        <w:t>the</w:t>
      </w:r>
      <w:r>
        <w:rPr>
          <w:color w:val="7E7E7E"/>
          <w:spacing w:val="-1"/>
          <w:sz w:val="22"/>
        </w:rPr>
        <w:t> </w:t>
      </w:r>
      <w:r>
        <w:rPr>
          <w:color w:val="7E7E7E"/>
          <w:sz w:val="22"/>
        </w:rPr>
        <w:t>estimates</w:t>
      </w:r>
      <w:r>
        <w:rPr>
          <w:color w:val="7E7E7E"/>
          <w:spacing w:val="-2"/>
          <w:sz w:val="22"/>
        </w:rPr>
        <w:t> </w:t>
      </w:r>
      <w:r>
        <w:rPr>
          <w:color w:val="7E7E7E"/>
          <w:sz w:val="22"/>
        </w:rPr>
        <w:t>in</w:t>
      </w:r>
      <w:r>
        <w:rPr>
          <w:color w:val="7E7E7E"/>
          <w:spacing w:val="-1"/>
          <w:sz w:val="22"/>
        </w:rPr>
        <w:t> </w:t>
      </w:r>
      <w:r>
        <w:rPr>
          <w:color w:val="7E7E7E"/>
          <w:sz w:val="22"/>
        </w:rPr>
        <w:t>the</w:t>
      </w:r>
      <w:r>
        <w:rPr>
          <w:color w:val="7E7E7E"/>
          <w:spacing w:val="-4"/>
          <w:sz w:val="22"/>
        </w:rPr>
        <w:t> </w:t>
      </w:r>
      <w:r>
        <w:rPr>
          <w:color w:val="7E7E7E"/>
          <w:sz w:val="22"/>
        </w:rPr>
        <w:t>fitted</w:t>
      </w:r>
      <w:r>
        <w:rPr>
          <w:color w:val="7E7E7E"/>
          <w:spacing w:val="-4"/>
          <w:sz w:val="22"/>
        </w:rPr>
        <w:t> </w:t>
      </w:r>
      <w:r>
        <w:rPr>
          <w:color w:val="7E7E7E"/>
          <w:sz w:val="22"/>
        </w:rPr>
        <w:t>model</w:t>
      </w:r>
      <w:r>
        <w:rPr>
          <w:color w:val="7E7E7E"/>
          <w:spacing w:val="-3"/>
          <w:sz w:val="22"/>
        </w:rPr>
        <w:t> </w:t>
      </w:r>
      <w:r>
        <w:rPr>
          <w:color w:val="7E7E7E"/>
          <w:sz w:val="22"/>
        </w:rPr>
        <w:t>for</w:t>
      </w:r>
      <w:r>
        <w:rPr>
          <w:color w:val="7E7E7E"/>
          <w:spacing w:val="-1"/>
          <w:sz w:val="22"/>
        </w:rPr>
        <w:t> </w:t>
      </w:r>
      <w:r>
        <w:rPr>
          <w:color w:val="7E7E7E"/>
          <w:sz w:val="22"/>
        </w:rPr>
        <w:t>the 2000m</w:t>
      </w:r>
      <w:r>
        <w:rPr>
          <w:color w:val="7E7E7E"/>
          <w:spacing w:val="-1"/>
          <w:sz w:val="22"/>
        </w:rPr>
        <w:t> </w:t>
      </w:r>
      <w:r>
        <w:rPr>
          <w:color w:val="7E7E7E"/>
          <w:sz w:val="22"/>
        </w:rPr>
        <w:t>asl</w:t>
      </w:r>
      <w:r>
        <w:rPr>
          <w:color w:val="7E7E7E"/>
          <w:spacing w:val="-1"/>
          <w:sz w:val="22"/>
        </w:rPr>
        <w:t> </w:t>
      </w:r>
      <w:r>
        <w:rPr>
          <w:color w:val="7E7E7E"/>
          <w:sz w:val="22"/>
        </w:rPr>
        <w:t>site, with</w:t>
      </w:r>
      <w:r>
        <w:rPr>
          <w:color w:val="7E7E7E"/>
          <w:spacing w:val="-5"/>
          <w:sz w:val="22"/>
        </w:rPr>
        <w:t> </w:t>
      </w:r>
      <w:r>
        <w:rPr>
          <w:color w:val="7E7E7E"/>
          <w:sz w:val="22"/>
        </w:rPr>
        <w:t>means</w:t>
      </w:r>
      <w:r>
        <w:rPr>
          <w:color w:val="7E7E7E"/>
          <w:spacing w:val="-1"/>
          <w:sz w:val="22"/>
        </w:rPr>
        <w:t> </w:t>
      </w:r>
      <w:r>
        <w:rPr>
          <w:color w:val="7E7E7E"/>
          <w:sz w:val="22"/>
        </w:rPr>
        <w:t>shown by</w:t>
      </w:r>
      <w:r>
        <w:rPr>
          <w:color w:val="7E7E7E"/>
          <w:spacing w:val="-2"/>
          <w:sz w:val="22"/>
        </w:rPr>
        <w:t> </w:t>
      </w:r>
      <w:r>
        <w:rPr>
          <w:color w:val="7E7E7E"/>
          <w:sz w:val="22"/>
        </w:rPr>
        <w:t>points and whiskers representing the 95% confidence interval. Positive</w:t>
      </w:r>
      <w:r>
        <w:rPr>
          <w:color w:val="7E7E7E"/>
          <w:spacing w:val="-1"/>
          <w:sz w:val="22"/>
        </w:rPr>
        <w:t> </w:t>
      </w:r>
      <w:r>
        <w:rPr>
          <w:color w:val="7E7E7E"/>
          <w:sz w:val="22"/>
        </w:rPr>
        <w:t>coefficients are in blue</w:t>
      </w:r>
      <w:r>
        <w:rPr>
          <w:color w:val="7E7E7E"/>
          <w:spacing w:val="-1"/>
          <w:sz w:val="22"/>
        </w:rPr>
        <w:t> </w:t>
      </w:r>
      <w:r>
        <w:rPr>
          <w:color w:val="7E7E7E"/>
          <w:sz w:val="22"/>
        </w:rPr>
        <w:t>and</w:t>
      </w:r>
      <w:r>
        <w:rPr>
          <w:color w:val="7E7E7E"/>
          <w:spacing w:val="-1"/>
          <w:sz w:val="22"/>
        </w:rPr>
        <w:t> </w:t>
      </w:r>
      <w:r>
        <w:rPr>
          <w:color w:val="7E7E7E"/>
          <w:sz w:val="22"/>
        </w:rPr>
        <w:t>negative</w:t>
      </w:r>
      <w:r>
        <w:rPr>
          <w:color w:val="7E7E7E"/>
          <w:spacing w:val="-1"/>
          <w:sz w:val="22"/>
        </w:rPr>
        <w:t> </w:t>
      </w:r>
      <w:r>
        <w:rPr>
          <w:color w:val="7E7E7E"/>
          <w:sz w:val="22"/>
        </w:rPr>
        <w:t>are in red. (a) Model using PC 1. (b) Model using PC 2. Signif. codes 0 ‘***’ 0.001 ‘**’ 0.01 ‘*’ 0.05 ‘.’ 0.1 ‘ ’ 1</w:t>
      </w:r>
    </w:p>
    <w:p>
      <w:pPr>
        <w:pStyle w:val="BodyText"/>
        <w:spacing w:before="2"/>
        <w:ind w:left="0"/>
        <w:jc w:val="left"/>
        <w:rPr>
          <w:sz w:val="11"/>
        </w:rPr>
      </w:pPr>
      <w:r>
        <w:rPr>
          <w:sz w:val="11"/>
        </w:rPr>
        <w:drawing>
          <wp:anchor distT="0" distB="0" distL="0" distR="0" allowOverlap="1" layoutInCell="1" locked="0" behindDoc="1" simplePos="0" relativeHeight="487593984">
            <wp:simplePos x="0" y="0"/>
            <wp:positionH relativeFrom="page">
              <wp:posOffset>640080</wp:posOffset>
            </wp:positionH>
            <wp:positionV relativeFrom="paragraph">
              <wp:posOffset>101813</wp:posOffset>
            </wp:positionV>
            <wp:extent cx="6400800" cy="16002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9" cstate="print"/>
                    <a:stretch>
                      <a:fillRect/>
                    </a:stretch>
                  </pic:blipFill>
                  <pic:spPr>
                    <a:xfrm>
                      <a:off x="0" y="0"/>
                      <a:ext cx="6400800" cy="1600200"/>
                    </a:xfrm>
                    <a:prstGeom prst="rect">
                      <a:avLst/>
                    </a:prstGeom>
                  </pic:spPr>
                </pic:pic>
              </a:graphicData>
            </a:graphic>
          </wp:anchor>
        </w:drawing>
      </w:r>
    </w:p>
    <w:p>
      <w:pPr>
        <w:spacing w:before="213"/>
        <w:ind w:left="157" w:right="152" w:firstLine="0"/>
        <w:jc w:val="both"/>
        <w:rPr>
          <w:sz w:val="22"/>
        </w:rPr>
      </w:pPr>
      <w:r>
        <w:rPr>
          <w:color w:val="7E7E7E"/>
          <w:sz w:val="22"/>
        </w:rPr>
        <w:t>Fig. S6: Forest-plot</w:t>
      </w:r>
      <w:r>
        <w:rPr>
          <w:color w:val="7E7E7E"/>
          <w:spacing w:val="-3"/>
          <w:sz w:val="22"/>
        </w:rPr>
        <w:t> </w:t>
      </w:r>
      <w:r>
        <w:rPr>
          <w:color w:val="7E7E7E"/>
          <w:sz w:val="22"/>
        </w:rPr>
        <w:t>for</w:t>
      </w:r>
      <w:r>
        <w:rPr>
          <w:color w:val="7E7E7E"/>
          <w:spacing w:val="-1"/>
          <w:sz w:val="22"/>
        </w:rPr>
        <w:t> </w:t>
      </w:r>
      <w:r>
        <w:rPr>
          <w:color w:val="7E7E7E"/>
          <w:sz w:val="22"/>
        </w:rPr>
        <w:t>the</w:t>
      </w:r>
      <w:r>
        <w:rPr>
          <w:color w:val="7E7E7E"/>
          <w:spacing w:val="-1"/>
          <w:sz w:val="22"/>
        </w:rPr>
        <w:t> </w:t>
      </w:r>
      <w:r>
        <w:rPr>
          <w:color w:val="7E7E7E"/>
          <w:sz w:val="22"/>
        </w:rPr>
        <w:t>estimates</w:t>
      </w:r>
      <w:r>
        <w:rPr>
          <w:color w:val="7E7E7E"/>
          <w:spacing w:val="-2"/>
          <w:sz w:val="22"/>
        </w:rPr>
        <w:t> </w:t>
      </w:r>
      <w:r>
        <w:rPr>
          <w:color w:val="7E7E7E"/>
          <w:sz w:val="22"/>
        </w:rPr>
        <w:t>in</w:t>
      </w:r>
      <w:r>
        <w:rPr>
          <w:color w:val="7E7E7E"/>
          <w:spacing w:val="-3"/>
          <w:sz w:val="22"/>
        </w:rPr>
        <w:t> </w:t>
      </w:r>
      <w:r>
        <w:rPr>
          <w:color w:val="7E7E7E"/>
          <w:sz w:val="22"/>
        </w:rPr>
        <w:t>the</w:t>
      </w:r>
      <w:r>
        <w:rPr>
          <w:color w:val="7E7E7E"/>
          <w:spacing w:val="-1"/>
          <w:sz w:val="22"/>
        </w:rPr>
        <w:t> </w:t>
      </w:r>
      <w:r>
        <w:rPr>
          <w:color w:val="7E7E7E"/>
          <w:sz w:val="22"/>
        </w:rPr>
        <w:t>fitted</w:t>
      </w:r>
      <w:r>
        <w:rPr>
          <w:color w:val="7E7E7E"/>
          <w:spacing w:val="-2"/>
          <w:sz w:val="22"/>
        </w:rPr>
        <w:t> </w:t>
      </w:r>
      <w:r>
        <w:rPr>
          <w:color w:val="7E7E7E"/>
          <w:sz w:val="22"/>
        </w:rPr>
        <w:t>model</w:t>
      </w:r>
      <w:r>
        <w:rPr>
          <w:color w:val="7E7E7E"/>
          <w:spacing w:val="-3"/>
          <w:sz w:val="22"/>
        </w:rPr>
        <w:t> </w:t>
      </w:r>
      <w:r>
        <w:rPr>
          <w:color w:val="7E7E7E"/>
          <w:sz w:val="22"/>
        </w:rPr>
        <w:t>for</w:t>
      </w:r>
      <w:r>
        <w:rPr>
          <w:color w:val="7E7E7E"/>
          <w:spacing w:val="-4"/>
          <w:sz w:val="22"/>
        </w:rPr>
        <w:t> </w:t>
      </w:r>
      <w:r>
        <w:rPr>
          <w:color w:val="7E7E7E"/>
          <w:sz w:val="22"/>
        </w:rPr>
        <w:t>the 3000m</w:t>
      </w:r>
      <w:r>
        <w:rPr>
          <w:color w:val="7E7E7E"/>
          <w:spacing w:val="-1"/>
          <w:sz w:val="22"/>
        </w:rPr>
        <w:t> </w:t>
      </w:r>
      <w:r>
        <w:rPr>
          <w:color w:val="7E7E7E"/>
          <w:sz w:val="22"/>
        </w:rPr>
        <w:t>asl</w:t>
      </w:r>
      <w:r>
        <w:rPr>
          <w:color w:val="7E7E7E"/>
          <w:spacing w:val="-1"/>
          <w:sz w:val="22"/>
        </w:rPr>
        <w:t> </w:t>
      </w:r>
      <w:r>
        <w:rPr>
          <w:color w:val="7E7E7E"/>
          <w:sz w:val="22"/>
        </w:rPr>
        <w:t>site, with</w:t>
      </w:r>
      <w:r>
        <w:rPr>
          <w:color w:val="7E7E7E"/>
          <w:spacing w:val="-2"/>
          <w:sz w:val="22"/>
        </w:rPr>
        <w:t> </w:t>
      </w:r>
      <w:r>
        <w:rPr>
          <w:color w:val="7E7E7E"/>
          <w:sz w:val="22"/>
        </w:rPr>
        <w:t>means</w:t>
      </w:r>
      <w:r>
        <w:rPr>
          <w:color w:val="7E7E7E"/>
          <w:spacing w:val="-2"/>
          <w:sz w:val="22"/>
        </w:rPr>
        <w:t> </w:t>
      </w:r>
      <w:r>
        <w:rPr>
          <w:color w:val="7E7E7E"/>
          <w:sz w:val="22"/>
        </w:rPr>
        <w:t>shown</w:t>
      </w:r>
      <w:r>
        <w:rPr>
          <w:color w:val="7E7E7E"/>
          <w:spacing w:val="-1"/>
          <w:sz w:val="22"/>
        </w:rPr>
        <w:t> </w:t>
      </w:r>
      <w:r>
        <w:rPr>
          <w:color w:val="7E7E7E"/>
          <w:sz w:val="22"/>
        </w:rPr>
        <w:t>by</w:t>
      </w:r>
      <w:r>
        <w:rPr>
          <w:color w:val="7E7E7E"/>
          <w:spacing w:val="-4"/>
          <w:sz w:val="22"/>
        </w:rPr>
        <w:t> </w:t>
      </w:r>
      <w:r>
        <w:rPr>
          <w:color w:val="7E7E7E"/>
          <w:sz w:val="22"/>
        </w:rPr>
        <w:t>points and whiskers representing the 95% confidence interval. Positive</w:t>
      </w:r>
      <w:r>
        <w:rPr>
          <w:color w:val="7E7E7E"/>
          <w:spacing w:val="-1"/>
          <w:sz w:val="22"/>
        </w:rPr>
        <w:t> </w:t>
      </w:r>
      <w:r>
        <w:rPr>
          <w:color w:val="7E7E7E"/>
          <w:sz w:val="22"/>
        </w:rPr>
        <w:t>coefficients are in blue</w:t>
      </w:r>
      <w:r>
        <w:rPr>
          <w:color w:val="7E7E7E"/>
          <w:spacing w:val="-1"/>
          <w:sz w:val="22"/>
        </w:rPr>
        <w:t> </w:t>
      </w:r>
      <w:r>
        <w:rPr>
          <w:color w:val="7E7E7E"/>
          <w:sz w:val="22"/>
        </w:rPr>
        <w:t>and</w:t>
      </w:r>
      <w:r>
        <w:rPr>
          <w:color w:val="7E7E7E"/>
          <w:spacing w:val="-1"/>
          <w:sz w:val="22"/>
        </w:rPr>
        <w:t> </w:t>
      </w:r>
      <w:r>
        <w:rPr>
          <w:color w:val="7E7E7E"/>
          <w:sz w:val="22"/>
        </w:rPr>
        <w:t>negative</w:t>
      </w:r>
      <w:r>
        <w:rPr>
          <w:color w:val="7E7E7E"/>
          <w:spacing w:val="-1"/>
          <w:sz w:val="22"/>
        </w:rPr>
        <w:t> </w:t>
      </w:r>
      <w:r>
        <w:rPr>
          <w:color w:val="7E7E7E"/>
          <w:sz w:val="22"/>
        </w:rPr>
        <w:t>are in red. (a) Model using PC 1. (b) Model using PC 2. Signif. codes 0 ‘***’ 0.001 ‘**’ 0.01 ‘*’ 0.05 ‘.’ 0.1 ‘ ’ 1</w:t>
      </w:r>
    </w:p>
    <w:p>
      <w:pPr>
        <w:spacing w:after="0"/>
        <w:jc w:val="both"/>
        <w:rPr>
          <w:sz w:val="22"/>
        </w:rPr>
        <w:sectPr>
          <w:pgSz w:w="12240" w:h="15840"/>
          <w:pgMar w:header="0" w:footer="1012" w:top="1260" w:bottom="1200" w:left="850" w:right="850"/>
        </w:sectPr>
      </w:pPr>
    </w:p>
    <w:p>
      <w:pPr>
        <w:spacing w:line="240" w:lineRule="auto"/>
        <w:ind w:left="2977" w:right="0" w:firstLine="0"/>
        <w:rPr>
          <w:sz w:val="20"/>
        </w:rPr>
      </w:pPr>
      <w:r>
        <w:rPr>
          <w:sz w:val="20"/>
        </w:rPr>
        <w:drawing>
          <wp:inline distT="0" distB="0" distL="0" distR="0">
            <wp:extent cx="2917354" cy="369779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10" cstate="print"/>
                    <a:stretch>
                      <a:fillRect/>
                    </a:stretch>
                  </pic:blipFill>
                  <pic:spPr>
                    <a:xfrm>
                      <a:off x="0" y="0"/>
                      <a:ext cx="2917354" cy="3697795"/>
                    </a:xfrm>
                    <a:prstGeom prst="rect">
                      <a:avLst/>
                    </a:prstGeom>
                  </pic:spPr>
                </pic:pic>
              </a:graphicData>
            </a:graphic>
          </wp:inline>
        </w:drawing>
      </w:r>
      <w:r>
        <w:rPr>
          <w:sz w:val="20"/>
        </w:rPr>
      </w:r>
    </w:p>
    <w:p>
      <w:pPr>
        <w:pStyle w:val="BodyText"/>
        <w:spacing w:before="18"/>
        <w:ind w:left="0"/>
        <w:jc w:val="left"/>
        <w:rPr>
          <w:sz w:val="22"/>
        </w:rPr>
      </w:pPr>
    </w:p>
    <w:p>
      <w:pPr>
        <w:spacing w:before="0"/>
        <w:ind w:left="157" w:right="151" w:firstLine="0"/>
        <w:jc w:val="both"/>
        <w:rPr>
          <w:sz w:val="22"/>
        </w:rPr>
      </w:pPr>
      <w:r>
        <w:rPr>
          <w:color w:val="A6A6A6"/>
          <w:sz w:val="22"/>
        </w:rPr>
        <w:t>Fig. S7: Probabilistic principal component analysis (PPCA) from left to right of 352 grouped species traits across three elevations: the 1000m asl site at Bombuscaro, Ecuador; the 2000m asl site at the Reserva San Francisco, Ecuador; and the 3000m asl site at Cajanuma, Ecuador. Tree species that are represented inside the NuMEx plots are visualized as blue circles. Ten functional traits were included in the PPCAs: foliar nitrogen (N) and foliar phosphor (P) concentrations, leaf area (LA), leaf toughness (LT), specific leaf area (SLA), bark thickness (BT), sapwood-specific conductivity (KS), stem vessel density (VDens), stem vessel diameter (VDia), and wood-specific gravity (WSG).</w:t>
      </w:r>
    </w:p>
    <w:p>
      <w:pPr>
        <w:spacing w:after="0"/>
        <w:jc w:val="both"/>
        <w:rPr>
          <w:sz w:val="22"/>
        </w:rPr>
        <w:sectPr>
          <w:pgSz w:w="12240" w:h="15840"/>
          <w:pgMar w:header="0" w:footer="1012" w:top="1320" w:bottom="1200" w:left="850" w:right="850"/>
        </w:sectPr>
      </w:pPr>
    </w:p>
    <w:p>
      <w:pPr>
        <w:spacing w:line="240" w:lineRule="auto"/>
        <w:ind w:left="1736" w:right="0" w:firstLine="0"/>
        <w:rPr>
          <w:sz w:val="20"/>
        </w:rPr>
      </w:pPr>
      <w:r>
        <w:rPr>
          <w:sz w:val="20"/>
        </w:rPr>
        <w:drawing>
          <wp:inline distT="0" distB="0" distL="0" distR="0">
            <wp:extent cx="4565904" cy="460857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11" cstate="print"/>
                    <a:stretch>
                      <a:fillRect/>
                    </a:stretch>
                  </pic:blipFill>
                  <pic:spPr>
                    <a:xfrm>
                      <a:off x="0" y="0"/>
                      <a:ext cx="4565904" cy="4608576"/>
                    </a:xfrm>
                    <a:prstGeom prst="rect">
                      <a:avLst/>
                    </a:prstGeom>
                  </pic:spPr>
                </pic:pic>
              </a:graphicData>
            </a:graphic>
          </wp:inline>
        </w:drawing>
      </w:r>
      <w:r>
        <w:rPr>
          <w:sz w:val="20"/>
        </w:rPr>
      </w:r>
    </w:p>
    <w:p>
      <w:pPr>
        <w:spacing w:line="240" w:lineRule="auto" w:before="131"/>
        <w:ind w:left="157" w:right="151" w:firstLine="0"/>
        <w:jc w:val="both"/>
        <w:rPr>
          <w:sz w:val="22"/>
        </w:rPr>
      </w:pPr>
      <w:r>
        <w:rPr>
          <w:color w:val="7E7E7E"/>
          <w:sz w:val="22"/>
        </w:rPr>
        <w:t>Fig. S8: Estimated two-dimensional hypervolumes for the three elevations inside the study area of the NuMEx project in the tropical montane forest in south Ecuador listed in the bottom left inset shown as</w:t>
      </w:r>
      <w:r>
        <w:rPr>
          <w:color w:val="7E7E7E"/>
          <w:spacing w:val="40"/>
          <w:sz w:val="22"/>
        </w:rPr>
        <w:t> </w:t>
      </w:r>
      <w:r>
        <w:rPr>
          <w:color w:val="7E7E7E"/>
          <w:sz w:val="22"/>
        </w:rPr>
        <w:t>pair plots. Variables have not been transformed as they share the same scale. The coloured points for each elevation reflect the stochastic description of each hypervolume, i.e., random points sampled from the inferred hypervolume, rather than original observations. The inset shows all possible pairwise overlaps between site pairs, i.e., the overlap between the trait space (as derived from the PC axis) of each one site to another (calculated as 2 × shared volume/summed volume). The hypervolume considers only species situated inside NuMEx plots.</w:t>
      </w:r>
    </w:p>
    <w:sectPr>
      <w:pgSz w:w="12240" w:h="15840"/>
      <w:pgMar w:header="0" w:footer="1012" w:top="1700" w:bottom="12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nstantia">
    <w:altName w:val="Constanti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29536">
              <wp:simplePos x="0" y="0"/>
              <wp:positionH relativeFrom="page">
                <wp:posOffset>3802760</wp:posOffset>
              </wp:positionH>
              <wp:positionV relativeFrom="page">
                <wp:posOffset>9275774</wp:posOffset>
              </wp:positionV>
              <wp:extent cx="1689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29993pt;margin-top:730.375977pt;width:13.3pt;height:13.05pt;mso-position-horizontal-relative:page;mso-position-vertical-relative:page;z-index:-16786944"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78" w:hanging="360"/>
        <w:jc w:val="left"/>
      </w:pPr>
      <w:rPr>
        <w:rFonts w:hint="default"/>
        <w:spacing w:val="0"/>
        <w:w w:val="100"/>
        <w:lang w:val="de-DE" w:eastAsia="en-US" w:bidi="ar-SA"/>
      </w:rPr>
    </w:lvl>
    <w:lvl w:ilvl="1">
      <w:start w:val="0"/>
      <w:numFmt w:val="bullet"/>
      <w:lvlText w:val="•"/>
      <w:lvlJc w:val="left"/>
      <w:pPr>
        <w:ind w:left="1846" w:hanging="360"/>
      </w:pPr>
      <w:rPr>
        <w:rFonts w:hint="default"/>
        <w:lang w:val="de-DE" w:eastAsia="en-US" w:bidi="ar-SA"/>
      </w:rPr>
    </w:lvl>
    <w:lvl w:ilvl="2">
      <w:start w:val="0"/>
      <w:numFmt w:val="bullet"/>
      <w:lvlText w:val="•"/>
      <w:lvlJc w:val="left"/>
      <w:pPr>
        <w:ind w:left="2812" w:hanging="360"/>
      </w:pPr>
      <w:rPr>
        <w:rFonts w:hint="default"/>
        <w:lang w:val="de-DE" w:eastAsia="en-US" w:bidi="ar-SA"/>
      </w:rPr>
    </w:lvl>
    <w:lvl w:ilvl="3">
      <w:start w:val="0"/>
      <w:numFmt w:val="bullet"/>
      <w:lvlText w:val="•"/>
      <w:lvlJc w:val="left"/>
      <w:pPr>
        <w:ind w:left="3778" w:hanging="360"/>
      </w:pPr>
      <w:rPr>
        <w:rFonts w:hint="default"/>
        <w:lang w:val="de-DE" w:eastAsia="en-US" w:bidi="ar-SA"/>
      </w:rPr>
    </w:lvl>
    <w:lvl w:ilvl="4">
      <w:start w:val="0"/>
      <w:numFmt w:val="bullet"/>
      <w:lvlText w:val="•"/>
      <w:lvlJc w:val="left"/>
      <w:pPr>
        <w:ind w:left="4744" w:hanging="360"/>
      </w:pPr>
      <w:rPr>
        <w:rFonts w:hint="default"/>
        <w:lang w:val="de-DE" w:eastAsia="en-US" w:bidi="ar-SA"/>
      </w:rPr>
    </w:lvl>
    <w:lvl w:ilvl="5">
      <w:start w:val="0"/>
      <w:numFmt w:val="bullet"/>
      <w:lvlText w:val="•"/>
      <w:lvlJc w:val="left"/>
      <w:pPr>
        <w:ind w:left="5710" w:hanging="360"/>
      </w:pPr>
      <w:rPr>
        <w:rFonts w:hint="default"/>
        <w:lang w:val="de-DE" w:eastAsia="en-US" w:bidi="ar-SA"/>
      </w:rPr>
    </w:lvl>
    <w:lvl w:ilvl="6">
      <w:start w:val="0"/>
      <w:numFmt w:val="bullet"/>
      <w:lvlText w:val="•"/>
      <w:lvlJc w:val="left"/>
      <w:pPr>
        <w:ind w:left="6676" w:hanging="360"/>
      </w:pPr>
      <w:rPr>
        <w:rFonts w:hint="default"/>
        <w:lang w:val="de-DE" w:eastAsia="en-US" w:bidi="ar-SA"/>
      </w:rPr>
    </w:lvl>
    <w:lvl w:ilvl="7">
      <w:start w:val="0"/>
      <w:numFmt w:val="bullet"/>
      <w:lvlText w:val="•"/>
      <w:lvlJc w:val="left"/>
      <w:pPr>
        <w:ind w:left="7642" w:hanging="360"/>
      </w:pPr>
      <w:rPr>
        <w:rFonts w:hint="default"/>
        <w:lang w:val="de-DE" w:eastAsia="en-US" w:bidi="ar-SA"/>
      </w:rPr>
    </w:lvl>
    <w:lvl w:ilvl="8">
      <w:start w:val="0"/>
      <w:numFmt w:val="bullet"/>
      <w:lvlText w:val="•"/>
      <w:lvlJc w:val="left"/>
      <w:pPr>
        <w:ind w:left="8608" w:hanging="360"/>
      </w:pPr>
      <w:rPr>
        <w:rFonts w:hint="default"/>
        <w:lang w:val="de-DE"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tantia" w:hAnsi="Constantia" w:eastAsia="Constantia" w:cs="Constantia"/>
      <w:lang w:val="de-DE" w:eastAsia="en-US" w:bidi="ar-SA"/>
    </w:rPr>
  </w:style>
  <w:style w:styleId="TOC1" w:type="paragraph">
    <w:name w:val="TOC 1"/>
    <w:basedOn w:val="Normal"/>
    <w:uiPriority w:val="1"/>
    <w:qFormat/>
    <w:pPr>
      <w:spacing w:before="135"/>
      <w:ind w:left="157"/>
    </w:pPr>
    <w:rPr>
      <w:rFonts w:ascii="Constantia" w:hAnsi="Constantia" w:eastAsia="Constantia" w:cs="Constantia"/>
      <w:sz w:val="22"/>
      <w:szCs w:val="22"/>
      <w:lang w:val="de-DE" w:eastAsia="en-US" w:bidi="ar-SA"/>
    </w:rPr>
  </w:style>
  <w:style w:styleId="TOC2" w:type="paragraph">
    <w:name w:val="TOC 2"/>
    <w:basedOn w:val="Normal"/>
    <w:uiPriority w:val="1"/>
    <w:qFormat/>
    <w:pPr>
      <w:spacing w:before="134"/>
      <w:ind w:left="379"/>
    </w:pPr>
    <w:rPr>
      <w:rFonts w:ascii="Constantia" w:hAnsi="Constantia" w:eastAsia="Constantia" w:cs="Constantia"/>
      <w:sz w:val="22"/>
      <w:szCs w:val="22"/>
      <w:lang w:val="de-DE" w:eastAsia="en-US" w:bidi="ar-SA"/>
    </w:rPr>
  </w:style>
  <w:style w:styleId="TOC3" w:type="paragraph">
    <w:name w:val="TOC 3"/>
    <w:basedOn w:val="Normal"/>
    <w:uiPriority w:val="1"/>
    <w:qFormat/>
    <w:pPr>
      <w:spacing w:before="134"/>
      <w:ind w:left="597"/>
    </w:pPr>
    <w:rPr>
      <w:rFonts w:ascii="Constantia" w:hAnsi="Constantia" w:eastAsia="Constantia" w:cs="Constantia"/>
      <w:sz w:val="22"/>
      <w:szCs w:val="22"/>
      <w:lang w:val="de-DE" w:eastAsia="en-US" w:bidi="ar-SA"/>
    </w:rPr>
  </w:style>
  <w:style w:styleId="BodyText" w:type="paragraph">
    <w:name w:val="Body Text"/>
    <w:basedOn w:val="Normal"/>
    <w:uiPriority w:val="1"/>
    <w:qFormat/>
    <w:pPr>
      <w:ind w:left="157"/>
      <w:jc w:val="both"/>
    </w:pPr>
    <w:rPr>
      <w:rFonts w:ascii="Constantia" w:hAnsi="Constantia" w:eastAsia="Constantia" w:cs="Constantia"/>
      <w:sz w:val="24"/>
      <w:szCs w:val="24"/>
      <w:lang w:val="de-DE" w:eastAsia="en-US" w:bidi="ar-SA"/>
    </w:rPr>
  </w:style>
  <w:style w:styleId="Heading1" w:type="paragraph">
    <w:name w:val="Heading 1"/>
    <w:basedOn w:val="Normal"/>
    <w:uiPriority w:val="1"/>
    <w:qFormat/>
    <w:pPr>
      <w:spacing w:before="17"/>
      <w:ind w:left="157"/>
      <w:outlineLvl w:val="1"/>
    </w:pPr>
    <w:rPr>
      <w:rFonts w:ascii="Calibri Light" w:hAnsi="Calibri Light" w:eastAsia="Calibri Light" w:cs="Calibri Light"/>
      <w:sz w:val="32"/>
      <w:szCs w:val="32"/>
      <w:lang w:val="de-DE" w:eastAsia="en-US" w:bidi="ar-SA"/>
    </w:rPr>
  </w:style>
  <w:style w:styleId="Heading2" w:type="paragraph">
    <w:name w:val="Heading 2"/>
    <w:basedOn w:val="Normal"/>
    <w:uiPriority w:val="1"/>
    <w:qFormat/>
    <w:pPr>
      <w:spacing w:before="17"/>
      <w:ind w:left="157"/>
      <w:outlineLvl w:val="2"/>
    </w:pPr>
    <w:rPr>
      <w:rFonts w:ascii="Calibri Light" w:hAnsi="Calibri Light" w:eastAsia="Calibri Light" w:cs="Calibri Light"/>
      <w:sz w:val="26"/>
      <w:szCs w:val="26"/>
      <w:lang w:val="de-DE" w:eastAsia="en-US" w:bidi="ar-SA"/>
    </w:rPr>
  </w:style>
  <w:style w:styleId="Heading3" w:type="paragraph">
    <w:name w:val="Heading 3"/>
    <w:basedOn w:val="Normal"/>
    <w:uiPriority w:val="1"/>
    <w:qFormat/>
    <w:pPr>
      <w:ind w:left="207" w:right="205"/>
      <w:jc w:val="center"/>
      <w:outlineLvl w:val="3"/>
    </w:pPr>
    <w:rPr>
      <w:rFonts w:ascii="Arial" w:hAnsi="Arial" w:eastAsia="Arial" w:cs="Arial"/>
      <w:b/>
      <w:bCs/>
      <w:sz w:val="24"/>
      <w:szCs w:val="24"/>
      <w:lang w:val="de-DE" w:eastAsia="en-US" w:bidi="ar-SA"/>
    </w:rPr>
  </w:style>
  <w:style w:styleId="Title" w:type="paragraph">
    <w:name w:val="Title"/>
    <w:basedOn w:val="Normal"/>
    <w:uiPriority w:val="1"/>
    <w:qFormat/>
    <w:pPr>
      <w:ind w:left="759" w:right="167"/>
      <w:jc w:val="center"/>
    </w:pPr>
    <w:rPr>
      <w:rFonts w:ascii="Constantia" w:hAnsi="Constantia" w:eastAsia="Constantia" w:cs="Constantia"/>
      <w:sz w:val="56"/>
      <w:szCs w:val="56"/>
      <w:lang w:val="de-DE" w:eastAsia="en-US" w:bidi="ar-SA"/>
    </w:rPr>
  </w:style>
  <w:style w:styleId="ListParagraph" w:type="paragraph">
    <w:name w:val="List Paragraph"/>
    <w:basedOn w:val="Normal"/>
    <w:uiPriority w:val="1"/>
    <w:qFormat/>
    <w:pPr>
      <w:ind w:left="878" w:right="153" w:hanging="360"/>
      <w:jc w:val="both"/>
    </w:pPr>
    <w:rPr>
      <w:rFonts w:ascii="Constantia" w:hAnsi="Constantia" w:eastAsia="Constantia" w:cs="Constantia"/>
      <w:lang w:val="de-DE" w:eastAsia="en-US" w:bidi="ar-SA"/>
    </w:rPr>
  </w:style>
  <w:style w:styleId="TableParagraph" w:type="paragraph">
    <w:name w:val="Table Paragraph"/>
    <w:basedOn w:val="Normal"/>
    <w:uiPriority w:val="1"/>
    <w:qFormat/>
    <w:pPr>
      <w:spacing w:before="114"/>
      <w:ind w:left="10"/>
      <w:jc w:val="center"/>
    </w:pPr>
    <w:rPr>
      <w:rFonts w:ascii="Constantia" w:hAnsi="Constantia" w:eastAsia="Constantia" w:cs="Constantia"/>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hyperlink" Target="https://doi.org/10.1890/12-2128.1" TargetMode="External"/><Relationship Id="rId22" Type="http://schemas.openxmlformats.org/officeDocument/2006/relationships/hyperlink" Target="https://doi.org/10.1111/gcb.13905" TargetMode="External"/><Relationship Id="rId23" Type="http://schemas.openxmlformats.org/officeDocument/2006/relationships/hyperlink" Target="https://doi.org/10.1111/j.1365-2745.2012.01966.x" TargetMode="External"/><Relationship Id="rId24" Type="http://schemas.openxmlformats.org/officeDocument/2006/relationships/hyperlink" Target="https://doi.org/10.1111/j.1365-2435.2009.01600.x" TargetMode="External"/><Relationship Id="rId25" Type="http://schemas.openxmlformats.org/officeDocument/2006/relationships/hyperlink" Target="https://doi.org/10.3112/erdkunde.2007.04.01" TargetMode="External"/><Relationship Id="rId26" Type="http://schemas.openxmlformats.org/officeDocument/2006/relationships/hyperlink" Target="https://doi.org/10.18637/jss.v067.i01" TargetMode="External"/><Relationship Id="rId27" Type="http://schemas.openxmlformats.org/officeDocument/2006/relationships/hyperlink" Target="https://doi.org/10.1007/978-3-540-73526-7_1" TargetMode="External"/><Relationship Id="rId28" Type="http://schemas.openxmlformats.org/officeDocument/2006/relationships/hyperlink" Target="https://doi.org/10.1007/978-3-642-38137-9_23" TargetMode="External"/><Relationship Id="rId29" Type="http://schemas.openxmlformats.org/officeDocument/2006/relationships/hyperlink" Target="http://www.TropicalMountainForest.org/" TargetMode="External"/><Relationship Id="rId30" Type="http://schemas.openxmlformats.org/officeDocument/2006/relationships/hyperlink" Target="https://cran.r-project.org/package%3Dhypervolume" TargetMode="External"/><Relationship Id="rId31" Type="http://schemas.openxmlformats.org/officeDocument/2006/relationships/hyperlink" Target="https://doi.org/10.1111/geb.12146" TargetMode="External"/><Relationship Id="rId32" Type="http://schemas.openxmlformats.org/officeDocument/2006/relationships/hyperlink" Target="https://doi.org/10.1073/pnas.1012878108" TargetMode="External"/><Relationship Id="rId33" Type="http://schemas.openxmlformats.org/officeDocument/2006/relationships/hyperlink" Target="https://doi.org/10.1029/2007GB003158" TargetMode="External"/><Relationship Id="rId34" Type="http://schemas.openxmlformats.org/officeDocument/2006/relationships/hyperlink" Target="http://www.jstor.org/stable/3588969" TargetMode="External"/><Relationship Id="rId35" Type="http://schemas.openxmlformats.org/officeDocument/2006/relationships/hyperlink" Target="https://doi.org/10.1111/btp.12518" TargetMode="External"/><Relationship Id="rId36" Type="http://schemas.openxmlformats.org/officeDocument/2006/relationships/hyperlink" Target="https://doi.org/10.3389/feart.2015.00075" TargetMode="External"/><Relationship Id="rId37" Type="http://schemas.openxmlformats.org/officeDocument/2006/relationships/hyperlink" Target="https://doi.org/10.1086/707141" TargetMode="External"/><Relationship Id="rId38" Type="http://schemas.openxmlformats.org/officeDocument/2006/relationships/hyperlink" Target="https://doi.org/10.1017/S0266467415000619" TargetMode="External"/><Relationship Id="rId39" Type="http://schemas.openxmlformats.org/officeDocument/2006/relationships/hyperlink" Target="https://doi.org/10.1002/ece3.601" TargetMode="External"/><Relationship Id="rId40" Type="http://schemas.openxmlformats.org/officeDocument/2006/relationships/hyperlink" Target="https://doi.org/10.3389/feart.2016.00012" TargetMode="External"/><Relationship Id="rId41" Type="http://schemas.openxmlformats.org/officeDocument/2006/relationships/hyperlink" Target="https://doi.org/10.1007/978-1-4612-2500-3_2" TargetMode="External"/><Relationship Id="rId42" Type="http://schemas.openxmlformats.org/officeDocument/2006/relationships/hyperlink" Target="https://opus4.kobv.de/opus4-fau/frontdoor/index/index/docId/477" TargetMode="External"/><Relationship Id="rId43" Type="http://schemas.openxmlformats.org/officeDocument/2006/relationships/hyperlink" Target="https://doi.org/10.1065/espr2005.07.272" TargetMode="External"/><Relationship Id="rId44" Type="http://schemas.openxmlformats.org/officeDocument/2006/relationships/hyperlink" Target="https://doi.org/10.5194/adgeo-22-85-2009" TargetMode="External"/><Relationship Id="rId45" Type="http://schemas.openxmlformats.org/officeDocument/2006/relationships/hyperlink" Target="https://doi.org/10.1038/nclimate2177" TargetMode="External"/><Relationship Id="rId46" Type="http://schemas.openxmlformats.org/officeDocument/2006/relationships/hyperlink" Target="https://doi.org/10.2113/GSELEMENTS.4.2.89" TargetMode="External"/><Relationship Id="rId47" Type="http://schemas.openxmlformats.org/officeDocument/2006/relationships/hyperlink" Target="https://doi.org/10.1007/s00442-012-2522-6" TargetMode="External"/><Relationship Id="rId48" Type="http://schemas.openxmlformats.org/officeDocument/2006/relationships/hyperlink" Target="https://doi.org/10.1111/ele.12642" TargetMode="External"/><Relationship Id="rId49" Type="http://schemas.openxmlformats.org/officeDocument/2006/relationships/hyperlink" Target="https://doi.org/10.1579/0044-7447-31.2.64" TargetMode="External"/><Relationship Id="rId50" Type="http://schemas.openxmlformats.org/officeDocument/2006/relationships/hyperlink" Target="https://doi.org/10.1371/journal.pone.0177030" TargetMode="External"/><Relationship Id="rId51" Type="http://schemas.openxmlformats.org/officeDocument/2006/relationships/hyperlink" Target="https://doi.org/10.1111/j.1365-2435.2003.00784.x" TargetMode="External"/><Relationship Id="rId52" Type="http://schemas.openxmlformats.org/officeDocument/2006/relationships/hyperlink" Target="https://doi.org/10.1038/nature19324" TargetMode="External"/><Relationship Id="rId53" Type="http://schemas.openxmlformats.org/officeDocument/2006/relationships/hyperlink" Target="https://doi.org/10.1111/j.1744-7429.2009.00547.x" TargetMode="External"/><Relationship Id="rId54" Type="http://schemas.openxmlformats.org/officeDocument/2006/relationships/hyperlink" Target="https://doi.org/10.1371/journal.pone.0047128" TargetMode="External"/><Relationship Id="rId55" Type="http://schemas.openxmlformats.org/officeDocument/2006/relationships/hyperlink" Target="https://doi.org/10.5194/bg-18-1525-2021" TargetMode="External"/><Relationship Id="rId56" Type="http://schemas.openxmlformats.org/officeDocument/2006/relationships/hyperlink" Target="https://doi.org/10.1038/s41598-021-89190-8" TargetMode="External"/><Relationship Id="rId57" Type="http://schemas.openxmlformats.org/officeDocument/2006/relationships/hyperlink" Target="https://doi.org/10.1007/978-3-642-38137-9_8" TargetMode="External"/><Relationship Id="rId58" Type="http://schemas.openxmlformats.org/officeDocument/2006/relationships/hyperlink" Target="https://doi.org/10.1101/sqb.1957.022.01.039" TargetMode="External"/><Relationship Id="rId59" Type="http://schemas.openxmlformats.org/officeDocument/2006/relationships/hyperlink" Target="http://srtm.csi.cgiar.org/" TargetMode="External"/><Relationship Id="rId60" Type="http://schemas.openxmlformats.org/officeDocument/2006/relationships/hyperlink" Target="https://doi.org/10.1175/EI125.1" TargetMode="External"/><Relationship Id="rId61" Type="http://schemas.openxmlformats.org/officeDocument/2006/relationships/hyperlink" Target="https://doi.org/10.1007/s10021-003-0229-6" TargetMode="External"/><Relationship Id="rId62" Type="http://schemas.openxmlformats.org/officeDocument/2006/relationships/hyperlink" Target="https://cran.r-project.org/package%3DmerTools" TargetMode="External"/><Relationship Id="rId63" Type="http://schemas.openxmlformats.org/officeDocument/2006/relationships/hyperlink" Target="https://doi.org/10.1002/ecy.1445" TargetMode="External"/><Relationship Id="rId64" Type="http://schemas.openxmlformats.org/officeDocument/2006/relationships/hyperlink" Target="https://doi.org/10.1029/2004GB002402" TargetMode="External"/><Relationship Id="rId65" Type="http://schemas.openxmlformats.org/officeDocument/2006/relationships/hyperlink" Target="https://doi.org/10.1098/rstb.1999.0524" TargetMode="External"/><Relationship Id="rId66" Type="http://schemas.openxmlformats.org/officeDocument/2006/relationships/hyperlink" Target="https://doi.org/10.1038/35002501" TargetMode="External"/><Relationship Id="rId67" Type="http://schemas.openxmlformats.org/officeDocument/2006/relationships/hyperlink" Target="https://doi.org/10.1002/9780470015902.a0026282" TargetMode="External"/><Relationship Id="rId68" Type="http://schemas.openxmlformats.org/officeDocument/2006/relationships/hyperlink" Target="https://doi.org/10.1111/j.1365-2486.2006.01104.x" TargetMode="External"/><Relationship Id="rId69" Type="http://schemas.openxmlformats.org/officeDocument/2006/relationships/hyperlink" Target="https://doi.org/10.1111/nph.17136" TargetMode="External"/><Relationship Id="rId70" Type="http://schemas.openxmlformats.org/officeDocument/2006/relationships/hyperlink" Target="https://doi.org/10.1007/978-3-642-38137-9_16" TargetMode="External"/><Relationship Id="rId71" Type="http://schemas.openxmlformats.org/officeDocument/2006/relationships/hyperlink" Target="https://doi.org/10.1111/j.1469-" TargetMode="External"/><Relationship Id="rId72" Type="http://schemas.openxmlformats.org/officeDocument/2006/relationships/hyperlink" Target="https://doi.org/10.1111/1365-2745.12211" TargetMode="External"/><Relationship Id="rId73" Type="http://schemas.openxmlformats.org/officeDocument/2006/relationships/hyperlink" Target="https://doi.org/10.1007/978-3-642-38137-9_1" TargetMode="External"/><Relationship Id="rId74" Type="http://schemas.openxmlformats.org/officeDocument/2006/relationships/hyperlink" Target="https://doi.org/10.3097/LO.200912" TargetMode="External"/><Relationship Id="rId75" Type="http://schemas.openxmlformats.org/officeDocument/2006/relationships/hyperlink" Target="https://doi.org/10.1177/1940082918780427" TargetMode="External"/><Relationship Id="rId76" Type="http://schemas.openxmlformats.org/officeDocument/2006/relationships/hyperlink" Target="https://doi.org/10.1126/science.287.5459.1770" TargetMode="External"/><Relationship Id="rId77" Type="http://schemas.openxmlformats.org/officeDocument/2006/relationships/hyperlink" Target="https://doi.org/10.1111/j.1469-8137.2010.03521.x" TargetMode="External"/><Relationship Id="rId78" Type="http://schemas.openxmlformats.org/officeDocument/2006/relationships/hyperlink" Target="https://doi.org/10.1111/j.1365-" TargetMode="External"/><Relationship Id="rId79" Type="http://schemas.openxmlformats.org/officeDocument/2006/relationships/hyperlink" Target="https://doi.org/10.1017/S026646740800504X" TargetMode="External"/><Relationship Id="rId80" Type="http://schemas.openxmlformats.org/officeDocument/2006/relationships/hyperlink" Target="https://doi.org/10.1016/j.foreco.2017.08.005" TargetMode="External"/><Relationship Id="rId81" Type="http://schemas.openxmlformats.org/officeDocument/2006/relationships/hyperlink" Target="https://doi.org/10.1093/bioinformatics/btm069" TargetMode="External"/><Relationship Id="rId82" Type="http://schemas.openxmlformats.org/officeDocument/2006/relationships/hyperlink" Target="https://doi.org/10.1073/pnas.0408648102" TargetMode="External"/><Relationship Id="rId83" Type="http://schemas.openxmlformats.org/officeDocument/2006/relationships/hyperlink" Target="https://doi.org/10.1007/s00265-010-1037-6" TargetMode="External"/><Relationship Id="rId84" Type="http://schemas.openxmlformats.org/officeDocument/2006/relationships/hyperlink" Target="https://doi.org/10.7211/jjsrt.41.97" TargetMode="External"/><Relationship Id="rId85" Type="http://schemas.openxmlformats.org/officeDocument/2006/relationships/hyperlink" Target="https://doi.org/10.1890/0012-" TargetMode="External"/><Relationship Id="rId86" Type="http://schemas.openxmlformats.org/officeDocument/2006/relationships/hyperlink" Target="https://doi.org/10.1371/journal.pone.0133701" TargetMode="External"/><Relationship Id="rId87" Type="http://schemas.openxmlformats.org/officeDocument/2006/relationships/hyperlink" Target="https://doi.org/10.1890/0012-9658(2001)082" TargetMode="External"/><Relationship Id="rId88" Type="http://schemas.openxmlformats.org/officeDocument/2006/relationships/hyperlink" Target="https://doi.org/10.3389/feart.2016.00058" TargetMode="External"/><Relationship Id="rId89" Type="http://schemas.openxmlformats.org/officeDocument/2006/relationships/hyperlink" Target="https://doi.org/10.1007/BF00377275" TargetMode="External"/><Relationship Id="rId90" Type="http://schemas.openxmlformats.org/officeDocument/2006/relationships/hyperlink" Target="http://github.com/vqv/ggbiplot" TargetMode="External"/><Relationship Id="rId91" Type="http://schemas.openxmlformats.org/officeDocument/2006/relationships/hyperlink" Target="https://doi.org/10.1111/ecog.04387" TargetMode="External"/><Relationship Id="rId92" Type="http://schemas.openxmlformats.org/officeDocument/2006/relationships/hyperlink" Target="https://doi.org/10.1111/1365-2435.12351" TargetMode="External"/><Relationship Id="rId93" Type="http://schemas.openxmlformats.org/officeDocument/2006/relationships/hyperlink" Target="https://ggplot2.tidyverse.org/" TargetMode="External"/><Relationship Id="rId94" Type="http://schemas.openxmlformats.org/officeDocument/2006/relationships/hyperlink" Target="https://doi.org/10.1002/2012GB004471" TargetMode="External"/><Relationship Id="rId95" Type="http://schemas.openxmlformats.org/officeDocument/2006/relationships/hyperlink" Target="https://doi.org/10.1002/jpln.200625210" TargetMode="External"/><Relationship Id="rId96" Type="http://schemas.openxmlformats.org/officeDocument/2006/relationships/hyperlink" Target="https://doi.org/10.1029/2018JG004942" TargetMode="External"/><Relationship Id="rId97" Type="http://schemas.openxmlformats.org/officeDocument/2006/relationships/hyperlink" Target="https://doi.org/10.1017/S0266467414000650" TargetMode="External"/><Relationship Id="rId98" Type="http://schemas.openxmlformats.org/officeDocument/2006/relationships/hyperlink" Target="https://doi.org/10.1029/2010GB003876" TargetMode="External"/><Relationship Id="rId99" Type="http://schemas.openxmlformats.org/officeDocument/2006/relationships/hyperlink" Target="https://doi.org/10.1890/10-1558.1" TargetMode="External"/><Relationship Id="rId100" Type="http://schemas.openxmlformats.org/officeDocument/2006/relationships/hyperlink" Target="https://doi.org/10.1016/j.foreco.2010.07.021" TargetMode="External"/><Relationship Id="rId101" Type="http://schemas.openxmlformats.org/officeDocument/2006/relationships/hyperlink" Target="https://doi.org/10.1093/AOB/MCL142" TargetMode="External"/><Relationship Id="rId102" Type="http://schemas.openxmlformats.org/officeDocument/2006/relationships/hyperlink" Target="https://doi.org/10.1371/journal.pone.0082661" TargetMode="External"/><Relationship Id="rId103" Type="http://schemas.openxmlformats.org/officeDocument/2006/relationships/image" Target="media/image16.png"/><Relationship Id="rId104" Type="http://schemas.openxmlformats.org/officeDocument/2006/relationships/image" Target="media/image17.jpeg"/><Relationship Id="rId105" Type="http://schemas.openxmlformats.org/officeDocument/2006/relationships/image" Target="media/image18.jpeg"/><Relationship Id="rId106" Type="http://schemas.openxmlformats.org/officeDocument/2006/relationships/image" Target="media/image19.jpeg"/><Relationship Id="rId107" Type="http://schemas.openxmlformats.org/officeDocument/2006/relationships/image" Target="media/image20.png"/><Relationship Id="rId108" Type="http://schemas.openxmlformats.org/officeDocument/2006/relationships/image" Target="media/image21.png"/><Relationship Id="rId109" Type="http://schemas.openxmlformats.org/officeDocument/2006/relationships/image" Target="media/image22.png"/><Relationship Id="rId110" Type="http://schemas.openxmlformats.org/officeDocument/2006/relationships/image" Target="media/image23.jpeg"/><Relationship Id="rId111" Type="http://schemas.openxmlformats.org/officeDocument/2006/relationships/image" Target="media/image24.jpeg"/><Relationship Id="rId1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2026-07-09T00:00:07Z</dcterms:created>
  <dcterms:modified xsi:type="dcterms:W3CDTF">2026-07-09T00:00:07Z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2021-08-23T00:00:00Z</vt:filetime>
  </property>
  <property fmtid="{D5CDD505-2E9C-101B-9397-08002B2CF9AE}" pid="4" name="Creator">
    <vt:lpwstr>Apache FOP Version 2.1</vt:lpwstr>
  </property>
  <property fmtid="{D5CDD505-2E9C-101B-9397-08002B2CF9AE}" pid="5" name="LastSaved">
    <vt:filetime>2026-07-09T00:00:00Z</vt:filetime>
  </property>
  <property fmtid="{D5CDD505-2E9C-101B-9397-08002B2CF9AE}" pid="6" name="Producer">
    <vt:lpwstr>Apache FOP Version 2.1</vt:lpwstr>
  </property>
</Properties>
</file>