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Calibri" w:cs="Calibri" w:eastAsia="Calibri" w:hAnsi="Calibri"/>
          <w:color w:val="1F3864"/>
        </w:rPr>
        <w:t xml:space="preserve">Final mixed-effects model results by species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Final linear mixed-effects models (random intercept for experimental block) for each species and response variable, selected via likelihood ratio tests comparing interactive (N × P) and additive (N + P) structures (see Methods). Parameter estimates are shown with standard errors and p-values; significant effects (p &lt; 0.05) are highlighted. R²m: marginal R² (fixed effects only); R²c: conditional R² (fixed + random effects); AIC: Akaike Information Criterion. Significance codes follow the estimates: *** p &lt; 0.001, ** p &lt; 0.01, * p &lt; 0.05, + p &lt; 0.10.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color w:val="1F3864"/>
        </w:rPr>
        <w:t xml:space="preserve">Table S1. Physiological variables</w:t>
      </w:r>
    </w:p>
    <w:tbl>
      <w:tblPr>
        <w:tblW w:type="dxa" w:w="11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050"/>
        <w:gridCol w:w="1750"/>
        <w:gridCol w:w="1750"/>
        <w:gridCol w:w="1750"/>
        <w:gridCol w:w="1750"/>
        <w:gridCol w:w="550"/>
        <w:gridCol w:w="700"/>
        <w:gridCol w:w="700"/>
        <w:gridCol w:w="800"/>
      </w:tblGrid>
      <w:tr>
        <w:trPr>
          <w:tblHeader/>
        </w:trPr>
        <w:tc>
          <w:tcPr>
            <w:tcW w:type="dxa" w:w="11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0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Species</w:t>
            </w:r>
          </w:p>
        </w:tc>
        <w:tc>
          <w:tcPr>
            <w:tcW w:type="dxa" w:w="17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Intercept</w:t>
            </w:r>
          </w:p>
        </w:tc>
        <w:tc>
          <w:tcPr>
            <w:tcW w:type="dxa" w:w="17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17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17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 × P</w:t>
            </w:r>
          </w:p>
        </w:tc>
        <w:tc>
          <w:tcPr>
            <w:tcW w:type="dxa" w:w="5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R²m</w:t>
            </w:r>
          </w:p>
        </w:tc>
        <w:tc>
          <w:tcPr>
            <w:tcW w:type="dxa" w:w="7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R²c</w:t>
            </w:r>
          </w:p>
        </w:tc>
        <w:tc>
          <w:tcPr>
            <w:tcW w:type="dxa" w:w="8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AIC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iWUE (µmol mol⁻¹)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25.62***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(SE=4.76,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14.55*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(SE=6.90, p=0.04)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3.51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(SE=7.34, p=0.64)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-20.32+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(SE=10.69, p=0.07)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0.152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288.1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iWUE (µmol mol⁻¹)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36.66***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(SE=4.95,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-13.14+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(SE=5.71, p=0.05)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10.20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(SE=5.97, p=0.13)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0.379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80.5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iWUE (µmol mol⁻¹)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86.73***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(SE=5.09,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2.02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(SE=4.29, p=0.64)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-5.48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(SE=4.22, p=0.20)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0.242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363.3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iWUE (µmol mol⁻¹)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73.24***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(SE=2.70,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3.64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(SE=3.35, p=0.28)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2.86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(SE=3.34, p=0.40)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383.7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iWUE (µmol mol⁻¹)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78.01***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(SE=8.13,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16.02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(SE=9.47, p=0.11)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3.95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(SE=9.39, p=0.68)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0.125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176.6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iWUE (µmol mol⁻¹)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73.07***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(SE=4.51,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-5.33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(SE=4.94, p=0.30)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-8.35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(SE=4.91, p=0.11)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0.151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0.257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127.9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δ13C (‰ vs. V-PDB)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-31.40***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(SE=0.26,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(SE=0.32, p=0.93)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(SE=0.33, p=0.84)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0.001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109.2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δ13C (‰ vs. V-PDB)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-30.66***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(SE=0.40,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-1.07+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(SE=0.47, p=0.06)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(SE=0.49, p=0.13)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0.379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35.4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δ13C (‰ vs. V-PDB)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-26.59***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(SE=0.42,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(SE=0.35, p=0.63)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-0.45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(SE=0.35, p=0.20)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0.243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153.5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δ13C (‰ vs. V-PDB)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-27.69***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(SE=0.22,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(SE=0.28, p=0.28)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(SE=0.27, p=0.40)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0.043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148.9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δ13C (‰ vs. V-PDB)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-27.28***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(SE=0.67,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(SE=0.78, p=0.11)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(SE=0.77, p=0.68)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0.125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86.6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δ13C (‰ vs. V-PDB)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-27.68***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(SE=0.37,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-0.44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(SE=0.40, p=0.30)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-0.68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(SE=0.40, p=0.11)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0.151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0.257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52.8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Ci/Ca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0.90***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-0.06*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(SE=0.03, p=0.04)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(SE=0.03, p=0.64)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0.08+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p=0.07)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0.152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-68.5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Ci/Ca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0.05+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p=0.05)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p=0.13)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0.379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-19.8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Ci/Ca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p=0.65)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p=0.20)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0.240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-104.5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Ci/Ca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0.72***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p=0.29)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p=0.39)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-140.0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Ci/Ca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(SE=0.03,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p=0.11)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p=0.68)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0.125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-24.0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Ci/Ca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0.72***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p=0.30)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p=0.11)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0.151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0.257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-39.2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iWUE: intrinsic water-use efficiency; δ13C: carbon isotopic composition; Ci/Ca: ratio of intercellular to ambient CO₂ concentration.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color w:val="1F3864"/>
        </w:rPr>
        <w:t xml:space="preserve">Table S2. Leaf nutritional variables</w:t>
      </w:r>
    </w:p>
    <w:tbl>
      <w:tblPr>
        <w:tblW w:type="dxa" w:w="11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050"/>
        <w:gridCol w:w="1750"/>
        <w:gridCol w:w="1750"/>
        <w:gridCol w:w="1750"/>
        <w:gridCol w:w="1750"/>
        <w:gridCol w:w="550"/>
        <w:gridCol w:w="700"/>
        <w:gridCol w:w="700"/>
        <w:gridCol w:w="800"/>
      </w:tblGrid>
      <w:tr>
        <w:trPr>
          <w:tblHeader/>
        </w:trPr>
        <w:tc>
          <w:tcPr>
            <w:tcW w:type="dxa" w:w="11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0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Species</w:t>
            </w:r>
          </w:p>
        </w:tc>
        <w:tc>
          <w:tcPr>
            <w:tcW w:type="dxa" w:w="17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Intercept</w:t>
            </w:r>
          </w:p>
        </w:tc>
        <w:tc>
          <w:tcPr>
            <w:tcW w:type="dxa" w:w="17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17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17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 × P</w:t>
            </w:r>
          </w:p>
        </w:tc>
        <w:tc>
          <w:tcPr>
            <w:tcW w:type="dxa" w:w="55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R²m</w:t>
            </w:r>
          </w:p>
        </w:tc>
        <w:tc>
          <w:tcPr>
            <w:tcW w:type="dxa" w:w="7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R²c</w:t>
            </w:r>
          </w:p>
        </w:tc>
        <w:tc>
          <w:tcPr>
            <w:tcW w:type="dxa" w:w="8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AIC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Nmass (mg g⁻¹)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15.54***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(SE=0.42,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(SE=0.42, p=0.86)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0.92*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(SE=0.40, p=0.03)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0.116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0.265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124.6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Nmass (mg g⁻¹)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17.14***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(SE=1.13,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3.66*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(SE=1.31, p=0.03)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2.66+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(SE=1.37, p=0.09)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0.577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54.0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Nmass (mg g⁻¹)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11.74***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(SE=0.39,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(SE=0.47, p=0.01)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-0.75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(SE=0.46, p=0.11)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0.194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174.1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Nmass (mg g⁻¹)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8.74***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(SE=0.27,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(SE=0.27,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-0.47+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(SE=0.27, p=0.09)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0.344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0.407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144.3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Nmass (mg g⁻¹)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14.64***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(SE=1.02,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2.45*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(SE=0.91, p=0.02)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(SE=0.91, p=0.58)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0.206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0.447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95.1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Nmass (mg g⁻¹)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10.54***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(SE=0.61,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(SE=0.76, p=0.30)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0.09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(SE=0.74, p=0.90)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0.064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70.8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log(LNC)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2.74***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(SE=0.03,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(SE=0.03, p=0.87)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0.06*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p=0.03)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0.115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0.295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-59.8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log(LNC)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2.84***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(SE=0.06,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0.18*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p=0.04)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p=0.11)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0.545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log(LNC)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2.45***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(SE=0.03,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0.10*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p=0.02)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p=0.14)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0.180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-31.5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log(LNC)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2.16***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(SE=0.03,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0.15***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(SE=0.03,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-0.05+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(SE=0.03, p=0.09)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0.346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0.411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-57.4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log(LNC)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2.68***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(SE=0.06,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0.15*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(SE=0.05, p=0.01)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(SE=0.05, p=0.45)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0.216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0.499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-8.6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log(LNC)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2.35***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(SE=0.06,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p=0.29)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p=0.87)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0.066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-0.7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Narea (g m⁻²)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1.96***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(SE=0.08, p=0.68)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0.15+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(SE=0.08, p=0.10)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0.081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20.4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Narea (g m⁻²)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1.85***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(SE=0.10,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(SE=0.12, p=0.56)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0.23+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(SE=0.12, p=0.09)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10.3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Narea (g m⁻²)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3.26***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(SE=0.14,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0.35*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(SE=0.16, p=0.04)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-0.11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(SE=0.16, p=0.49)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0.107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0.127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85.5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Narea (g m⁻²)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2.45***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0.35***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p=0.29)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0.326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0.399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21.8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Narea (g m⁻²)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2.19***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(SE=0.15,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0.60**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(SE=0.16,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-0.12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(SE=0.16, p=0.49)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0.433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0.467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31.4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Narea (g m⁻²)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1.51***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(SE=0.09,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(SE=0.11, p=0.23)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(SE=0.11, p=0.73)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0.108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13.3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Cmass (mg g⁻¹)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478.86***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(SE=1.64,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0.79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(SE=1.95, p=0.69)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-0.60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(SE=1.95, p=0.76)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0.008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206.1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Cmass (mg g⁻¹)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421.37***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(SE=7.88,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25.77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(SE=15.77, p=0.15)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16.97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(SE=10.43, p=0.15)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-33.62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(SE=18.49, p=0.12)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0.265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80.4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Cmass (mg g⁻¹)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488.70***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(SE=2.19,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(SE=2.69, p=0.86)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-0.72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(SE=2.63, p=0.79)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0.003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303.6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Cmass (mg g⁻¹)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473.23***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(SE=2.18,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-3.23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(SE=2.31, p=0.17)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-4.46+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(SE=2.33, p=0.06)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0.109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0.174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350.5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Cmass (mg g⁻¹)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435.91***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(SE=3.05,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(SE=3.46, p=0.82)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2.37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(SE=3.44, p=0.50)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0.023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0.051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140.7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Cmass (mg g⁻¹)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440.61***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(SE=4.84,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8.15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(SE=5.82, p=0.18)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3.11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(SE=5.73, p=0.60)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0.103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0.132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132.2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Carea (g m⁻²)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61.42***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(SE=2.45,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(SE=2.91, p=0.45)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-0.75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(SE=2.93, p=0.80)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0.020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230.3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Carea (g m⁻²)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45.40***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(SE=2.12,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-4.79*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(SE=1.57, p=0.02)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-0.37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(SE=1.58, p=0.82)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0.306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0.697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59.9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Carea (g m⁻²)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137.02***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(SE=5.16,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-0.27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(SE=5.37, p=0.96)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4.81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(SE=5.30, p=0.37)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0.018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0.108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361.0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Carea (g m⁻²)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133.96***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(SE=3.18,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-3.30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(SE=3.95, p=0.41)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1.76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(SE=3.94, p=0.66)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0.016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399.2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Carea (g m⁻²)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65.89***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(SE=4.20,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6.84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(SE=4.90, p=0.18)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-6.50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(SE=4.85, p=0.20)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0.199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152.9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Carea (g m⁻²)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63.37***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(SE=2.46,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(SE=3.05, p=0.52)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-2.25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(SE=2.99, p=0.47)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0.073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112.6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log(LCC)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6.17***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p=0.69)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p=0.76)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0.008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-164.3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log(LCC)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6.04***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p=0.16)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p=0.16)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p=0.12)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0.263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-16.6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log(LCC)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6.19***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p=0.88)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p=0.80)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0.002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-191.4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log(LCC)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6.16***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p=0.17)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p=0.06)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0.110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0.174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-228.5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log(LCC)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6.08***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p=0.84)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p=0.50)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0.024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-78.0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log(LCC)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6.09***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p=0.19)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p=0.61)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0.098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0.126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-50.5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LPC (mg g⁻¹)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(SE=0.05,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(SE=0.05, p=0.57)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0.11*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(SE=0.05, p=0.03)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0.133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0.239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-19.0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LPC (mg g⁻¹)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0.83***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(SE=0.08, p=0.72)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0.32**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(SE=0.09,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0.591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4.0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LPC (mg g⁻¹)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p=0.66)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0.49***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0.523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0.590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12.7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LPC (mg g⁻¹)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0.43***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(SE=0.10,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(SE=0.16, p=0.96)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(SE=0.15,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-0.81***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(SE=0.22, p=&lt;0.01)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0.643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64.6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LPC (mg g⁻¹)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0.91***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(SE=0.10,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-0.17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(SE=0.12, p=0.18)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0.45**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(SE=0.12,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0.510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18.0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LPC (mg g⁻¹)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(SE=0.12,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(SE=0.17, p=0.79)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1.08***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(SE=0.16,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-0.96**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(SE=0.27, p=&lt;0.01)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0.781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20.4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log(LPC)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-0.44***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p=0.48)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0.17*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(SE=0.06, p=0.01)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0.157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0.301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3.4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log(LPC)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-0.19*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(SE=0.06, p=0.02)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p=0.59)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0.32**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(SE=0.08,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0.647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log(LPC)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-0.27***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p=0.77)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0.46***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(SE=0.06,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0.495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0.591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11.1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log(LPC)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-0.88***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(SE=0.09,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(SE=0.14, p=0.85)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(SE=0.14,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-0.66**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(SE=0.20, p=&lt;0.01)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0.707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55.8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log(LPC)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-0.14+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p=0.08)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-0.13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(SE=0.09, p=0.16)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0.41***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(SE=0.09,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0.605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7.1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log(LPC)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-0.59***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(SE=0.09,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(SE=0.12, p=0.52)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1.04***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(SE=0.12,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-0.87***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(SE=0.20, p=&lt;0.01)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0.858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11.4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Parea (g m⁻²)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0.08***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p=0.42)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0.02***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0.276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0.386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-179.5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Parea (g m⁻²)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0.09***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p=0.37)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0.03**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0.439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0.630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-35.4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Parea (g m⁻²)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p=0.59)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0.15***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0.484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0.497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-75.2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Parea (g m⁻²)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(SE=0.03,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-0.13**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0.26***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0.502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-31.9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Parea (g m⁻²)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0.13***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p=0.72)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0.05*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p=0.02)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0.304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-45.6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Parea (g m⁻²)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p=0.11)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0.10**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0.603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-32.6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N:P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24.75***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(SE=1.41,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(SE=1.61, p=0.59)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-2.75+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(SE=1.58, p=0.09)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0.085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0.137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213.9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N:P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21.18***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(SE=1.66,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2.17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(SE=1.69, p=0.24)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-3.31+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(SE=1.74, p=0.10)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0.244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0.393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59.5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N:P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15.43***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(SE=0.80,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1.22+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(SE=0.62, p=0.05)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-6.33***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(SE=0.61,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0.667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0.760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195.9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N:P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22.85***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(SE=1.14,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(SE=1.59, p=0.67)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-16.58***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(SE=1.52,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5.28*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(SE=2.23, p=0.02)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0.771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0.785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272.6</w:t>
            </w:r>
          </w:p>
        </w:tc>
      </w:tr>
      <w:tr>
        <w:tc>
          <w:tcPr>
            <w:tcW w:type="dxa" w:w="11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N:P</w:t>
            </w:r>
          </w:p>
        </w:tc>
        <w:tc>
          <w:tcPr>
            <w:tcW w:type="dxa" w:w="10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17.36***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(SE=1.22,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4.26**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(SE=1.43,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-5.37**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(SE=1.43, p=&lt;0.01)</w:t>
            </w:r>
          </w:p>
        </w:tc>
        <w:tc>
          <w:tcPr>
            <w:tcW w:type="dxa" w:w="17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5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0.604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103.0</w:t>
            </w:r>
          </w:p>
        </w:tc>
      </w:tr>
      <w:tr>
        <w:tc>
          <w:tcPr>
            <w:tcW w:type="dxa" w:w="11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N:P</w:t>
            </w:r>
          </w:p>
        </w:tc>
        <w:tc>
          <w:tcPr>
            <w:tcW w:type="dxa" w:w="10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18.65***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(SE=1.12, p=&lt;0.01)</w:t>
            </w:r>
          </w:p>
        </w:tc>
        <w:tc>
          <w:tcPr>
            <w:tcW w:type="dxa" w:w="17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(SE=1.58, p=0.88)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-11.34***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(SE=1.51, p=&lt;0.01)</w:t>
            </w:r>
          </w:p>
        </w:tc>
        <w:tc>
          <w:tcPr>
            <w:tcW w:type="dxa" w:w="175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8.03**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(SE=2.58, p=&lt;0.01)</w:t>
            </w:r>
          </w:p>
        </w:tc>
        <w:tc>
          <w:tcPr>
            <w:tcW w:type="dxa" w:w="55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0.823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83.1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Nmass/Cmass: leaf N and C mass-based concentration; Narea/Carea/Parea: leaf N, C and P per unit area; LPC: leaf phosphorus concentration; log-prefixed variables are log-transformed; Leaf N:P: foliar N:P ratio.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color w:val="1F3864"/>
        </w:rPr>
        <w:t xml:space="preserve">Table S3. Morphological and structural leaf variables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2100"/>
        <w:gridCol w:w="2100"/>
        <w:gridCol w:w="2100"/>
        <w:gridCol w:w="700"/>
        <w:gridCol w:w="900"/>
        <w:gridCol w:w="900"/>
        <w:gridCol w:w="900"/>
      </w:tblGrid>
      <w:tr>
        <w:trPr>
          <w:tblHeader/>
        </w:trPr>
        <w:tc>
          <w:tcPr>
            <w:tcW w:type="dxa" w:w="13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Species</w:t>
            </w:r>
          </w:p>
        </w:tc>
        <w:tc>
          <w:tcPr>
            <w:tcW w:type="dxa" w:w="21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Intercept</w:t>
            </w:r>
          </w:p>
        </w:tc>
        <w:tc>
          <w:tcPr>
            <w:tcW w:type="dxa" w:w="21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21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R²m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R²c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AIC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SLA (cm² g⁻¹)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79.56***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(SE=2.95,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-0.60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(SE=3.65, p=0.87)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-0.58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(SE=3.69, p=0.88)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0.001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269.4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SLA (cm² g⁻¹)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93.96***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(SE=4.56, p=&lt;0.01)</w:t>
            </w:r>
          </w:p>
        </w:tc>
        <w:tc>
          <w:tcPr>
            <w:tcW w:type="dxa" w:w="210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13.58*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(SE=4.75, p=0.02)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1.51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(SE=4.88, p=0.77)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0.419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0.517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77.9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SLA (cm² g⁻¹)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36.23***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(SE=1.23,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-0.21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(SE=1.26, p=0.87)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-0.82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(SE=1.24, p=0.51)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0.009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0.095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258.8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SLA (cm² g⁻¹)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35.77***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(SE=0.77,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(SE=0.96, p=0.70)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-0.80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(SE=0.95, p=0.40)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0.016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265.9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SLA (cm² g⁻¹)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69.34***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(SE=4.36,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-8.85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(SE=5.08, p=0.10)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6.24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(SE=5.04, p=0.23)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0.231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154.2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SLA (cm² g⁻¹)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70.07***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(SE=2.62,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-0.48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(SE=3.25, p=0.88)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2.54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(SE=3.19, p=0.44)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0.043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114.5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thickness (mm)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p=0.42)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p=0.60)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0.026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-136.8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thickness (mm)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p=0.56)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(SE=0.00, p=0.06)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0.054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0.884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-40.7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thickness (mm)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0.54***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p=0.57)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p=0.91)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0.007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0.043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-112.0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thickness (mm)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p=0.50)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p=0.95)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0.010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-189.4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thickness (mm)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p=0.82)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p=0.87)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0.005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-50.8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thickness (mm)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(SE=0.01,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p=0.32)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p=0.97)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0.061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-44.7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Force to punch (kN m⁻¹)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0.79***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p=0.22)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p=0.73)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0.047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-21.9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Force to punch (kN m⁻¹)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0.94***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(SE=0.08, p=0.73)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(SE=0.08, p=0.57)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0.035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3.7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Force to punch (kN m⁻¹)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1.73***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p=0.36)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-0.08+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p=0.06)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0.082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0.178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-25.6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Force to punch (kN m⁻¹)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1.48***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p=0.96)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(SE=0.02, p=0.92)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0.000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0.449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-73.4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Force to punch (kN m⁻¹)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p=0.11)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-0.09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(SE=0.07, p=0.20)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0.218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0.314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Force to punch (kN m⁻¹)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0.81***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(SE=0.03,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p=0.90)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(SE=0.04, p=0.20)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0.098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-16.9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area (cm²)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74.17***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(SE=6.45,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-3.51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(SE=6.63, p=0.60)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-1.89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(SE=6.42, p=0.77)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0.010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0.146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307.0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area (cm²)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40.50***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(SE=3.79,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-0.13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(SE=3.84, p=0.97)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-4.24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(SE=3.93, p=0.32)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0.083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0.277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74.3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area (cm²)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30.85***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(SE=2.13, p=&lt;0.01)</w:t>
            </w:r>
          </w:p>
        </w:tc>
        <w:tc>
          <w:tcPr>
            <w:tcW w:type="dxa" w:w="210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-6.29*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(SE=2.56, p=0.02)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1.77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(SE=2.51, p=0.49)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0.137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316.3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area (cm²)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19.56***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(SE=1.17,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(SE=1.41, p=0.74)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-2.08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(SE=1.41, p=0.15)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0.043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0.057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302.4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area (cm²)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18.90***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(SE=1.82, p=&lt;0.01)</w:t>
            </w:r>
          </w:p>
        </w:tc>
        <w:tc>
          <w:tcPr>
            <w:tcW w:type="dxa" w:w="210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-4.40*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(SE=1.89, p=0.03)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2.40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(SE=1.89, p=0.22)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0.285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0.380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120.1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Leaf area (cm²)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1.50***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(SE=0.15,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(SE=0.17, p=0.20)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(SE=0.17, p=0.19)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0.146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0.187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27.2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Dry matter content (mg g⁻¹)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Pouteria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512.44***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(SE=11.12,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6.11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(SE=12.18, p=0.62)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-13.52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(SE=11.91, p=0.26)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0.040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0.125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347.3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Dry matter content (mg g⁻¹)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Clarisia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464.80***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(SE=11.55,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-28.00+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(SE=13.34, p=0.07)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-14.37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(SE=13.95, p=0.34)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0.385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95.8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Dry matter content (mg g⁻¹)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Alchornea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430.18***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(SE=9.64,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10.72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(SE=7.72, p=0.17)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-0.28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(SE=7.58, p=0.97)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0.033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0.273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413.0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Dry matter content (mg g⁻¹)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Myrcia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488.35***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(SE=5.88,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0.20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(SE=7.30, p=0.98)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-6.35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(SE=7.27, p=0.39)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0.015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456.9</w:t>
            </w:r>
          </w:p>
        </w:tc>
      </w:tr>
      <w:tr>
        <w:tc>
          <w:tcPr>
            <w:tcW w:type="dxa" w:w="13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Dry matter content (mg g⁻¹)</w:t>
            </w:r>
          </w:p>
        </w:tc>
        <w:tc>
          <w:tcPr>
            <w:tcW w:type="dxa" w:w="12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Hedyosmum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279.41***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(SE=9.97, p=&lt;0.01)</w:t>
            </w:r>
          </w:p>
        </w:tc>
        <w:tc>
          <w:tcPr>
            <w:tcW w:type="dxa" w:w="21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21.82+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(SE=11.62, p=0.08)</w:t>
            </w:r>
          </w:p>
        </w:tc>
        <w:tc>
          <w:tcPr>
            <w:tcW w:type="dxa" w:w="2100"/>
            <w:shd w:fill="FFF2CC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-33.08*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(SE=11.52, p=0.01)</w:t>
            </w:r>
          </w:p>
        </w:tc>
        <w:tc>
          <w:tcPr>
            <w:tcW w:type="dxa" w:w="7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0.435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184.0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Dry matter content (mg g⁻¹)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Weinmannia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463.90***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(SE=16.07, p=&lt;0.01)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15.48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(SE=19.94, p=0.45)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-18.31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(SE=19.56, p=0.37)</w:t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0.104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168.9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SLA: specific leaf area; DMC: leaf dry matter content; Toughness: force to punch.</w:t>
      </w:r>
    </w:p>
    <w:sectPr>
      <w:headerReference w:type="default" r:id="rId7"/>
      <w:footerReference w:type="default" r:id="rId8"/>
      <w:pgSz w:w="16838" w:h="11906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Supplementary material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2026-07-13T19:03:27.991Z</dcterms:created>
  <dcterms:modified xsi:type="dcterms:W3CDTF">2026-07-13T19:03:28.002Z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