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58FE06" w14:textId="77777777" w:rsidR="00776142" w:rsidRDefault="00776142"/>
    <w:p w14:paraId="031603A0" w14:textId="77777777" w:rsidR="00776142" w:rsidRPr="00776142" w:rsidRDefault="00776142">
      <w:pPr>
        <w:rPr>
          <w:lang w:val="en-US"/>
        </w:rPr>
      </w:pPr>
      <w:r w:rsidRPr="00776142">
        <w:rPr>
          <w:noProof/>
          <w:lang w:val="en-US"/>
        </w:rPr>
        <w:drawing>
          <wp:inline distT="0" distB="0" distL="0" distR="0" wp14:anchorId="0EEE572E" wp14:editId="68934398">
            <wp:extent cx="6153150" cy="4857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325" r="14630" b="96523"/>
                    <a:stretch/>
                  </pic:blipFill>
                  <pic:spPr bwMode="auto">
                    <a:xfrm>
                      <a:off x="0" y="0"/>
                      <a:ext cx="6267923" cy="494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76142">
        <w:rPr>
          <w:noProof/>
          <w:lang w:val="en-US"/>
        </w:rPr>
        <w:drawing>
          <wp:inline distT="0" distB="0" distL="0" distR="0" wp14:anchorId="74950DC9" wp14:editId="153EC39F">
            <wp:extent cx="5876925" cy="68085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2104"/>
                    <a:stretch/>
                  </pic:blipFill>
                  <pic:spPr bwMode="auto">
                    <a:xfrm>
                      <a:off x="0" y="0"/>
                      <a:ext cx="5879680" cy="6811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5C3A0" w14:textId="77777777" w:rsidR="00776142" w:rsidRDefault="00776142">
      <w:pPr>
        <w:rPr>
          <w:lang w:val="en-US"/>
        </w:rPr>
      </w:pPr>
    </w:p>
    <w:p w14:paraId="527EBB4D" w14:textId="77777777" w:rsidR="002D2109" w:rsidRPr="002D2109" w:rsidRDefault="00255007" w:rsidP="002D2109">
      <w:pPr>
        <w:pStyle w:val="NormalWeb"/>
        <w:jc w:val="both"/>
        <w:rPr>
          <w:rFonts w:ascii="Arial" w:hAnsi="Arial" w:cs="Arial"/>
          <w:sz w:val="20"/>
        </w:rPr>
      </w:pPr>
      <w:r>
        <w:rPr>
          <w:rStyle w:val="Textoennegrita"/>
          <w:rFonts w:ascii="Arial" w:hAnsi="Arial" w:cs="Arial"/>
          <w:sz w:val="20"/>
        </w:rPr>
        <w:lastRenderedPageBreak/>
        <w:t xml:space="preserve">Fig 1. </w:t>
      </w:r>
      <w:r w:rsidR="002D2109" w:rsidRPr="002D2109">
        <w:rPr>
          <w:rStyle w:val="Textoennegrita"/>
          <w:rFonts w:ascii="Arial" w:hAnsi="Arial" w:cs="Arial"/>
          <w:sz w:val="20"/>
        </w:rPr>
        <w:t>Preliminary results</w:t>
      </w:r>
      <w:r w:rsidR="002D2109">
        <w:rPr>
          <w:rStyle w:val="Textoennegrita"/>
          <w:rFonts w:ascii="Arial" w:hAnsi="Arial" w:cs="Arial"/>
          <w:sz w:val="20"/>
        </w:rPr>
        <w:t>:</w:t>
      </w:r>
      <w:r w:rsidR="002D2109" w:rsidRPr="002D2109">
        <w:rPr>
          <w:rFonts w:ascii="Arial" w:hAnsi="Arial" w:cs="Arial"/>
          <w:sz w:val="20"/>
        </w:rPr>
        <w:t xml:space="preserve"> </w:t>
      </w:r>
      <w:r w:rsidR="002D2109">
        <w:rPr>
          <w:rFonts w:ascii="Arial" w:hAnsi="Arial" w:cs="Arial"/>
          <w:sz w:val="20"/>
        </w:rPr>
        <w:t>W</w:t>
      </w:r>
      <w:r w:rsidR="002D2109" w:rsidRPr="002D2109">
        <w:rPr>
          <w:rFonts w:ascii="Arial" w:hAnsi="Arial" w:cs="Arial"/>
          <w:sz w:val="20"/>
        </w:rPr>
        <w:t xml:space="preserve">-use efficiency (WUE) and stable isotope compositions of nitrogen (δ¹⁵N), oxygen (δ¹⁸O), and carbon (δ¹³C) </w:t>
      </w:r>
      <w:proofErr w:type="gramStart"/>
      <w:r w:rsidR="002D2109" w:rsidRPr="002D2109">
        <w:rPr>
          <w:rFonts w:ascii="Arial" w:hAnsi="Arial" w:cs="Arial"/>
          <w:sz w:val="20"/>
        </w:rPr>
        <w:t>were measured</w:t>
      </w:r>
      <w:proofErr w:type="gramEnd"/>
      <w:r w:rsidR="002D2109" w:rsidRPr="002D2109">
        <w:rPr>
          <w:rFonts w:ascii="Arial" w:hAnsi="Arial" w:cs="Arial"/>
          <w:sz w:val="20"/>
        </w:rPr>
        <w:t xml:space="preserve"> in the NUMEX experimental setup across three elevations. Patterns indicate that </w:t>
      </w:r>
      <w:r w:rsidR="002D2109" w:rsidRPr="002D2109">
        <w:rPr>
          <w:rStyle w:val="Textoennegrita"/>
          <w:rFonts w:ascii="Arial" w:hAnsi="Arial" w:cs="Arial"/>
          <w:sz w:val="20"/>
        </w:rPr>
        <w:t>San Francisco (2000 m)</w:t>
      </w:r>
      <w:r w:rsidR="002D2109" w:rsidRPr="002D2109">
        <w:rPr>
          <w:rFonts w:ascii="Arial" w:hAnsi="Arial" w:cs="Arial"/>
          <w:sz w:val="20"/>
        </w:rPr>
        <w:t xml:space="preserve"> and </w:t>
      </w:r>
      <w:proofErr w:type="spellStart"/>
      <w:r w:rsidR="002D2109" w:rsidRPr="002D2109">
        <w:rPr>
          <w:rStyle w:val="Textoennegrita"/>
          <w:rFonts w:ascii="Arial" w:hAnsi="Arial" w:cs="Arial"/>
          <w:sz w:val="20"/>
        </w:rPr>
        <w:t>Cajanuma</w:t>
      </w:r>
      <w:proofErr w:type="spellEnd"/>
      <w:r w:rsidR="002D2109" w:rsidRPr="002D2109">
        <w:rPr>
          <w:rStyle w:val="Textoennegrita"/>
          <w:rFonts w:ascii="Arial" w:hAnsi="Arial" w:cs="Arial"/>
          <w:sz w:val="20"/>
        </w:rPr>
        <w:t xml:space="preserve"> (3000 m)</w:t>
      </w:r>
      <w:r w:rsidR="002D2109" w:rsidRPr="002D2109">
        <w:rPr>
          <w:rFonts w:ascii="Arial" w:hAnsi="Arial" w:cs="Arial"/>
          <w:sz w:val="20"/>
        </w:rPr>
        <w:t xml:space="preserve"> exhibit </w:t>
      </w:r>
      <w:r w:rsidR="002D2109" w:rsidRPr="002D2109">
        <w:rPr>
          <w:rStyle w:val="Textoennegrita"/>
          <w:rFonts w:ascii="Arial" w:hAnsi="Arial" w:cs="Arial"/>
          <w:sz w:val="20"/>
        </w:rPr>
        <w:t>more similar physiological responses</w:t>
      </w:r>
      <w:r w:rsidR="002D2109" w:rsidRPr="002D2109">
        <w:rPr>
          <w:rFonts w:ascii="Arial" w:hAnsi="Arial" w:cs="Arial"/>
          <w:sz w:val="20"/>
        </w:rPr>
        <w:t xml:space="preserve"> compared to </w:t>
      </w:r>
      <w:proofErr w:type="spellStart"/>
      <w:r w:rsidR="002D2109" w:rsidRPr="002D2109">
        <w:rPr>
          <w:rStyle w:val="Textoennegrita"/>
          <w:rFonts w:ascii="Arial" w:hAnsi="Arial" w:cs="Arial"/>
          <w:sz w:val="20"/>
        </w:rPr>
        <w:t>Bombuscaro</w:t>
      </w:r>
      <w:proofErr w:type="spellEnd"/>
      <w:r w:rsidR="002D2109" w:rsidRPr="002D2109">
        <w:rPr>
          <w:rStyle w:val="Textoennegrita"/>
          <w:rFonts w:ascii="Arial" w:hAnsi="Arial" w:cs="Arial"/>
          <w:sz w:val="20"/>
        </w:rPr>
        <w:t xml:space="preserve"> (1000 m)</w:t>
      </w:r>
      <w:r w:rsidR="002D2109" w:rsidRPr="002D2109">
        <w:rPr>
          <w:rFonts w:ascii="Arial" w:hAnsi="Arial" w:cs="Arial"/>
          <w:sz w:val="20"/>
        </w:rPr>
        <w:t>, except when examining δ¹⁸O values, where a distinct pattern emerges.</w:t>
      </w:r>
    </w:p>
    <w:p w14:paraId="201ED045" w14:textId="0752E5F0" w:rsidR="00F74341" w:rsidRDefault="002D2109" w:rsidP="002D2109">
      <w:pPr>
        <w:pStyle w:val="NormalWeb"/>
        <w:jc w:val="both"/>
        <w:rPr>
          <w:rFonts w:ascii="Arial" w:hAnsi="Arial" w:cs="Arial"/>
          <w:sz w:val="20"/>
        </w:rPr>
      </w:pPr>
      <w:r w:rsidRPr="002D2109">
        <w:rPr>
          <w:rFonts w:ascii="Arial" w:hAnsi="Arial" w:cs="Arial"/>
          <w:sz w:val="20"/>
        </w:rPr>
        <w:t xml:space="preserve">Overall, </w:t>
      </w:r>
      <w:r w:rsidRPr="002D2109">
        <w:rPr>
          <w:rStyle w:val="Textoennegrita"/>
          <w:rFonts w:ascii="Arial" w:hAnsi="Arial" w:cs="Arial"/>
          <w:sz w:val="20"/>
        </w:rPr>
        <w:t>no significant treatment effects</w:t>
      </w:r>
      <w:r w:rsidRPr="002D2109">
        <w:rPr>
          <w:rFonts w:ascii="Arial" w:hAnsi="Arial" w:cs="Arial"/>
          <w:sz w:val="20"/>
        </w:rPr>
        <w:t xml:space="preserve"> </w:t>
      </w:r>
      <w:proofErr w:type="gramStart"/>
      <w:r w:rsidRPr="002D2109">
        <w:rPr>
          <w:rFonts w:ascii="Arial" w:hAnsi="Arial" w:cs="Arial"/>
          <w:sz w:val="20"/>
        </w:rPr>
        <w:t>were detected</w:t>
      </w:r>
      <w:proofErr w:type="gramEnd"/>
      <w:r w:rsidRPr="002D2109">
        <w:rPr>
          <w:rFonts w:ascii="Arial" w:hAnsi="Arial" w:cs="Arial"/>
          <w:sz w:val="20"/>
        </w:rPr>
        <w:t xml:space="preserve"> on intrinsic water-use efficiency (</w:t>
      </w:r>
      <w:proofErr w:type="spellStart"/>
      <w:r w:rsidRPr="002D2109">
        <w:rPr>
          <w:rFonts w:ascii="Arial" w:hAnsi="Arial" w:cs="Arial"/>
          <w:sz w:val="20"/>
        </w:rPr>
        <w:t>iWUE</w:t>
      </w:r>
      <w:proofErr w:type="spellEnd"/>
      <w:r w:rsidRPr="002D2109">
        <w:rPr>
          <w:rFonts w:ascii="Arial" w:hAnsi="Arial" w:cs="Arial"/>
          <w:sz w:val="20"/>
        </w:rPr>
        <w:t xml:space="preserve">). </w:t>
      </w:r>
      <w:r w:rsidR="00CA62C6">
        <w:rPr>
          <w:rFonts w:ascii="Arial" w:hAnsi="Arial" w:cs="Arial"/>
          <w:sz w:val="20"/>
        </w:rPr>
        <w:t>(</w:t>
      </w:r>
      <w:proofErr w:type="spellStart"/>
      <w:proofErr w:type="gramStart"/>
      <w:r w:rsidR="00CA62C6" w:rsidRPr="00CA62C6">
        <w:rPr>
          <w:rFonts w:ascii="Arial" w:hAnsi="Arial" w:cs="Arial"/>
          <w:sz w:val="20"/>
        </w:rPr>
        <w:t>lmer</w:t>
      </w:r>
      <w:proofErr w:type="spellEnd"/>
      <w:r w:rsidR="00CA62C6" w:rsidRPr="00CA62C6">
        <w:rPr>
          <w:rFonts w:ascii="Arial" w:hAnsi="Arial" w:cs="Arial"/>
          <w:sz w:val="20"/>
        </w:rPr>
        <w:t>(</w:t>
      </w:r>
      <w:proofErr w:type="gramEnd"/>
      <w:r w:rsidR="00CA62C6" w:rsidRPr="00CA62C6">
        <w:rPr>
          <w:rFonts w:ascii="Arial" w:hAnsi="Arial" w:cs="Arial"/>
          <w:sz w:val="20"/>
        </w:rPr>
        <w:t>`</w:t>
      </w:r>
      <w:proofErr w:type="spellStart"/>
      <w:r w:rsidR="00CA62C6" w:rsidRPr="00CA62C6">
        <w:rPr>
          <w:rFonts w:ascii="Arial" w:hAnsi="Arial" w:cs="Arial"/>
          <w:sz w:val="20"/>
        </w:rPr>
        <w:t>iWUE</w:t>
      </w:r>
      <w:proofErr w:type="spellEnd"/>
      <w:r w:rsidR="00CA62C6" w:rsidRPr="00CA62C6">
        <w:rPr>
          <w:rFonts w:ascii="Arial" w:hAnsi="Arial" w:cs="Arial"/>
          <w:sz w:val="20"/>
        </w:rPr>
        <w:t xml:space="preserve"> (</w:t>
      </w:r>
      <w:proofErr w:type="spellStart"/>
      <w:r w:rsidR="00CA62C6" w:rsidRPr="00CA62C6">
        <w:rPr>
          <w:rFonts w:ascii="Arial" w:hAnsi="Arial" w:cs="Arial"/>
          <w:sz w:val="20"/>
        </w:rPr>
        <w:t>μmol</w:t>
      </w:r>
      <w:proofErr w:type="spellEnd"/>
      <w:r w:rsidR="00CA62C6" w:rsidRPr="00CA62C6">
        <w:rPr>
          <w:rFonts w:ascii="Arial" w:hAnsi="Arial" w:cs="Arial"/>
          <w:sz w:val="20"/>
        </w:rPr>
        <w:t>/</w:t>
      </w:r>
      <w:proofErr w:type="spellStart"/>
      <w:r w:rsidR="00CA62C6" w:rsidRPr="00CA62C6">
        <w:rPr>
          <w:rFonts w:ascii="Arial" w:hAnsi="Arial" w:cs="Arial"/>
          <w:sz w:val="20"/>
        </w:rPr>
        <w:t>mol</w:t>
      </w:r>
      <w:proofErr w:type="spellEnd"/>
      <w:r w:rsidR="00CA62C6" w:rsidRPr="00CA62C6">
        <w:rPr>
          <w:rFonts w:ascii="Arial" w:hAnsi="Arial" w:cs="Arial"/>
          <w:sz w:val="20"/>
        </w:rPr>
        <w:t>)` ~ name +  N + P + N*P  + (1|name</w:t>
      </w:r>
      <w:r w:rsidR="00F74341">
        <w:rPr>
          <w:rFonts w:ascii="Arial" w:hAnsi="Arial" w:cs="Arial"/>
          <w:sz w:val="20"/>
        </w:rPr>
        <w:t>) + (1|Plot) per elevation group).</w:t>
      </w:r>
    </w:p>
    <w:p w14:paraId="62E45236" w14:textId="0A81EB5F" w:rsidR="002D2109" w:rsidRPr="002D2109" w:rsidRDefault="002D2109" w:rsidP="002D2109">
      <w:pPr>
        <w:pStyle w:val="NormalWeb"/>
        <w:jc w:val="both"/>
        <w:rPr>
          <w:rFonts w:ascii="Arial" w:hAnsi="Arial" w:cs="Arial"/>
          <w:sz w:val="20"/>
        </w:rPr>
      </w:pPr>
      <w:r w:rsidRPr="002D2109">
        <w:rPr>
          <w:rFonts w:ascii="Arial" w:hAnsi="Arial" w:cs="Arial"/>
          <w:sz w:val="20"/>
        </w:rPr>
        <w:t>However, species-specific</w:t>
      </w:r>
      <w:r w:rsidR="009A4DCF">
        <w:rPr>
          <w:rFonts w:ascii="Arial" w:hAnsi="Arial" w:cs="Arial"/>
          <w:sz w:val="20"/>
        </w:rPr>
        <w:t xml:space="preserve"> </w:t>
      </w:r>
      <w:r w:rsidRPr="002D2109">
        <w:rPr>
          <w:rFonts w:ascii="Arial" w:hAnsi="Arial" w:cs="Arial"/>
          <w:sz w:val="20"/>
        </w:rPr>
        <w:t xml:space="preserve">responses </w:t>
      </w:r>
      <w:proofErr w:type="gramStart"/>
      <w:r w:rsidRPr="002D2109">
        <w:rPr>
          <w:rFonts w:ascii="Arial" w:hAnsi="Arial" w:cs="Arial"/>
          <w:sz w:val="20"/>
        </w:rPr>
        <w:t>were observed</w:t>
      </w:r>
      <w:proofErr w:type="gramEnd"/>
      <w:r w:rsidR="009A4DCF">
        <w:rPr>
          <w:rFonts w:ascii="Arial" w:hAnsi="Arial" w:cs="Arial"/>
          <w:sz w:val="20"/>
        </w:rPr>
        <w:t xml:space="preserve"> (tested with </w:t>
      </w:r>
      <w:r w:rsidR="009A4DCF">
        <w:rPr>
          <w:rStyle w:val="nfasis"/>
          <w:rFonts w:ascii="Arial" w:hAnsi="Arial" w:cs="Arial"/>
          <w:sz w:val="20"/>
        </w:rPr>
        <w:t>two way</w:t>
      </w:r>
      <w:r w:rsidR="009A4DCF" w:rsidRPr="002D2109">
        <w:rPr>
          <w:rStyle w:val="nfasis"/>
          <w:rFonts w:ascii="Arial" w:hAnsi="Arial" w:cs="Arial"/>
          <w:sz w:val="20"/>
        </w:rPr>
        <w:t xml:space="preserve"> ANOVA</w:t>
      </w:r>
      <w:r w:rsidR="009A4DCF">
        <w:rPr>
          <w:rStyle w:val="nfasis"/>
          <w:rFonts w:ascii="Arial" w:hAnsi="Arial" w:cs="Arial"/>
          <w:sz w:val="20"/>
        </w:rPr>
        <w:t xml:space="preserve"> with N*P interaction)</w:t>
      </w:r>
      <w:r w:rsidRPr="002D2109">
        <w:rPr>
          <w:rFonts w:ascii="Arial" w:hAnsi="Arial" w:cs="Arial"/>
          <w:sz w:val="20"/>
        </w:rPr>
        <w:t>:</w:t>
      </w:r>
    </w:p>
    <w:p w14:paraId="6C32C844" w14:textId="2A325603" w:rsidR="002D2109" w:rsidRPr="002D2109" w:rsidRDefault="002D2109" w:rsidP="002D2109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</w:rPr>
      </w:pPr>
      <w:proofErr w:type="spellStart"/>
      <w:r w:rsidRPr="002D2109">
        <w:rPr>
          <w:rStyle w:val="Textoennegrita"/>
          <w:rFonts w:ascii="Arial" w:hAnsi="Arial" w:cs="Arial"/>
          <w:sz w:val="20"/>
        </w:rPr>
        <w:t>Pouteria</w:t>
      </w:r>
      <w:proofErr w:type="spellEnd"/>
      <w:r w:rsidRPr="002D2109">
        <w:rPr>
          <w:rStyle w:val="Textoennegrita"/>
          <w:rFonts w:ascii="Arial" w:hAnsi="Arial" w:cs="Arial"/>
          <w:sz w:val="20"/>
        </w:rPr>
        <w:t xml:space="preserve"> </w:t>
      </w:r>
      <w:proofErr w:type="spellStart"/>
      <w:r w:rsidRPr="002D2109">
        <w:rPr>
          <w:rStyle w:val="Textoennegrita"/>
          <w:rFonts w:ascii="Arial" w:hAnsi="Arial" w:cs="Arial"/>
          <w:sz w:val="20"/>
        </w:rPr>
        <w:t>torta</w:t>
      </w:r>
      <w:proofErr w:type="spellEnd"/>
      <w:r w:rsidRPr="002D2109">
        <w:rPr>
          <w:rFonts w:ascii="Arial" w:hAnsi="Arial" w:cs="Arial"/>
          <w:sz w:val="20"/>
        </w:rPr>
        <w:t xml:space="preserve"> show</w:t>
      </w:r>
      <w:r>
        <w:rPr>
          <w:rFonts w:ascii="Arial" w:hAnsi="Arial" w:cs="Arial"/>
          <w:sz w:val="20"/>
        </w:rPr>
        <w:t xml:space="preserve">ed a significant difference in </w:t>
      </w:r>
      <w:r w:rsidRPr="002D2109">
        <w:rPr>
          <w:rFonts w:ascii="Arial" w:hAnsi="Arial" w:cs="Arial"/>
          <w:sz w:val="20"/>
        </w:rPr>
        <w:t>δ¹⁸O</w:t>
      </w:r>
      <w:r w:rsidR="009A4DCF">
        <w:rPr>
          <w:rFonts w:ascii="Arial" w:hAnsi="Arial" w:cs="Arial"/>
          <w:sz w:val="20"/>
        </w:rPr>
        <w:t xml:space="preserve"> among treatments</w:t>
      </w:r>
      <w:r w:rsidRPr="002D2109">
        <w:rPr>
          <w:rFonts w:ascii="Arial" w:hAnsi="Arial" w:cs="Arial"/>
          <w:sz w:val="20"/>
        </w:rPr>
        <w:t>.</w:t>
      </w:r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Pouteria</w:t>
      </w:r>
      <w:proofErr w:type="spellEnd"/>
      <w:r>
        <w:rPr>
          <w:rFonts w:ascii="Arial" w:hAnsi="Arial" w:cs="Arial"/>
          <w:sz w:val="20"/>
        </w:rPr>
        <w:t xml:space="preserve"> on the control group has higher </w:t>
      </w:r>
      <w:r w:rsidRPr="002D2109">
        <w:rPr>
          <w:rFonts w:ascii="Arial" w:hAnsi="Arial" w:cs="Arial"/>
          <w:sz w:val="20"/>
        </w:rPr>
        <w:t>δ¹⁸O</w:t>
      </w:r>
      <w:r>
        <w:rPr>
          <w:rFonts w:ascii="Arial" w:hAnsi="Arial" w:cs="Arial"/>
          <w:sz w:val="20"/>
        </w:rPr>
        <w:t xml:space="preserve"> than in the nutrient added plots.</w:t>
      </w:r>
    </w:p>
    <w:p w14:paraId="7339D30F" w14:textId="3A7E0FBC" w:rsidR="002D2109" w:rsidRPr="002D2109" w:rsidRDefault="002D2109" w:rsidP="002D2109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</w:rPr>
      </w:pPr>
      <w:proofErr w:type="spellStart"/>
      <w:r w:rsidRPr="002D2109">
        <w:rPr>
          <w:rStyle w:val="Textoennegrita"/>
          <w:rFonts w:ascii="Arial" w:hAnsi="Arial" w:cs="Arial"/>
          <w:sz w:val="20"/>
        </w:rPr>
        <w:t>Myrcia</w:t>
      </w:r>
      <w:proofErr w:type="spellEnd"/>
      <w:r w:rsidRPr="002D2109">
        <w:rPr>
          <w:rStyle w:val="Textoennegrita"/>
          <w:rFonts w:ascii="Arial" w:hAnsi="Arial" w:cs="Arial"/>
          <w:sz w:val="20"/>
        </w:rPr>
        <w:t xml:space="preserve"> sp.</w:t>
      </w:r>
      <w:r w:rsidRPr="002D2109">
        <w:rPr>
          <w:rFonts w:ascii="Arial" w:hAnsi="Arial" w:cs="Arial"/>
          <w:sz w:val="20"/>
        </w:rPr>
        <w:t xml:space="preserve"> exhibited </w:t>
      </w:r>
      <w:r w:rsidR="009A4DCF">
        <w:rPr>
          <w:rFonts w:ascii="Arial" w:hAnsi="Arial" w:cs="Arial"/>
          <w:sz w:val="20"/>
        </w:rPr>
        <w:t xml:space="preserve">a significant variation in δ¹⁸O and </w:t>
      </w:r>
      <w:r w:rsidR="009A4DCF" w:rsidRPr="002D2109">
        <w:rPr>
          <w:rFonts w:ascii="Arial" w:hAnsi="Arial" w:cs="Arial"/>
          <w:sz w:val="20"/>
        </w:rPr>
        <w:t>δ¹⁵N</w:t>
      </w:r>
      <w:r w:rsidRPr="002D2109">
        <w:rPr>
          <w:rFonts w:ascii="Arial" w:hAnsi="Arial" w:cs="Arial"/>
          <w:sz w:val="20"/>
        </w:rPr>
        <w:t>.</w:t>
      </w:r>
      <w:r w:rsidR="00255007">
        <w:rPr>
          <w:rFonts w:ascii="Arial" w:hAnsi="Arial" w:cs="Arial"/>
          <w:sz w:val="20"/>
        </w:rPr>
        <w:t xml:space="preserve"> </w:t>
      </w:r>
    </w:p>
    <w:p w14:paraId="0C62D81E" w14:textId="4723FD25" w:rsidR="002D2109" w:rsidRDefault="002D2109" w:rsidP="002D2109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</w:rPr>
      </w:pPr>
      <w:proofErr w:type="spellStart"/>
      <w:r w:rsidRPr="002D2109">
        <w:rPr>
          <w:rStyle w:val="Textoennegrita"/>
          <w:rFonts w:ascii="Arial" w:hAnsi="Arial" w:cs="Arial"/>
          <w:sz w:val="20"/>
        </w:rPr>
        <w:t>Clarisia</w:t>
      </w:r>
      <w:proofErr w:type="spellEnd"/>
      <w:r w:rsidRPr="002D2109">
        <w:rPr>
          <w:rStyle w:val="Textoennegrita"/>
          <w:rFonts w:ascii="Arial" w:hAnsi="Arial" w:cs="Arial"/>
          <w:sz w:val="20"/>
        </w:rPr>
        <w:t xml:space="preserve"> sp.</w:t>
      </w:r>
      <w:r w:rsidRPr="002D2109">
        <w:rPr>
          <w:rFonts w:ascii="Arial" w:hAnsi="Arial" w:cs="Arial"/>
          <w:sz w:val="20"/>
        </w:rPr>
        <w:t xml:space="preserve"> r</w:t>
      </w:r>
      <w:r w:rsidR="000A037B">
        <w:rPr>
          <w:rFonts w:ascii="Arial" w:hAnsi="Arial" w:cs="Arial"/>
          <w:sz w:val="20"/>
        </w:rPr>
        <w:t>esponded significantly in δ¹⁵N</w:t>
      </w:r>
      <w:r w:rsidRPr="002D2109">
        <w:rPr>
          <w:rFonts w:ascii="Arial" w:hAnsi="Arial" w:cs="Arial"/>
          <w:sz w:val="20"/>
        </w:rPr>
        <w:t>.</w:t>
      </w:r>
    </w:p>
    <w:p w14:paraId="295B0C09" w14:textId="72FA0AB4" w:rsidR="009A4DCF" w:rsidRPr="009A4DCF" w:rsidRDefault="009A4DCF" w:rsidP="009A4DCF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</w:rPr>
      </w:pPr>
      <w:proofErr w:type="spellStart"/>
      <w:r>
        <w:rPr>
          <w:rStyle w:val="Textoennegrita"/>
          <w:rFonts w:ascii="Arial" w:hAnsi="Arial" w:cs="Arial"/>
          <w:sz w:val="20"/>
        </w:rPr>
        <w:t>Alchornea</w:t>
      </w:r>
      <w:proofErr w:type="spellEnd"/>
      <w:r>
        <w:rPr>
          <w:rStyle w:val="Textoennegrita"/>
          <w:rFonts w:ascii="Arial" w:hAnsi="Arial" w:cs="Arial"/>
          <w:sz w:val="20"/>
        </w:rPr>
        <w:t xml:space="preserve"> </w:t>
      </w:r>
      <w:proofErr w:type="spellStart"/>
      <w:r>
        <w:rPr>
          <w:rStyle w:val="Textoennegrita"/>
          <w:rFonts w:ascii="Arial" w:hAnsi="Arial" w:cs="Arial"/>
          <w:sz w:val="20"/>
        </w:rPr>
        <w:t>lojaensis</w:t>
      </w:r>
      <w:proofErr w:type="spellEnd"/>
      <w:r>
        <w:rPr>
          <w:rStyle w:val="Textoennegrita"/>
          <w:rFonts w:ascii="Arial" w:hAnsi="Arial" w:cs="Arial"/>
          <w:sz w:val="20"/>
        </w:rPr>
        <w:t>.</w:t>
      </w:r>
      <w:r>
        <w:rPr>
          <w:rFonts w:ascii="Arial" w:hAnsi="Arial" w:cs="Arial"/>
          <w:sz w:val="20"/>
        </w:rPr>
        <w:t xml:space="preserve"> </w:t>
      </w:r>
      <w:proofErr w:type="gramStart"/>
      <w:r>
        <w:rPr>
          <w:rFonts w:ascii="Arial" w:hAnsi="Arial" w:cs="Arial"/>
          <w:sz w:val="20"/>
        </w:rPr>
        <w:t>responded</w:t>
      </w:r>
      <w:proofErr w:type="gramEnd"/>
      <w:r>
        <w:rPr>
          <w:rFonts w:ascii="Arial" w:hAnsi="Arial" w:cs="Arial"/>
          <w:sz w:val="20"/>
        </w:rPr>
        <w:t xml:space="preserve"> significantly in δ¹⁵N.</w:t>
      </w:r>
    </w:p>
    <w:p w14:paraId="4709BF81" w14:textId="77777777" w:rsidR="002D2109" w:rsidRPr="002D2109" w:rsidRDefault="002D2109" w:rsidP="002D2109">
      <w:pPr>
        <w:pStyle w:val="NormalWeb"/>
        <w:jc w:val="both"/>
        <w:rPr>
          <w:rFonts w:ascii="Arial" w:hAnsi="Arial" w:cs="Arial"/>
          <w:sz w:val="20"/>
        </w:rPr>
      </w:pPr>
      <w:r w:rsidRPr="002D2109">
        <w:rPr>
          <w:rFonts w:ascii="Arial" w:hAnsi="Arial" w:cs="Arial"/>
          <w:sz w:val="20"/>
        </w:rPr>
        <w:t xml:space="preserve">These findings suggest that while overall treatment effects are limited, </w:t>
      </w:r>
      <w:r w:rsidRPr="002D2109">
        <w:rPr>
          <w:rStyle w:val="Textoennegrita"/>
          <w:rFonts w:ascii="Arial" w:hAnsi="Arial" w:cs="Arial"/>
          <w:sz w:val="20"/>
        </w:rPr>
        <w:t>individual species display distinct isotopic responses</w:t>
      </w:r>
      <w:r w:rsidRPr="002D2109">
        <w:rPr>
          <w:rFonts w:ascii="Arial" w:hAnsi="Arial" w:cs="Arial"/>
          <w:sz w:val="20"/>
        </w:rPr>
        <w:t>, reflecting potential differences in physiological adjustments to nutrient addition along the elevation gradient.</w:t>
      </w:r>
    </w:p>
    <w:p w14:paraId="5C049213" w14:textId="77777777" w:rsidR="002D2109" w:rsidRPr="00776142" w:rsidRDefault="002D2109">
      <w:pPr>
        <w:rPr>
          <w:lang w:val="en-US"/>
        </w:rPr>
      </w:pPr>
      <w:bookmarkStart w:id="0" w:name="_GoBack"/>
      <w:bookmarkEnd w:id="0"/>
    </w:p>
    <w:p w14:paraId="3664D76B" w14:textId="77777777" w:rsidR="00BA1C42" w:rsidRDefault="0025080C">
      <w:r w:rsidRPr="0025080C">
        <w:rPr>
          <w:noProof/>
          <w:lang w:val="en-US"/>
        </w:rPr>
        <w:lastRenderedPageBreak/>
        <w:drawing>
          <wp:inline distT="0" distB="0" distL="0" distR="0" wp14:anchorId="23E357F2" wp14:editId="63B1A6B2">
            <wp:extent cx="5600700" cy="5562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E8A7" w14:textId="77777777" w:rsidR="0025080C" w:rsidRDefault="002D2109">
      <w:pPr>
        <w:rPr>
          <w:rFonts w:ascii="Arial" w:hAnsi="Arial" w:cs="Arial"/>
          <w:color w:val="000000"/>
          <w:shd w:val="clear" w:color="auto" w:fill="FFFFFF"/>
          <w:lang w:val="en-US"/>
        </w:rPr>
      </w:pPr>
      <w:r>
        <w:rPr>
          <w:lang w:val="en-US"/>
        </w:rPr>
        <w:t>Fig 2</w:t>
      </w:r>
      <w:r w:rsidR="0025080C">
        <w:rPr>
          <w:lang w:val="en-US"/>
        </w:rPr>
        <w:t xml:space="preserve">. </w:t>
      </w:r>
      <w:r w:rsidR="00776142">
        <w:rPr>
          <w:lang w:val="en-US"/>
        </w:rPr>
        <w:t xml:space="preserve">Stable isotope </w:t>
      </w:r>
      <w:r w:rsidR="0025080C">
        <w:rPr>
          <w:rFonts w:ascii="Arial" w:hAnsi="Arial" w:cs="Arial"/>
          <w:i/>
          <w:iCs/>
          <w:color w:val="000000"/>
          <w:shd w:val="clear" w:color="auto" w:fill="FFFFFF"/>
        </w:rPr>
        <w:t>δ</w:t>
      </w:r>
      <w:r w:rsidR="0025080C" w:rsidRPr="0025080C">
        <w:rPr>
          <w:rFonts w:ascii="Arial" w:hAnsi="Arial" w:cs="Arial"/>
          <w:color w:val="000000"/>
          <w:sz w:val="18"/>
          <w:szCs w:val="18"/>
          <w:shd w:val="clear" w:color="auto" w:fill="FFFFFF"/>
          <w:vertAlign w:val="superscript"/>
          <w:lang w:val="en-US"/>
        </w:rPr>
        <w:t>13</w:t>
      </w:r>
      <w:r w:rsidR="0025080C" w:rsidRPr="0025080C">
        <w:rPr>
          <w:rFonts w:ascii="Arial" w:hAnsi="Arial" w:cs="Arial"/>
          <w:color w:val="000000"/>
          <w:shd w:val="clear" w:color="auto" w:fill="FFFFFF"/>
          <w:lang w:val="en-US"/>
        </w:rPr>
        <w:t>C</w:t>
      </w:r>
      <w:r w:rsidR="00776142" w:rsidRPr="0025080C">
        <w:rPr>
          <w:rFonts w:ascii="Arial" w:hAnsi="Arial" w:cs="Arial"/>
          <w:color w:val="000000"/>
          <w:shd w:val="clear" w:color="auto" w:fill="FFFFFF"/>
          <w:lang w:val="en-US"/>
        </w:rPr>
        <w:t> plotted</w:t>
      </w:r>
      <w:r w:rsidR="0025080C" w:rsidRPr="0025080C">
        <w:rPr>
          <w:rFonts w:ascii="Arial" w:hAnsi="Arial" w:cs="Arial"/>
          <w:color w:val="000000"/>
          <w:shd w:val="clear" w:color="auto" w:fill="FFFFFF"/>
          <w:lang w:val="en-US"/>
        </w:rPr>
        <w:t xml:space="preserve"> against </w:t>
      </w:r>
      <w:r w:rsidR="0025080C">
        <w:rPr>
          <w:rFonts w:ascii="Arial" w:hAnsi="Arial" w:cs="Arial"/>
          <w:i/>
          <w:iCs/>
          <w:color w:val="000000"/>
          <w:shd w:val="clear" w:color="auto" w:fill="FFFFFF"/>
        </w:rPr>
        <w:t>δ</w:t>
      </w:r>
      <w:r w:rsidR="0025080C" w:rsidRPr="0025080C">
        <w:rPr>
          <w:rFonts w:ascii="Arial" w:hAnsi="Arial" w:cs="Arial"/>
          <w:color w:val="000000"/>
          <w:sz w:val="18"/>
          <w:szCs w:val="18"/>
          <w:shd w:val="clear" w:color="auto" w:fill="FFFFFF"/>
          <w:vertAlign w:val="superscript"/>
          <w:lang w:val="en-US"/>
        </w:rPr>
        <w:t>18</w:t>
      </w:r>
      <w:r w:rsidR="0025080C" w:rsidRPr="0025080C">
        <w:rPr>
          <w:rFonts w:ascii="Arial" w:hAnsi="Arial" w:cs="Arial"/>
          <w:color w:val="000000"/>
          <w:shd w:val="clear" w:color="auto" w:fill="FFFFFF"/>
          <w:lang w:val="en-US"/>
        </w:rPr>
        <w:t>O of leaf cellulose (</w:t>
      </w:r>
      <w:r w:rsidR="0025080C">
        <w:rPr>
          <w:rFonts w:ascii="Arial" w:hAnsi="Arial" w:cs="Arial"/>
          <w:i/>
          <w:iCs/>
          <w:color w:val="000000"/>
          <w:shd w:val="clear" w:color="auto" w:fill="FFFFFF"/>
        </w:rPr>
        <w:t>δ</w:t>
      </w:r>
      <w:r w:rsidR="0025080C" w:rsidRPr="0025080C">
        <w:rPr>
          <w:rFonts w:ascii="Arial" w:hAnsi="Arial" w:cs="Arial"/>
          <w:color w:val="000000"/>
          <w:sz w:val="18"/>
          <w:szCs w:val="18"/>
          <w:shd w:val="clear" w:color="auto" w:fill="FFFFFF"/>
          <w:vertAlign w:val="superscript"/>
          <w:lang w:val="en-US"/>
        </w:rPr>
        <w:t>18</w:t>
      </w:r>
      <w:r w:rsidR="0025080C" w:rsidRPr="0025080C">
        <w:rPr>
          <w:rFonts w:ascii="Arial" w:hAnsi="Arial" w:cs="Arial"/>
          <w:color w:val="000000"/>
          <w:shd w:val="clear" w:color="auto" w:fill="FFFFFF"/>
          <w:lang w:val="en-US"/>
        </w:rPr>
        <w:t>O</w:t>
      </w:r>
      <w:r w:rsidR="0025080C" w:rsidRPr="0025080C">
        <w:rPr>
          <w:rFonts w:ascii="Arial" w:hAnsi="Arial" w:cs="Arial"/>
          <w:color w:val="000000"/>
          <w:sz w:val="18"/>
          <w:szCs w:val="18"/>
          <w:shd w:val="clear" w:color="auto" w:fill="FFFFFF"/>
          <w:vertAlign w:val="subscript"/>
          <w:lang w:val="en-US"/>
        </w:rPr>
        <w:t>cel</w:t>
      </w:r>
      <w:r w:rsidR="0025080C" w:rsidRPr="0025080C">
        <w:rPr>
          <w:rFonts w:ascii="Arial" w:hAnsi="Arial" w:cs="Arial"/>
          <w:color w:val="000000"/>
          <w:shd w:val="clear" w:color="auto" w:fill="FFFFFF"/>
          <w:lang w:val="en-US"/>
        </w:rPr>
        <w:t>)</w:t>
      </w:r>
      <w:r w:rsidR="00776142">
        <w:rPr>
          <w:rFonts w:ascii="Arial" w:hAnsi="Arial" w:cs="Arial"/>
          <w:color w:val="000000"/>
          <w:shd w:val="clear" w:color="auto" w:fill="FFFFFF"/>
          <w:lang w:val="en-US"/>
        </w:rPr>
        <w:t xml:space="preserve">. Each color corresponds to an elevation group, in blue </w:t>
      </w:r>
      <w:proofErr w:type="spellStart"/>
      <w:r w:rsidR="00776142">
        <w:rPr>
          <w:rFonts w:ascii="Arial" w:hAnsi="Arial" w:cs="Arial"/>
          <w:color w:val="000000"/>
          <w:shd w:val="clear" w:color="auto" w:fill="FFFFFF"/>
          <w:lang w:val="en-US"/>
        </w:rPr>
        <w:t>Bombuscaro</w:t>
      </w:r>
      <w:proofErr w:type="spellEnd"/>
      <w:r w:rsidR="00776142">
        <w:rPr>
          <w:rFonts w:ascii="Arial" w:hAnsi="Arial" w:cs="Arial"/>
          <w:color w:val="000000"/>
          <w:shd w:val="clear" w:color="auto" w:fill="FFFFFF"/>
          <w:lang w:val="en-US"/>
        </w:rPr>
        <w:t xml:space="preserve"> n= 48, green </w:t>
      </w:r>
      <w:proofErr w:type="spellStart"/>
      <w:r w:rsidR="00776142">
        <w:rPr>
          <w:rFonts w:ascii="Arial" w:hAnsi="Arial" w:cs="Arial"/>
          <w:color w:val="000000"/>
          <w:shd w:val="clear" w:color="auto" w:fill="FFFFFF"/>
          <w:lang w:val="en-US"/>
        </w:rPr>
        <w:t>Cajanuma</w:t>
      </w:r>
      <w:proofErr w:type="spellEnd"/>
      <w:r w:rsidR="00776142">
        <w:rPr>
          <w:rFonts w:ascii="Arial" w:hAnsi="Arial" w:cs="Arial"/>
          <w:color w:val="000000"/>
          <w:shd w:val="clear" w:color="auto" w:fill="FFFFFF"/>
          <w:lang w:val="en-US"/>
        </w:rPr>
        <w:t xml:space="preserve"> n= 39, and orange San Francisco n = 95.</w:t>
      </w:r>
    </w:p>
    <w:p w14:paraId="4BF24521" w14:textId="77777777" w:rsidR="00776142" w:rsidRDefault="00776142">
      <w:pPr>
        <w:rPr>
          <w:rFonts w:ascii="Arial" w:hAnsi="Arial" w:cs="Arial"/>
          <w:color w:val="000000"/>
          <w:shd w:val="clear" w:color="auto" w:fill="FFFFFF"/>
          <w:lang w:val="en-US"/>
        </w:rPr>
      </w:pPr>
    </w:p>
    <w:p w14:paraId="2852E37F" w14:textId="77777777" w:rsidR="00776142" w:rsidRPr="0025080C" w:rsidRDefault="00776142">
      <w:pPr>
        <w:rPr>
          <w:lang w:val="en-US"/>
        </w:rPr>
      </w:pPr>
    </w:p>
    <w:sectPr w:rsidR="00776142" w:rsidRPr="002508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B31F7"/>
    <w:multiLevelType w:val="multilevel"/>
    <w:tmpl w:val="3F7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80C"/>
    <w:rsid w:val="000779D5"/>
    <w:rsid w:val="000A037B"/>
    <w:rsid w:val="0025080C"/>
    <w:rsid w:val="00255007"/>
    <w:rsid w:val="002D2109"/>
    <w:rsid w:val="00776142"/>
    <w:rsid w:val="009A4DCF"/>
    <w:rsid w:val="00AA54F3"/>
    <w:rsid w:val="00CA62C6"/>
    <w:rsid w:val="00ED1F38"/>
    <w:rsid w:val="00F7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0D711"/>
  <w15:chartTrackingRefBased/>
  <w15:docId w15:val="{8B3A618D-105E-4DB2-8042-1B38AB3F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2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2D2109"/>
    <w:rPr>
      <w:b/>
      <w:bCs/>
    </w:rPr>
  </w:style>
  <w:style w:type="character" w:styleId="nfasis">
    <w:name w:val="Emphasis"/>
    <w:basedOn w:val="Fuentedeprrafopredeter"/>
    <w:uiPriority w:val="20"/>
    <w:qFormat/>
    <w:rsid w:val="002D2109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25500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5500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5500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500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500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5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50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0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selene.baez</dc:creator>
  <cp:keywords/>
  <dc:description/>
  <cp:lastModifiedBy>selene.baez</cp:lastModifiedBy>
  <cp:revision>3</cp:revision>
  <dcterms:created xsi:type="dcterms:W3CDTF">2025-10-24T12:54:00Z</dcterms:created>
  <dcterms:modified xsi:type="dcterms:W3CDTF">2025-10-27T22:03:00Z</dcterms:modified>
</cp:coreProperties>
</file>