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color w:val="1F3864"/>
        </w:rPr>
        <w:t xml:space="preserve">Selección de modelos mixtos (interacción N×P vs. aditivo N+P)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Para cada especie y variable de respuesta se ajustaron dos modelos mixtos anidados (efecto aleatorio de Bloque): un modelo con interacción (N × P) y un modelo aditivo (N + P). La selección del modelo más adecuado se basó en una prueba de razón de verosimilitud (LRT, χ² con 1 g.l.) entre ambos modelos ajustados por máxima verosimilitud (ML). Se seleccionó el modelo con interacción cuando el LRT fue significativo (p &lt; 0.05); en caso contrario se retuvo el modelo aditivo, más parsimonioso. Los valores de AIC reportados corresponden a los modelos ajustados por ML.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Tabla S1. Variables fisiológicas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1800"/>
        <w:gridCol w:w="1500"/>
        <w:gridCol w:w="1500"/>
        <w:gridCol w:w="19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Especie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aditivo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interacción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χ² (1)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(LRT)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seleccionado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310.44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308.59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3.848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0.0498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106.45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106.99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1.467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0.2257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-90.81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-92.65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3.848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0.0498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94.56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96.54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0.024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0.8765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34.39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36.37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0.023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0.8792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-39.19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-37.21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0.024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0.8765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377.25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379.02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0.230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0.6316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152.54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154.31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0.231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0.6309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-123.94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-122.17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0.232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0.6302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394.91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396.05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0.856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0.3548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145.14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146.31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0.833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0.3613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-162.15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-161.02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0.872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0.3505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193.86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193.90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1.960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0.1615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88.84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88.88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1.960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0.1615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-40.20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-40.16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1.960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0.1615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iWUE (µmol/mol)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141.62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143.49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0.129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0.7195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d13C (‰ v.s.V-PDB)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51.51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53.38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0.129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0.7193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Ci/Ca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-59.00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-57.13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0.129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0.7195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iWUE: eficiencia intrínseca en el uso del agua; δ13C: composición isotópica de carbono; Ci/Ca: relación de concentración interna/ambiental de CO₂.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Tabla S2. Variables nutricionales foliares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1800"/>
        <w:gridCol w:w="1500"/>
        <w:gridCol w:w="1500"/>
        <w:gridCol w:w="19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Especie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aditivo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interacción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χ² (1)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(LRT)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seleccionado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118.72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118.91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1.808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0.1787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-29.37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-27.74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0.366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0.5450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199.50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200.79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0.711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0.3990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-71.28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-71.19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1.914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0.1665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-6.05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-4.21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0.159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0.6898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-183.14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-181.85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0.709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0.3999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210.43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212.36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0.073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0.7875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59.22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60.93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0.291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0.5898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-7.46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-7.00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1.538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0.2149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106.08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103.93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4.151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0.0416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-11.20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-9.30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0.7517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-10.14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-10.58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2.439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0.1183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-39.41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-41.52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4.101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0.0429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66.82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66.66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2.166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0.1411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173.52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175.09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0.429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0.5123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2.93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0.404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0.5249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313.41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314.11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1.302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0.2539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-46.76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-45.07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0.312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0.5765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-0.21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1.46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0.335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0.5628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-218.72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-217.99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1.266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0.2606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198.50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198.02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2.476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0.1156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141.15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142.68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0.470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0.4930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65.05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54.08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12.971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360.10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361.49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0.606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0.4362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-73.75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-72.30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0.557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0.4556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53.02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44.50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10.519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0.0012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-255.87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-254.49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0.622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0.4305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284.88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281.08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5.798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0.0160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99.40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99.78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1.614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0.2039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8.92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8.79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2.132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0.1443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152.02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151.91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2.104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0.1469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-21.47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-21.27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1.795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0.1803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-3.88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-3.58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1.698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0.1925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-103.21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-103.32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2.107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0.1467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108.93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110.83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0.096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0.7569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LNC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72.82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74.65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0.171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0.6796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LPC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20.22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10.89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11.329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LCC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146.48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145.45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3.024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0.0820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logNmass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-13.09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-11.19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0.7511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logPmass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12.79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-0.63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15.416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logCmass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-72.81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-73.77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2.960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0.0853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N:P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98.99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91.52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9.472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0.0021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LNC/LPC/LCC: concentración foliar de N, P y C (%); logNmass/logPmass/logCmass: masa foliar de N, P y C (log-transformada); N:P: razón N:P foliar.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Tabla S3. Variables morfológicas y estructurales foliares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700"/>
        <w:gridCol w:w="1600"/>
        <w:gridCol w:w="1700"/>
        <w:gridCol w:w="1300"/>
        <w:gridCol w:w="1500"/>
        <w:gridCol w:w="22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Especie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aditivo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AIC interacción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χ² (1)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(LRT)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seleccionado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264.74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266.73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0.013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0.9094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-154.00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-152.00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0.003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0.9536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-36.40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-34.40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0.005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0.9447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306.22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307.46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0.763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0.3825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Pouteria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346.03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346.76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1.269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0.2599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91.36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90.74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2.614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0.1059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-65.69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-72.96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9.268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0.0023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 ×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-7.82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-6.11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0.294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0.5874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86.57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87.79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0.779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0.3773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Clarisia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114.92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116.61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0.306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0.5803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264.72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265.28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1.440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0.2301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-132.89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-131.75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0.860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0.3536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-39.82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-38.95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1.124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0.2891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325.85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327.18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0.665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0.4150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430.64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432.52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0.119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0.7301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269.58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269.99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1.598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0.2061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-214.68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-214.28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1.597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0.2064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-89.43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-88.46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1.032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0.3097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308.55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309.93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0.620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0.4309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myrcia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472.80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473.68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1.123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0.2893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167.72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169.68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0.041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0.8398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-71.43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-69.68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0.248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0.6182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-10.57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-10.18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1.607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0.2049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128.21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129.64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0.566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0.4519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202.44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204.14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0.300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0.5841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Specific leaf area (cm²/g)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125.18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127.18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0.001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0.9765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-65.79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-63.84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0.051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0.8217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force to punch (kN/m)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-32.44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-30.46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0.017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0.8948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20.51</w:t>
            </w:r>
          </w:p>
        </w:tc>
        <w:tc>
          <w:tcPr>
            <w:tcW w:type="dxa" w:w="1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22.36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0.149</w:t>
            </w:r>
          </w:p>
        </w:tc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0.6994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Weinmania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dry matter content (mg/g)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190.48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191.86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0.627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0.4285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 + P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n: número de observaciones (hojas) por especie. LA: área foliar.</w:t>
      </w:r>
    </w:p>
    <w:sectPr>
      <w:headerReference w:type="default" r:id="rId7"/>
      <w:footerReference w:type="default" r:id="rId8"/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Material suplementario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2026-07-13T15:45:56.957Z</dcterms:created>
  <dcterms:modified xsi:type="dcterms:W3CDTF">2026-07-13T15:45:56.957Z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