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C42" w:rsidRDefault="00461403">
      <w:pPr>
        <w:rPr>
          <w:rStyle w:val="eop"/>
          <w:rFonts w:ascii="Calibri" w:hAnsi="Calibri" w:cs="Calibri"/>
          <w:color w:val="000000"/>
          <w:shd w:val="clear" w:color="auto" w:fill="FFFFFF"/>
          <w:lang w:val="en-US"/>
        </w:rPr>
      </w:pPr>
      <w:proofErr w:type="spellStart"/>
      <w:proofErr w:type="gram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hese</w:t>
      </w:r>
      <w:proofErr w:type="spellEnd"/>
      <w:proofErr w:type="gram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 xml:space="preserve"> montane forest species show high LPC compared to LNC, and for some species, P addition facilitates N assimilation (ex. </w:t>
      </w:r>
      <w:r w:rsidRPr="00461403">
        <w:rPr>
          <w:rStyle w:val="normaltextrun"/>
          <w:rFonts w:ascii="Calibri" w:hAnsi="Calibri" w:cs="Calibri"/>
          <w:i/>
          <w:iCs/>
          <w:color w:val="000000"/>
          <w:shd w:val="clear" w:color="auto" w:fill="FFFFFF"/>
          <w:lang w:val="en-US"/>
        </w:rPr>
        <w:t xml:space="preserve">P. </w:t>
      </w:r>
      <w:proofErr w:type="spellStart"/>
      <w:r w:rsidRPr="00461403">
        <w:rPr>
          <w:rStyle w:val="normaltextrun"/>
          <w:rFonts w:ascii="Calibri" w:hAnsi="Calibri" w:cs="Calibri"/>
          <w:i/>
          <w:iCs/>
          <w:color w:val="000000"/>
          <w:shd w:val="clear" w:color="auto" w:fill="FFFFFF"/>
          <w:lang w:val="en-US"/>
        </w:rPr>
        <w:t>torta</w:t>
      </w:r>
      <w:proofErr w:type="spell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). In tropical systems, climax species could have a P limitation more pronounced</w:t>
      </w:r>
      <w:proofErr w:type="gram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 </w:t>
      </w:r>
      <w:r>
        <w:rPr>
          <w:rStyle w:val="contentcontrolboundarysink"/>
          <w:rFonts w:ascii="Calibri" w:hAnsi="Calibri" w:cs="Calibri"/>
          <w:color w:val="000000"/>
          <w:shd w:val="clear" w:color="auto" w:fill="FFFFFF"/>
          <w:lang w:val="fr-FR"/>
        </w:rPr>
        <w:t>​</w:t>
      </w:r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(</w:t>
      </w:r>
      <w:proofErr w:type="gram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Zhang et al., 2018).</w:t>
      </w:r>
      <w:r>
        <w:rPr>
          <w:rStyle w:val="contentcontrolboundarysink"/>
          <w:rFonts w:ascii="Calibri" w:hAnsi="Calibri" w:cs="Calibri"/>
          <w:color w:val="000000"/>
          <w:shd w:val="clear" w:color="auto" w:fill="FFFFFF"/>
          <w:lang w:val="fr-FR"/>
        </w:rPr>
        <w:t>​</w:t>
      </w:r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 The acquisition of P, is consistent with the idea that species adapted to grow on nutrient-poor environments may be unable to downregulate P acquisition when this nutrient becomes available, maintaining uptake of an otherwise rare resource (</w:t>
      </w:r>
      <w:proofErr w:type="spell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Lambers</w:t>
      </w:r>
      <w:proofErr w:type="spell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 xml:space="preserve"> &amp; Shane, 2007; Standish et al., 2007; </w:t>
      </w:r>
      <w:proofErr w:type="spell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Ostertag</w:t>
      </w:r>
      <w:proofErr w:type="spell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, 2010). </w:t>
      </w:r>
      <w:r w:rsidRPr="00461403">
        <w:rPr>
          <w:rStyle w:val="eop"/>
          <w:rFonts w:ascii="Calibri" w:hAnsi="Calibri" w:cs="Calibri"/>
          <w:color w:val="000000"/>
          <w:shd w:val="clear" w:color="auto" w:fill="FFFFFF"/>
          <w:lang w:val="en-US"/>
        </w:rPr>
        <w:t> </w:t>
      </w:r>
    </w:p>
    <w:p w:rsidR="00EA121E" w:rsidRDefault="00EA121E">
      <w:pPr>
        <w:rPr>
          <w:rStyle w:val="eop"/>
          <w:rFonts w:ascii="Calibri" w:hAnsi="Calibri" w:cs="Calibri"/>
          <w:color w:val="000000"/>
          <w:shd w:val="clear" w:color="auto" w:fill="FFFFFF"/>
          <w:lang w:val="en-US"/>
        </w:rPr>
      </w:pPr>
    </w:p>
    <w:p w:rsidR="00EA121E" w:rsidRDefault="00EA121E">
      <w:pPr>
        <w:rPr>
          <w:rStyle w:val="eop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</w:pPr>
      <w:r w:rsidRPr="00EA121E">
        <w:rPr>
          <w:rStyle w:val="normaltextrun"/>
          <w:rFonts w:ascii="Calibri Light" w:hAnsi="Calibri Light" w:cs="Calibri Light"/>
          <w:b/>
          <w:bCs/>
          <w:color w:val="000000"/>
          <w:sz w:val="20"/>
          <w:szCs w:val="20"/>
          <w:shd w:val="clear" w:color="auto" w:fill="FFFFFF"/>
          <w:lang w:val="en-US"/>
        </w:rPr>
        <w:t>Nutrient deposition in the tropics effects. Literature: </w:t>
      </w:r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 xml:space="preserve">(Wright 2019) has an overview of tropical experiments. (Sayer &amp; </w:t>
      </w:r>
      <w:proofErr w:type="spellStart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Banin</w:t>
      </w:r>
      <w:proofErr w:type="spellEnd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 xml:space="preserve"> 2016) Meta-analyzes of tropical mountains</w:t>
      </w:r>
      <w:proofErr w:type="gramStart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.(</w:t>
      </w:r>
      <w:proofErr w:type="spellStart"/>
      <w:proofErr w:type="gramEnd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Dalling</w:t>
      </w:r>
      <w:proofErr w:type="spellEnd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 xml:space="preserve"> et al. 2016) also an overview on nutrients on mountain forests.</w:t>
      </w:r>
      <w:r w:rsidRPr="00EA121E">
        <w:rPr>
          <w:rStyle w:val="eop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 </w:t>
      </w:r>
    </w:p>
    <w:p w:rsidR="00515C9A" w:rsidRDefault="00515C9A">
      <w:pPr>
        <w:rPr>
          <w:rStyle w:val="eop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</w:pPr>
    </w:p>
    <w:p w:rsidR="00515C9A" w:rsidRPr="00515C9A" w:rsidRDefault="00515C9A" w:rsidP="00515C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5C9A">
        <w:rPr>
          <w:rFonts w:ascii="Times New Roman" w:eastAsia="Times New Roman" w:hAnsi="Times New Roman" w:cs="Times New Roman"/>
          <w:b/>
          <w:bCs/>
          <w:sz w:val="27"/>
          <w:szCs w:val="27"/>
        </w:rPr>
        <w:t>Tabla resumen (24 comparaciones: 6 especies × 4 rasgos)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2059"/>
        <w:gridCol w:w="1149"/>
        <w:gridCol w:w="703"/>
        <w:gridCol w:w="913"/>
        <w:gridCol w:w="1251"/>
        <w:gridCol w:w="1461"/>
      </w:tblGrid>
      <w:tr w:rsidR="00515C9A" w:rsidRPr="00515C9A" w:rsidTr="00515C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Especie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Rasgo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ΔAICc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int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− add)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χ²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p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ajustado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(FDR)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Modelo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preferido</w:t>
            </w:r>
            <w:proofErr w:type="spellEnd"/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Myrcia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logPmass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−7.93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10.52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0.0012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0.014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Interacción</w:t>
            </w:r>
            <w:proofErr w:type="spellEnd"/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Weinmania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logPmass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−10.78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15.42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&lt;0.0001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0.0021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Interacción</w:t>
            </w:r>
            <w:proofErr w:type="spellEnd"/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Pouteria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logCmass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logNmass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logPmass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N_area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+1.0 a +2.9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0.02–1.9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0.17–0.88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0.51–0.88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Aditivo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(las 4)</w:t>
            </w:r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Clarisia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las 4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+4.7 a +8.7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0.10–4.1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0.04–0.75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0.34–0.82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Aditivo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(las 4)</w:t>
            </w:r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Alchornea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las 4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+1.4 a +2.6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0.03–1.3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0.26–0.87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0.57–0.88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Aditivo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(las 4)</w:t>
            </w:r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Myrcia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logCmass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logNmass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N_area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+2.0 a +2.2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0.43–0.53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0.69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Aditivo</w:t>
            </w:r>
            <w:proofErr w:type="spellEnd"/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Hedyosmum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las 4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+1.9 a +3.5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0.55–2.1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0.15–0.46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0.51–0.69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Aditivo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(las 4)</w:t>
            </w:r>
          </w:p>
        </w:tc>
      </w:tr>
      <w:tr w:rsidR="00515C9A" w:rsidRPr="00515C9A" w:rsidTr="00515C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Weinmania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logCmass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logNmass</w:t>
            </w:r>
            <w:proofErr w:type="spellEnd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N_area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+1.7 a +4.5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0.10–3.0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0.09–0.75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0.51–0.</w:t>
            </w:r>
            <w:bookmarkStart w:id="0" w:name="_GoBack"/>
            <w:bookmarkEnd w:id="0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:rsidR="00515C9A" w:rsidRPr="00515C9A" w:rsidRDefault="00515C9A" w:rsidP="00515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15C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Aditivo</w:t>
            </w:r>
            <w:proofErr w:type="spellEnd"/>
          </w:p>
        </w:tc>
      </w:tr>
    </w:tbl>
    <w:p w:rsidR="00515C9A" w:rsidRPr="00EA121E" w:rsidRDefault="00515C9A">
      <w:pPr>
        <w:rPr>
          <w:lang w:val="en-US"/>
        </w:rPr>
      </w:pPr>
      <w:r>
        <w:rPr>
          <w:lang w:val="en-US"/>
        </w:rPr>
        <w:br w:type="textWrapping" w:clear="all"/>
      </w:r>
    </w:p>
    <w:sectPr w:rsidR="00515C9A" w:rsidRPr="00EA12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403"/>
    <w:rsid w:val="00327601"/>
    <w:rsid w:val="00461403"/>
    <w:rsid w:val="00515C9A"/>
    <w:rsid w:val="00A14DC6"/>
    <w:rsid w:val="00AA54F3"/>
    <w:rsid w:val="00EA121E"/>
    <w:rsid w:val="00ED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CE97A"/>
  <w15:chartTrackingRefBased/>
  <w15:docId w15:val="{148CB134-02E0-49C2-825B-4AAE8A33C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515C9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normaltextrun">
    <w:name w:val="normaltextrun"/>
    <w:basedOn w:val="Fuentedeprrafopredeter"/>
    <w:rsid w:val="00461403"/>
  </w:style>
  <w:style w:type="character" w:customStyle="1" w:styleId="contentcontrolboundarysink">
    <w:name w:val="contentcontrolboundarysink"/>
    <w:basedOn w:val="Fuentedeprrafopredeter"/>
    <w:rsid w:val="00461403"/>
  </w:style>
  <w:style w:type="character" w:customStyle="1" w:styleId="eop">
    <w:name w:val="eop"/>
    <w:basedOn w:val="Fuentedeprrafopredeter"/>
    <w:rsid w:val="00461403"/>
  </w:style>
  <w:style w:type="character" w:customStyle="1" w:styleId="Ttulo3Car">
    <w:name w:val="Título 3 Car"/>
    <w:basedOn w:val="Fuentedeprrafopredeter"/>
    <w:link w:val="Ttulo3"/>
    <w:uiPriority w:val="9"/>
    <w:rsid w:val="00515C9A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styleId="Textoennegrita">
    <w:name w:val="Strong"/>
    <w:basedOn w:val="Fuentedeprrafopredeter"/>
    <w:uiPriority w:val="22"/>
    <w:qFormat/>
    <w:rsid w:val="00515C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697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4</cp:revision>
  <dcterms:created xsi:type="dcterms:W3CDTF">2026-06-24T16:47:00Z</dcterms:created>
  <dcterms:modified xsi:type="dcterms:W3CDTF">2026-07-10T21:25:00Z</dcterms:modified>
</cp:coreProperties>
</file>