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79"/>
          <w:sz w:val="38"/>
          <w:szCs w:val="38"/>
        </w:rPr>
        <w:t xml:space="preserve">Bosquejo: abrir con la incógnita</w:t>
      </w:r>
    </w:p>
    <w:p>
      <w:pPr>
        <w:spacing w:after="60"/>
      </w:pPr>
      <w:r>
        <w:rPr>
          <w:color w:val="595959"/>
          <w:sz w:val="22"/>
          <w:szCs w:val="22"/>
        </w:rPr>
        <w:t xml:space="preserve">Qué pasa si el párrafo de deposición × CO₂ sube al segundo lugar — NUMEX iWUE</w:t>
      </w:r>
    </w:p>
    <w:p>
      <w:pPr>
        <w:pBdr>
          <w:bottom w:val="single" w:color="BFBFBF" w:sz="6" w:space="8"/>
        </w:pBdr>
        <w:spacing w:after="260"/>
      </w:pPr>
      <w:r>
        <w:rPr>
          <w:color w:val="595959"/>
          <w:sz w:val="19"/>
          <w:szCs w:val="19"/>
        </w:rPr>
        <w:t xml:space="preserve">Andrea Chávez · 4 de septiembre de 2026</w:t>
      </w:r>
    </w:p>
    <w:p>
      <w:pPr>
        <w:pStyle w:val="Heading1"/>
        <w:spacing w:after="160" w:before="340"/>
      </w:pPr>
      <w:r>
        <w:rPr>
          <w:b/>
          <w:bCs/>
          <w:color w:val="1F4E79"/>
          <w:sz w:val="28"/>
          <w:szCs w:val="28"/>
        </w:rPr>
        <w:t xml:space="preserve">Veredicto corto</w:t>
      </w:r>
    </w:p>
    <w:p>
      <w:pPr>
        <w:spacing w:after="140" w:line="276"/>
      </w:pPr>
      <w:r>
        <w:rPr>
          <w:sz w:val="21"/>
          <w:szCs w:val="21"/>
        </w:rPr>
        <w:t xml:space="preserve">Sí, funciona, y por una razón que va más allá de que el tema sea interesante: </w:t>
      </w:r>
      <w:r>
        <w:rPr>
          <w:b/>
          <w:bCs/>
          <w:sz w:val="21"/>
          <w:szCs w:val="21"/>
        </w:rPr>
        <w:t xml:space="preserve">arregla el defecto más serio que le queda a la apertura actual.</w:t>
      </w:r>
      <w:r>
        <w:rPr>
          <w:sz w:val="21"/>
          <w:szCs w:val="21"/>
        </w:rPr>
        <w:t xml:space="preserve"> Ahora mismo el párrafo 2 le pide al lector que acepte que "la montaña es un laboratorio natural" antes de saber qué problema resuelve ese laboratorio. Es una afirmación sin pregunta previa. Si abres con la incógnita — la deposición y el CO₂ cambian a la vez y nadie sabe si se refuerzan o se cancelan — entonces la montaña deja de ser una premisa y pasa a ser </w:t>
      </w:r>
      <w:r>
        <w:rPr>
          <w:i/>
          <w:iCs/>
          <w:sz w:val="21"/>
          <w:szCs w:val="21"/>
        </w:rPr>
        <w:t xml:space="preserve">la respuesta a una pregunta que el lector ya se está haciendo</w:t>
      </w:r>
      <w:r>
        <w:rPr>
          <w:sz w:val="21"/>
          <w:szCs w:val="21"/>
        </w:rPr>
        <w:t xml:space="preserve">. Es un cambio de función, no solo de posición.</w:t>
      </w:r>
    </w:p>
    <w:p>
      <w:pPr>
        <w:spacing w:after="140" w:line="276"/>
      </w:pPr>
      <w:r>
        <w:rPr>
          <w:b/>
          <w:bCs/>
          <w:sz w:val="21"/>
          <w:szCs w:val="21"/>
        </w:rPr>
        <w:t xml:space="preserve">El coste: </w:t>
      </w:r>
      <w:r>
        <w:rPr>
          <w:sz w:val="21"/>
          <w:szCs w:val="21"/>
        </w:rPr>
        <w:t xml:space="preserve">iWUE queda definida un párrafo más tarde (cuarto de seis en vez de tercero). Es asumible — en tu versión original estaba en el sexto de siete — pero conviene saberlo, porque va en contra del eje que fijaste (iWUE primero).</w:t>
      </w:r>
    </w:p>
    <w:p>
      <w:pPr>
        <w:spacing w:after="140" w:line="276"/>
      </w:pPr>
      <w:r>
        <w:rPr>
          <w:b/>
          <w:bCs/>
          <w:color w:val="9C1F1F"/>
          <w:sz w:val="21"/>
          <w:szCs w:val="21"/>
        </w:rPr>
        <w:t xml:space="preserve">El riesgo real, y hay que tomarlo en serio: </w:t>
      </w:r>
      <w:r>
        <w:rPr>
          <w:sz w:val="21"/>
          <w:szCs w:val="21"/>
        </w:rPr>
        <w:t xml:space="preserve">abrir con "CO₂ × nutrientes es una incógnita" hace que el lector espere que tú la resuelvas. Y no la resuelves: NUMEX no manipula CO₂. Cuanto más arriba y más prominente pongas esa incógnita, más grande es la promesa implícita. Por eso el aviso de que no manipulas CO₂ tiene que estar en ese mismo párrafo, no enterrado en Métodos.</w:t>
      </w:r>
    </w:p>
    <w:p>
      <w:pPr>
        <w:pStyle w:val="Heading1"/>
        <w:spacing w:after="160" w:before="340"/>
      </w:pPr>
      <w:r>
        <w:rPr>
          <w:b/>
          <w:bCs/>
          <w:color w:val="1F4E79"/>
          <w:sz w:val="28"/>
          <w:szCs w:val="28"/>
        </w:rPr>
        <w:t xml:space="preserve">El bosquejo</w:t>
      </w:r>
    </w:p>
    <w:p>
      <w:pPr>
        <w:spacing w:after="140" w:line="276"/>
      </w:pPr>
      <w:r>
        <w:rPr>
          <w:sz w:val="21"/>
          <w:szCs w:val="21"/>
        </w:rPr>
        <w:t xml:space="preserve">Seis párrafos. Marco en verde lo que hay que reescribir y en gris lo que se puede pegar tal cual desde los documentos anteriores. Las frases bisagra son lo que hace que un reordenamiento funcione o chirríe, así que las escribo completas.</w:t>
      </w:r>
    </w:p>
    <w:p>
      <w:pPr>
        <w:pStyle w:val="Heading2"/>
        <w:spacing w:after="110" w:before="260"/>
      </w:pPr>
      <w:r>
        <w:rPr>
          <w:b/>
          <w:bCs/>
          <w:color w:val="000000"/>
          <w:sz w:val="23"/>
          <w:szCs w:val="23"/>
        </w:rPr>
        <w:t xml:space="preserve">Párrafo 1 — Los BMT (recortar el final)</w:t>
      </w:r>
    </w:p>
    <w:p>
      <w:pPr>
        <w:pStyle w:val="ListParagraph"/>
        <w:numPr>
          <w:ilvl w:val="0"/>
          <w:numId w:val="2"/>
        </w:numPr>
        <w:spacing w:after="80" w:line="276"/>
      </w:pPr>
      <w:r>
        <w:rPr>
          <w:sz w:val="21"/>
          <w:szCs w:val="21"/>
        </w:rPr>
        <w:t xml:space="preserve">Extensión, biodiversidad, servicios ecosistémicos, almacenamiento de carbono. Igual que ahora.</w:t>
      </w:r>
    </w:p>
    <w:p>
      <w:pPr>
        <w:pStyle w:val="ListParagraph"/>
        <w:numPr>
          <w:ilvl w:val="0"/>
          <w:numId w:val="2"/>
        </w:numPr>
        <w:spacing w:after="80" w:line="276"/>
      </w:pPr>
      <w:r>
        <w:rPr>
          <w:b/>
          <w:bCs/>
          <w:color w:val="1F6B2E"/>
          <w:sz w:val="21"/>
          <w:szCs w:val="21"/>
        </w:rPr>
        <w:t xml:space="preserve">Cambio necesario: </w:t>
      </w:r>
      <w:r>
        <w:rPr>
          <w:sz w:val="21"/>
          <w:szCs w:val="21"/>
        </w:rPr>
        <w:t xml:space="preserve">hoy termina enumerando los tres drivers (temperatura, deposición, CO₂). Si el párrafo 2 va a desarrollar dos de ellos, esa enumeración se vuelve un índice de lo que viene — redundante. Recórtala y termina apuntando a la incógnita.</w:t>
      </w:r>
    </w:p>
    <w:p>
      <w:pPr>
        <w:spacing w:after="60" w:before="120"/>
      </w:pPr>
      <w:r>
        <w:rPr>
          <w:b/>
          <w:bCs/>
          <w:caps/>
          <w:color w:val="595959"/>
          <w:sz w:val="19"/>
          <w:szCs w:val="19"/>
        </w:rPr>
        <w:t xml:space="preserve">Frase bisagra — final del párrafo 1</w:t>
      </w:r>
    </w:p>
    <w:p>
      <w:pPr>
        <w:pBdr>
          <w:left w:val="single" w:color="1F4E79" w:sz="14" w:space="12"/>
        </w:pBdr>
        <w:spacing w:after="140" w:before="50" w:line="288"/>
        <w:ind w:left="300"/>
      </w:pPr>
      <w:r>
        <w:rPr>
          <w:color w:val="111111"/>
          <w:sz w:val="20"/>
          <w:szCs w:val="20"/>
        </w:rPr>
        <w:t xml:space="preserve">Despite this crucial role in regional water and carbon cycles, it remains poorly understood how TMFs are responding to the environmental changes now underway. Two of these are unfolding simultaneously and are not independent of one another: atmospheric CO2 is rising, and nutrient deposition is increasing — and whether the second reinforces or offsets the effect of the first is unresolved.</w:t>
      </w:r>
    </w:p>
    <w:p>
      <w:pPr>
        <w:pStyle w:val="Heading2"/>
        <w:spacing w:after="110" w:before="260"/>
      </w:pPr>
      <w:r>
        <w:rPr>
          <w:b/>
          <w:bCs/>
          <w:color w:val="000000"/>
          <w:sz w:val="23"/>
          <w:szCs w:val="23"/>
        </w:rPr>
        <w:t xml:space="preserve">Párrafo 2 — La incógnita (el nuevo arranque)</w:t>
      </w:r>
    </w:p>
    <w:p>
      <w:pPr>
        <w:pStyle w:val="ListParagraph"/>
        <w:numPr>
          <w:ilvl w:val="0"/>
          <w:numId w:val="2"/>
        </w:numPr>
        <w:spacing w:after="80" w:line="276"/>
      </w:pPr>
      <w:r>
        <w:rPr>
          <w:sz w:val="21"/>
          <w:szCs w:val="21"/>
        </w:rPr>
        <w:t xml:space="preserve">Deposición de N ~3.5× preindustrial; la de P mucho menos → el desbalance N:P (Bejarano-Castillo; Rastetter; Wilcke; Peñuelas).</w:t>
      </w:r>
    </w:p>
    <w:p>
      <w:pPr>
        <w:pStyle w:val="ListParagraph"/>
        <w:numPr>
          <w:ilvl w:val="0"/>
          <w:numId w:val="2"/>
        </w:numPr>
        <w:spacing w:after="80" w:line="276"/>
      </w:pPr>
      <w:r>
        <w:rPr>
          <w:sz w:val="21"/>
          <w:szCs w:val="21"/>
        </w:rPr>
        <w:t xml:space="preserve">La persistencia del efecto fertilizante del CO₂ depende de la disponibilidad de nutrientes (Fleischer &amp; Terrer; Terrer; Van Sundert).</w:t>
      </w:r>
    </w:p>
    <w:p>
      <w:pPr>
        <w:pStyle w:val="ListParagraph"/>
        <w:numPr>
          <w:ilvl w:val="0"/>
          <w:numId w:val="2"/>
        </w:numPr>
        <w:spacing w:after="80" w:line="276"/>
      </w:pPr>
      <w:r>
        <w:rPr>
          <w:sz w:val="21"/>
          <w:szCs w:val="21"/>
        </w:rPr>
        <w:t xml:space="preserve">La pregunta que te interesa: ¿puede la deposición aliviar esa limitación? Para N es plausible; para P los modelos se contradicen (Goll 2023 dice que sí; PNAS 2025 dice que no; Fleischer 2019 y GCB 2025 sugieren que el CO₂ empuja hacia más limitación por P pase lo que pase con la deposición).</w:t>
      </w:r>
    </w:p>
    <w:p>
      <w:pPr>
        <w:pStyle w:val="ListParagraph"/>
        <w:numPr>
          <w:ilvl w:val="0"/>
          <w:numId w:val="2"/>
        </w:numPr>
        <w:spacing w:after="80" w:line="276"/>
      </w:pPr>
      <w:r>
        <w:rPr>
          <w:b/>
          <w:bCs/>
          <w:sz w:val="21"/>
          <w:szCs w:val="21"/>
        </w:rPr>
        <w:t xml:space="preserve">El remate: </w:t>
      </w:r>
      <w:r>
        <w:rPr>
          <w:sz w:val="21"/>
          <w:szCs w:val="21"/>
        </w:rPr>
        <w:t xml:space="preserve">ninguna evidencia de campo para arbitrar entre esos modelos. Y separar N de P exige manipulación factorial, porque la deposición mueve los dos a la vez y en proporciones que no elegimos.</w:t>
      </w:r>
    </w:p>
    <w:p>
      <w:pPr>
        <w:pStyle w:val="ListParagraph"/>
        <w:numPr>
          <w:ilvl w:val="0"/>
          <w:numId w:val="2"/>
        </w:numPr>
        <w:spacing w:after="80" w:line="276"/>
      </w:pPr>
      <w:r>
        <w:rPr>
          <w:b/>
          <w:bCs/>
          <w:color w:val="9C1F1F"/>
          <w:sz w:val="21"/>
          <w:szCs w:val="21"/>
        </w:rPr>
        <w:t xml:space="preserve">Obligatorio aquí: </w:t>
      </w:r>
      <w:r>
        <w:rPr>
          <w:sz w:val="21"/>
          <w:szCs w:val="21"/>
        </w:rPr>
        <w:t xml:space="preserve">declarar que este estudio no manipula CO₂. Una frase, en este párrafo.</w:t>
      </w:r>
    </w:p>
    <w:p>
      <w:pPr>
        <w:spacing w:after="60" w:before="120"/>
      </w:pPr>
      <w:r>
        <w:rPr>
          <w:b/>
          <w:bCs/>
          <w:caps/>
          <w:color w:val="595959"/>
          <w:sz w:val="19"/>
          <w:szCs w:val="19"/>
        </w:rPr>
        <w:t xml:space="preserve">Frase bisagra — final del párrafo 2</w:t>
      </w:r>
    </w:p>
    <w:p>
      <w:pPr>
        <w:pBdr>
          <w:left w:val="single" w:color="1F4E79" w:sz="14" w:space="12"/>
        </w:pBdr>
        <w:spacing w:after="140" w:before="50" w:line="288"/>
        <w:ind w:left="300"/>
      </w:pPr>
      <w:r>
        <w:rPr>
          <w:color w:val="111111"/>
          <w:sz w:val="20"/>
          <w:szCs w:val="20"/>
        </w:rPr>
        <w:t xml:space="preserve">Resolving this requires experimental manipulation of nitrogen and phosphorus separately and together, in a system where nutrient limitation itself varies. Our experiment does not manipulate CO2, and cannot test the interaction directly; what it can test is the nutrient side of it — whether altered nutrient supply changes the physiological balance through which rising CO2 acts on trees.</w:t>
      </w:r>
    </w:p>
    <w:p>
      <w:pPr>
        <w:pStyle w:val="Heading2"/>
        <w:spacing w:after="110" w:before="260"/>
      </w:pPr>
      <w:r>
        <w:rPr>
          <w:b/>
          <w:bCs/>
          <w:color w:val="000000"/>
          <w:sz w:val="23"/>
          <w:szCs w:val="23"/>
        </w:rPr>
        <w:t xml:space="preserve">Párrafo 3 — La montaña, ahora como respuesta</w:t>
      </w:r>
    </w:p>
    <w:p>
      <w:pPr>
        <w:pStyle w:val="ListParagraph"/>
        <w:numPr>
          <w:ilvl w:val="0"/>
          <w:numId w:val="2"/>
        </w:numPr>
        <w:spacing w:after="80" w:line="276"/>
      </w:pPr>
      <w:r>
        <w:rPr>
          <w:b/>
          <w:bCs/>
          <w:color w:val="1F6B2E"/>
          <w:sz w:val="21"/>
          <w:szCs w:val="21"/>
        </w:rPr>
        <w:t xml:space="preserve">Cambio necesario: </w:t>
      </w:r>
      <w:r>
        <w:rPr>
          <w:sz w:val="21"/>
          <w:szCs w:val="21"/>
        </w:rPr>
        <w:t xml:space="preserve">hoy este párrafo abre un tema; en el orden nuevo tiene que cerrar el que quedó abierto. La apertura pasa de "las montañas son un laboratorio natural" a "un gradiente altitudinal ofrece exactamente eso".</w:t>
      </w:r>
    </w:p>
    <w:p>
      <w:pPr>
        <w:pStyle w:val="ListParagraph"/>
        <w:numPr>
          <w:ilvl w:val="0"/>
          <w:numId w:val="2"/>
        </w:numPr>
        <w:spacing w:after="80" w:line="276"/>
      </w:pPr>
      <w:r>
        <w:rPr>
          <w:sz w:val="21"/>
          <w:szCs w:val="21"/>
        </w:rPr>
        <w:t xml:space="preserve">Clima (temperatura, precipitación, radiación) comprimido en poca distancia (Malhi).</w:t>
      </w:r>
    </w:p>
    <w:p>
      <w:pPr>
        <w:pStyle w:val="ListParagraph"/>
        <w:numPr>
          <w:ilvl w:val="0"/>
          <w:numId w:val="2"/>
        </w:numPr>
        <w:spacing w:after="80" w:line="276"/>
      </w:pPr>
      <w:r>
        <w:rPr>
          <w:sz w:val="21"/>
          <w:szCs w:val="21"/>
        </w:rPr>
        <w:t xml:space="preserve">La disponibilidad de nutrientes también cambia con la altitud: descomposición más lenta, N tiende a ser más limitante (Soethe), aunque hay co-limitación reportada. Aquí es donde el gradiente natural de limitación se conecta con la deposición del párrafo anterior.</w:t>
      </w:r>
    </w:p>
    <w:p>
      <w:pPr>
        <w:pStyle w:val="ListParagraph"/>
        <w:numPr>
          <w:ilvl w:val="0"/>
          <w:numId w:val="2"/>
        </w:numPr>
        <w:spacing w:after="80" w:line="276"/>
      </w:pPr>
      <w:r>
        <w:rPr>
          <w:sz w:val="21"/>
          <w:szCs w:val="21"/>
        </w:rPr>
        <w:t xml:space="preserve">El vacío: poco se sabe de fotosíntesis foliar en gradientes tropicales andinos, y de iWUE menos todavía. Se queda aquí — es el anticipo del párrafo 5.</w:t>
      </w:r>
    </w:p>
    <w:p>
      <w:pPr>
        <w:spacing w:after="60" w:before="120"/>
      </w:pPr>
      <w:r>
        <w:rPr>
          <w:b/>
          <w:bCs/>
          <w:caps/>
          <w:color w:val="595959"/>
          <w:sz w:val="19"/>
          <w:szCs w:val="19"/>
        </w:rPr>
        <w:t xml:space="preserve">Frase bisagra — apertura del párrafo 3</w:t>
      </w:r>
    </w:p>
    <w:p>
      <w:pPr>
        <w:pBdr>
          <w:left w:val="single" w:color="1F4E79" w:sz="14" w:space="12"/>
        </w:pBdr>
        <w:spacing w:after="140" w:before="50" w:line="288"/>
        <w:ind w:left="300"/>
      </w:pPr>
      <w:r>
        <w:rPr>
          <w:color w:val="111111"/>
          <w:sz w:val="20"/>
          <w:szCs w:val="20"/>
        </w:rPr>
        <w:t xml:space="preserve">Tropical elevational gradients provide such a system. Climatic factors — temperature, precipitation and radiation — vary sharply over short distances (Malhi et al., 2010), and the availability of nitrogen and phosphorus varies with them, so that the natural background of nutrient limitation against which deposition acts is itself not constant along the gradient.</w:t>
      </w:r>
    </w:p>
    <w:p>
      <w:pPr>
        <w:spacing w:after="60" w:before="120"/>
      </w:pPr>
      <w:r>
        <w:rPr>
          <w:b/>
          <w:bCs/>
          <w:caps/>
          <w:color w:val="595959"/>
          <w:sz w:val="19"/>
          <w:szCs w:val="19"/>
        </w:rPr>
        <w:t xml:space="preserve">Frase bisagra — final del párrafo 3</w:t>
      </w:r>
    </w:p>
    <w:p>
      <w:pPr>
        <w:pBdr>
          <w:left w:val="single" w:color="1F4E79" w:sz="14" w:space="12"/>
        </w:pBdr>
        <w:spacing w:after="140" w:before="50" w:line="288"/>
        <w:ind w:left="300"/>
      </w:pPr>
      <w:r>
        <w:rPr>
          <w:color w:val="111111"/>
          <w:sz w:val="20"/>
          <w:szCs w:val="20"/>
        </w:rPr>
        <w:t xml:space="preserve">Detecting whether trees adjust physiologically along such gradients, however, requires traits that integrate function over time rather than at a single moment.</w:t>
      </w:r>
    </w:p>
    <w:p>
      <w:pPr>
        <w:pStyle w:val="Heading2"/>
        <w:spacing w:after="110" w:before="260"/>
      </w:pPr>
      <w:r>
        <w:rPr>
          <w:b/>
          <w:bCs/>
          <w:color w:val="000000"/>
          <w:sz w:val="23"/>
          <w:szCs w:val="23"/>
        </w:rPr>
        <w:t xml:space="preserve">Párrafo 4 — Rasgos funcionales e iWUE como instrumento</w:t>
      </w:r>
    </w:p>
    <w:p>
      <w:pPr>
        <w:pStyle w:val="ListParagraph"/>
        <w:numPr>
          <w:ilvl w:val="0"/>
          <w:numId w:val="2"/>
        </w:numPr>
        <w:spacing w:after="80" w:line="276"/>
      </w:pPr>
      <w:r>
        <w:rPr>
          <w:b/>
          <w:bCs/>
          <w:color w:val="595959"/>
          <w:sz w:val="21"/>
          <w:szCs w:val="21"/>
        </w:rPr>
        <w:t xml:space="preserve">Sin cambios. </w:t>
      </w:r>
      <w:r>
        <w:rPr>
          <w:sz w:val="21"/>
          <w:szCs w:val="21"/>
        </w:rPr>
        <w:t xml:space="preserve">Es el párrafo nuevo que te di en el documento anterior (rasgos foliares + definición de iWUE + el proxy δ13C + por qué los isótopos ven algo que el intercambio gaseoso instantáneo no ve). Se pega tal cual.</w:t>
      </w:r>
    </w:p>
    <w:p>
      <w:pPr>
        <w:pStyle w:val="Heading2"/>
        <w:spacing w:after="110" w:before="260"/>
      </w:pPr>
      <w:r>
        <w:rPr>
          <w:b/>
          <w:bCs/>
          <w:color w:val="000000"/>
          <w:sz w:val="23"/>
          <w:szCs w:val="23"/>
        </w:rPr>
        <w:t xml:space="preserve">Párrafo 5 — iWUE: mecanismo, optimalidad, literatura</w:t>
      </w:r>
    </w:p>
    <w:p>
      <w:pPr>
        <w:pStyle w:val="ListParagraph"/>
        <w:numPr>
          <w:ilvl w:val="0"/>
          <w:numId w:val="2"/>
        </w:numPr>
        <w:spacing w:after="80" w:line="276"/>
      </w:pPr>
      <w:r>
        <w:rPr>
          <w:b/>
          <w:bCs/>
          <w:color w:val="1F6B2E"/>
          <w:sz w:val="21"/>
          <w:szCs w:val="21"/>
        </w:rPr>
        <w:t xml:space="preserve">Un solo cambio: </w:t>
      </w:r>
      <w:r>
        <w:rPr>
          <w:sz w:val="21"/>
          <w:szCs w:val="21"/>
        </w:rPr>
        <w:t xml:space="preserve">el callback al CO₂ ahora apunta tres párrafos atrás en vez de uno. Sustituye "the atmospheric driver introduced above" por "the rising CO2 with which we began". Tres palabras.</w:t>
      </w:r>
    </w:p>
    <w:p>
      <w:pPr>
        <w:pStyle w:val="ListParagraph"/>
        <w:numPr>
          <w:ilvl w:val="0"/>
          <w:numId w:val="2"/>
        </w:numPr>
        <w:spacing w:after="80" w:line="276"/>
      </w:pPr>
      <w:r>
        <w:rPr>
          <w:sz w:val="21"/>
          <w:szCs w:val="21"/>
        </w:rPr>
        <w:t xml:space="preserve">El resto — mecanismo (N → Vcmax → Ci/Ca, salvo que gs suba en proporción), la predicción de optimalidad, la literatura templada con Elhani, y el vacío tropical — queda igual.</w:t>
      </w:r>
    </w:p>
    <w:p>
      <w:pPr>
        <w:pStyle w:val="Heading2"/>
        <w:spacing w:after="110" w:before="260"/>
      </w:pPr>
      <w:r>
        <w:rPr>
          <w:b/>
          <w:bCs/>
          <w:color w:val="000000"/>
          <w:sz w:val="23"/>
          <w:szCs w:val="23"/>
        </w:rPr>
        <w:t xml:space="preserve">Párrafo 6 — Este estudio y las tres preguntas</w:t>
      </w:r>
    </w:p>
    <w:p>
      <w:pPr>
        <w:pStyle w:val="ListParagraph"/>
        <w:numPr>
          <w:ilvl w:val="0"/>
          <w:numId w:val="2"/>
        </w:numPr>
        <w:spacing w:after="80" w:line="276"/>
      </w:pPr>
      <w:r>
        <w:rPr>
          <w:b/>
          <w:bCs/>
          <w:color w:val="595959"/>
          <w:sz w:val="21"/>
          <w:szCs w:val="21"/>
        </w:rPr>
        <w:t xml:space="preserve">Sin cambios. </w:t>
      </w:r>
      <w:r>
        <w:rPr>
          <w:sz w:val="21"/>
          <w:szCs w:val="21"/>
        </w:rPr>
        <w:t xml:space="preserve">El callback a Homeier/Báez y las tres preguntas funcionan igual en este orden.</w:t>
      </w:r>
    </w:p>
    <w:p>
      <w:pPr>
        <w:pStyle w:val="Heading1"/>
        <w:spacing w:after="160" w:before="340"/>
      </w:pPr>
      <w:r>
        <w:rPr>
          <w:b/>
          <w:bCs/>
          <w:color w:val="1F4E79"/>
          <w:sz w:val="28"/>
          <w:szCs w:val="28"/>
        </w:rPr>
        <w:t xml:space="preserve">Las tres opciones, para que elijas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3700"/>
      </w:tblGrid>
      <w:tr>
        <w:trPr>
          <w:tblHeader/>
        </w:trPr>
        <w:tc>
          <w:tcPr>
            <w:tcW w:type="dxa" w:w="1500"/>
            <w:shd w:fill="E8EEF4" w:val="clear"/>
            <w:tcMar>
              <w:top w:type="dxa" w:w="70"/>
              <w:left w:type="dxa" w:w="110"/>
              <w:bottom w:type="dxa" w:w="70"/>
              <w:right w:type="dxa" w:w="110"/>
            </w:tcMar>
          </w:tcPr>
          <w:p>
            <w:pPr>
              <w:spacing w:after="0" w:line="250"/>
            </w:pPr>
            <w:r>
              <w:rPr>
                <w:b/>
                <w:bCs/>
                <w:i w:val="false"/>
                <w:iCs w:val="false"/>
                <w:sz w:val="19"/>
                <w:szCs w:val="19"/>
              </w:rPr>
              <w:t xml:space="preserve">Opción</w:t>
            </w:r>
          </w:p>
        </w:tc>
        <w:tc>
          <w:tcPr>
            <w:tcW w:type="dxa" w:w="3600"/>
            <w:shd w:fill="E8EEF4" w:val="clear"/>
            <w:tcMar>
              <w:top w:type="dxa" w:w="70"/>
              <w:left w:type="dxa" w:w="110"/>
              <w:bottom w:type="dxa" w:w="70"/>
              <w:right w:type="dxa" w:w="110"/>
            </w:tcMar>
          </w:tcPr>
          <w:p>
            <w:pPr>
              <w:spacing w:after="0" w:line="250"/>
            </w:pPr>
            <w:r>
              <w:rPr>
                <w:b/>
                <w:bCs/>
                <w:i w:val="false"/>
                <w:iCs w:val="false"/>
                <w:sz w:val="19"/>
                <w:szCs w:val="19"/>
              </w:rPr>
              <w:t xml:space="preserve">Orden</w:t>
            </w:r>
          </w:p>
        </w:tc>
        <w:tc>
          <w:tcPr>
            <w:tcW w:type="dxa" w:w="3700"/>
            <w:shd w:fill="E8EEF4" w:val="clear"/>
            <w:tcMar>
              <w:top w:type="dxa" w:w="70"/>
              <w:left w:type="dxa" w:w="110"/>
              <w:bottom w:type="dxa" w:w="70"/>
              <w:right w:type="dxa" w:w="110"/>
            </w:tcMar>
          </w:tcPr>
          <w:p>
            <w:pPr>
              <w:spacing w:after="0" w:line="250"/>
            </w:pPr>
            <w:r>
              <w:rPr>
                <w:b/>
                <w:bCs/>
                <w:i w:val="false"/>
                <w:iCs w:val="false"/>
                <w:sz w:val="19"/>
                <w:szCs w:val="19"/>
              </w:rPr>
              <w:t xml:space="preserve">Balance</w:t>
            </w:r>
          </w:p>
        </w:tc>
      </w:tr>
      <w:tr>
        <w:trPr>
          <w:tblHeader w:val="false"/>
        </w:trPr>
        <w:tc>
          <w:tcPr>
            <w:tcW w:type="dxa" w:w="1500"/>
            <w:tcMar>
              <w:top w:type="dxa" w:w="70"/>
              <w:left w:type="dxa" w:w="110"/>
              <w:bottom w:type="dxa" w:w="70"/>
              <w:right w:type="dxa" w:w="110"/>
            </w:tcMar>
          </w:tcPr>
          <w:p>
            <w:pPr>
              <w:spacing w:after="0" w:line="250"/>
            </w:pPr>
            <w:r>
              <w:rPr>
                <w:b/>
                <w:bCs/>
                <w:color w:val="1F6B2E"/>
                <w:sz w:val="19"/>
                <w:szCs w:val="19"/>
              </w:rPr>
              <w:t xml:space="preserve">A — la tuya</w:t>
            </w:r>
          </w:p>
        </w:tc>
        <w:tc>
          <w:tcPr>
            <w:tcW w:type="dxa" w:w="3600"/>
            <w:tcMar>
              <w:top w:type="dxa" w:w="70"/>
              <w:left w:type="dxa" w:w="110"/>
              <w:bottom w:type="dxa" w:w="70"/>
              <w:right w:type="dxa" w:w="110"/>
            </w:tcMar>
          </w:tcPr>
          <w:p>
            <w:pPr>
              <w:spacing w:after="0" w:line="250"/>
            </w:pPr>
            <w:r>
              <w:rPr>
                <w:b w:val="false"/>
                <w:bCs w:val="false"/>
                <w:i w:val="false"/>
                <w:iCs w:val="false"/>
                <w:sz w:val="19"/>
                <w:szCs w:val="19"/>
              </w:rPr>
              <w:t xml:space="preserve">TMF → incógnita CO₂×nutrientes → montaña → rasgos+iWUE → mecanismo → estudio</w:t>
            </w:r>
          </w:p>
        </w:tc>
        <w:tc>
          <w:tcPr>
            <w:tcW w:type="dxa" w:w="3700"/>
            <w:tcMar>
              <w:top w:type="dxa" w:w="70"/>
              <w:left w:type="dxa" w:w="110"/>
              <w:bottom w:type="dxa" w:w="70"/>
              <w:right w:type="dxa" w:w="110"/>
            </w:tcMar>
          </w:tcPr>
          <w:p>
            <w:pPr>
              <w:spacing w:after="0" w:line="250"/>
            </w:pPr>
            <w:r>
              <w:rPr>
                <w:color w:val="1F6B2E"/>
                <w:sz w:val="19"/>
                <w:szCs w:val="19"/>
              </w:rPr>
              <w:t xml:space="preserve">Apertura más fuerte; la montaña pasa a ser respuesta y no premisa. Coste: iWUE se define en el 4º párrafo. Riesgo: promete una interacción que no resuelves — mitigable con una frase.</w:t>
            </w:r>
          </w:p>
        </w:tc>
      </w:tr>
      <w:tr>
        <w:trPr>
          <w:tblHeader w:val="false"/>
        </w:trPr>
        <w:tc>
          <w:tcPr>
            <w:tcW w:type="dxa" w:w="1500"/>
            <w:tcMar>
              <w:top w:type="dxa" w:w="70"/>
              <w:left w:type="dxa" w:w="110"/>
              <w:bottom w:type="dxa" w:w="70"/>
              <w:right w:type="dxa" w:w="110"/>
            </w:tcMar>
          </w:tcPr>
          <w:p>
            <w:pPr>
              <w:spacing w:after="0" w:line="250"/>
            </w:pPr>
            <w:r>
              <w:rPr>
                <w:b/>
                <w:bCs/>
                <w:sz w:val="19"/>
                <w:szCs w:val="19"/>
              </w:rPr>
              <w:t xml:space="preserve">B — la actual</w:t>
            </w:r>
          </w:p>
        </w:tc>
        <w:tc>
          <w:tcPr>
            <w:tcW w:type="dxa" w:w="3600"/>
            <w:tcMar>
              <w:top w:type="dxa" w:w="70"/>
              <w:left w:type="dxa" w:w="110"/>
              <w:bottom w:type="dxa" w:w="70"/>
              <w:right w:type="dxa" w:w="110"/>
            </w:tcMar>
          </w:tcPr>
          <w:p>
            <w:pPr>
              <w:spacing w:after="0" w:line="250"/>
            </w:pPr>
            <w:r>
              <w:rPr>
                <w:b w:val="false"/>
                <w:bCs w:val="false"/>
                <w:i w:val="false"/>
                <w:iCs w:val="false"/>
                <w:sz w:val="19"/>
                <w:szCs w:val="19"/>
              </w:rPr>
              <w:t xml:space="preserve">TMF → montaña → rasgos+iWUE → drivers → mecanismo → estudio</w:t>
            </w:r>
          </w:p>
        </w:tc>
        <w:tc>
          <w:tcPr>
            <w:tcW w:type="dxa" w:w="3700"/>
            <w:tcMar>
              <w:top w:type="dxa" w:w="70"/>
              <w:left w:type="dxa" w:w="110"/>
              <w:bottom w:type="dxa" w:w="70"/>
              <w:right w:type="dxa" w:w="110"/>
            </w:tcMar>
          </w:tcPr>
          <w:p>
            <w:pPr>
              <w:spacing w:after="0" w:line="250"/>
            </w:pPr>
            <w:r>
              <w:rPr>
                <w:b w:val="false"/>
                <w:bCs w:val="false"/>
                <w:i w:val="false"/>
                <w:iCs w:val="false"/>
                <w:sz w:val="19"/>
                <w:szCs w:val="19"/>
              </w:rPr>
              <w:t xml:space="preserve">iWUE aparece antes (3º) y el CO₂ queda pegado al párrafo que lo usa. Pero abre con una premisa geográfica en vez de con un problema.</w:t>
            </w:r>
          </w:p>
        </w:tc>
      </w:tr>
      <w:tr>
        <w:trPr>
          <w:tblHeader w:val="false"/>
        </w:trPr>
        <w:tc>
          <w:tcPr>
            <w:tcW w:type="dxa" w:w="1500"/>
            <w:tcMar>
              <w:top w:type="dxa" w:w="70"/>
              <w:left w:type="dxa" w:w="110"/>
              <w:bottom w:type="dxa" w:w="70"/>
              <w:right w:type="dxa" w:w="110"/>
            </w:tcMar>
          </w:tcPr>
          <w:p>
            <w:pPr>
              <w:spacing w:after="0" w:line="250"/>
            </w:pPr>
            <w:r>
              <w:rPr>
                <w:b/>
                <w:bCs/>
                <w:color w:val="8A6100"/>
                <w:sz w:val="19"/>
                <w:szCs w:val="19"/>
              </w:rPr>
              <w:t xml:space="preserve">C — intermedia</w:t>
            </w:r>
          </w:p>
        </w:tc>
        <w:tc>
          <w:tcPr>
            <w:tcW w:type="dxa" w:w="3600"/>
            <w:tcMar>
              <w:top w:type="dxa" w:w="70"/>
              <w:left w:type="dxa" w:w="110"/>
              <w:bottom w:type="dxa" w:w="70"/>
              <w:right w:type="dxa" w:w="110"/>
            </w:tcMar>
          </w:tcPr>
          <w:p>
            <w:pPr>
              <w:spacing w:after="0" w:line="250"/>
            </w:pPr>
            <w:r>
              <w:rPr>
                <w:b w:val="false"/>
                <w:bCs w:val="false"/>
                <w:i w:val="false"/>
                <w:iCs w:val="false"/>
                <w:sz w:val="19"/>
                <w:szCs w:val="19"/>
              </w:rPr>
              <w:t xml:space="preserve">Igual que B, pero el párrafo 1 cierra con la incógnita en una sola frase</w:t>
            </w:r>
          </w:p>
        </w:tc>
        <w:tc>
          <w:tcPr>
            <w:tcW w:type="dxa" w:w="3700"/>
            <w:tcMar>
              <w:top w:type="dxa" w:w="70"/>
              <w:left w:type="dxa" w:w="110"/>
              <w:bottom w:type="dxa" w:w="70"/>
              <w:right w:type="dxa" w:w="110"/>
            </w:tcMar>
          </w:tcPr>
          <w:p>
            <w:pPr>
              <w:spacing w:after="0" w:line="250"/>
            </w:pPr>
            <w:r>
              <w:rPr>
                <w:color w:val="8A6100"/>
                <w:sz w:val="19"/>
                <w:szCs w:val="19"/>
              </w:rPr>
              <w:t xml:space="preserve">Te quedas con el gancho sin mover nada ni asumir el riesgo de sobreprometer. Es la opción conservadora si el reordenamiento te da vértigo a estas alturas del manuscrito.</w:t>
            </w:r>
          </w:p>
        </w:tc>
      </w:tr>
    </w:tbl>
    <w:p>
      <w:pPr>
        <w:spacing w:after="60"/>
      </w:pPr>
    </w:p>
    <w:p>
      <w:pPr>
        <w:spacing w:after="140" w:line="276"/>
      </w:pPr>
      <w:r>
        <w:rPr>
          <w:b/>
          <w:bCs/>
          <w:sz w:val="21"/>
          <w:szCs w:val="21"/>
        </w:rPr>
        <w:t xml:space="preserve">Yo iría por la A. </w:t>
      </w:r>
      <w:r>
        <w:rPr>
          <w:sz w:val="21"/>
          <w:szCs w:val="21"/>
        </w:rPr>
        <w:t xml:space="preserve">El defecto que corrige — abrir con una premisa en vez de con un problema — es más grave que el que introduce, y los dos costes (iWUE un párrafo más tarde, riesgo de sobrepromesa) se controlan con las frases que están arriba. Si el manuscrito ya está muy avanzado y no quieres tocar la estructura, la C te da la mitad del beneficio por una décima parte del trabajo.</w:t>
      </w:r>
    </w:p>
    <w:p>
      <w:pPr>
        <w:pStyle w:val="Heading1"/>
        <w:spacing w:after="160" w:before="340"/>
      </w:pPr>
      <w:r>
        <w:rPr>
          <w:b/>
          <w:bCs/>
          <w:color w:val="1F4E79"/>
          <w:sz w:val="28"/>
          <w:szCs w:val="28"/>
        </w:rPr>
        <w:t xml:space="preserve">Lo que hay que escribir de nuevo</w:t>
      </w:r>
    </w:p>
    <w:p>
      <w:pPr>
        <w:spacing w:after="140" w:line="276"/>
      </w:pPr>
      <w:r>
        <w:rPr>
          <w:sz w:val="21"/>
          <w:szCs w:val="21"/>
        </w:rPr>
        <w:t xml:space="preserve">Poco, en realidad. El reordenamiento reutiliza casi todo:</w:t>
      </w:r>
    </w:p>
    <w:p>
      <w:pPr>
        <w:pStyle w:val="ListParagraph"/>
        <w:numPr>
          <w:ilvl w:val="0"/>
          <w:numId w:val="2"/>
        </w:numPr>
        <w:spacing w:after="80" w:line="276"/>
      </w:pPr>
      <w:r>
        <w:rPr>
          <w:sz w:val="21"/>
          <w:szCs w:val="21"/>
        </w:rPr>
        <w:t xml:space="preserve">El final del párrafo 1 (dos frases) — para que no duplique el 2.</w:t>
      </w:r>
    </w:p>
    <w:p>
      <w:pPr>
        <w:pStyle w:val="ListParagraph"/>
        <w:numPr>
          <w:ilvl w:val="0"/>
          <w:numId w:val="2"/>
        </w:numPr>
        <w:spacing w:after="80" w:line="276"/>
      </w:pPr>
      <w:r>
        <w:rPr>
          <w:sz w:val="21"/>
          <w:szCs w:val="21"/>
        </w:rPr>
        <w:t xml:space="preserve">La apertura del párrafo 3 (dos frases) — para que la montaña responda en lugar de presentar.</w:t>
      </w:r>
    </w:p>
    <w:p>
      <w:pPr>
        <w:pStyle w:val="ListParagraph"/>
        <w:numPr>
          <w:ilvl w:val="0"/>
          <w:numId w:val="2"/>
        </w:numPr>
        <w:spacing w:after="80" w:line="276"/>
      </w:pPr>
      <w:r>
        <w:rPr>
          <w:sz w:val="21"/>
          <w:szCs w:val="21"/>
        </w:rPr>
        <w:t xml:space="preserve">Una frase en el párrafo 2 declarando que no manipulas CO₂.</w:t>
      </w:r>
    </w:p>
    <w:p>
      <w:pPr>
        <w:pStyle w:val="ListParagraph"/>
        <w:numPr>
          <w:ilvl w:val="0"/>
          <w:numId w:val="2"/>
        </w:numPr>
        <w:spacing w:after="80" w:line="276"/>
      </w:pPr>
      <w:r>
        <w:rPr>
          <w:sz w:val="21"/>
          <w:szCs w:val="21"/>
        </w:rPr>
        <w:t xml:space="preserve">Tres palabras en el párrafo 5 para el callback.</w:t>
      </w:r>
    </w:p>
    <w:p>
      <w:pPr>
        <w:spacing w:after="140" w:line="276"/>
      </w:pPr>
      <w:r>
        <w:rPr>
          <w:sz w:val="21"/>
          <w:szCs w:val="21"/>
        </w:rPr>
        <w:t xml:space="preserve">Todo lo demás — el cuerpo del párrafo de deposición, el de rasgos e iWUE, el de mecanismo y optimalidad, y las tres preguntas — se pega desde los documentos que ya tienes.</w:t>
      </w:r>
    </w:p>
    <w:sectPr>
      <w:pgSz w:w="11906" w:h="16838" w:orient="portrait"/>
      <w:pgMar w:top="1180" w:right="1180" w:bottom="11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2026-09-04T23:33:01.712Z</dcterms:created>
  <dcterms:modified xsi:type="dcterms:W3CDTF">2026-09-04T23:33:01.726Z</dcterms:modified>
</cp:coreProperties>
</file>

<file path=docProps/custom.xml><?xml version="1.0" encoding="utf-8"?>
<Properties xmlns="http://schemas.openxmlformats.org/officeDocument/2006/custom-properties" xmlns:vt="http://schemas.openxmlformats.org/officeDocument/2006/docPropsVTypes"/>
</file>