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Discussion — restructured draft with editorial notes</w:t>
      </w:r>
    </w:p>
    <w:p>
      <w:pPr>
        <w:spacing w:after="400"/>
        <w:jc w:val="center"/>
      </w:pPr>
      <w:r>
        <w:rPr>
          <w:rFonts w:ascii="Calibri" w:cs="Calibri" w:eastAsia="Calibri" w:hAnsi="Calibri"/>
          <w:color w:val="666666"/>
          <w:sz w:val="20"/>
          <w:szCs w:val="20"/>
        </w:rPr>
        <w:t xml:space="preserve">Prepared for Andrea · 10 September 2026</w:t>
      </w:r>
    </w:p>
    <w:p>
      <w:pPr>
        <w:pStyle w:val="Heading1"/>
        <w:spacing w:after="160" w:before="400"/>
      </w:pPr>
      <w:r>
        <w:rPr>
          <w:rFonts w:ascii="Calibri" w:cs="Calibri" w:eastAsia="Calibri" w:hAnsi="Calibri"/>
          <w:b/>
          <w:bCs/>
          <w:color w:val="1F3B57"/>
          <w:sz w:val="26"/>
          <w:szCs w:val="26"/>
        </w:rPr>
        <w:t xml:space="preserve">Notas de revisión — respuestas a tus tres preguntas</w:t>
      </w:r>
    </w:p>
    <w:p>
      <w:pPr>
        <w:spacing w:after="120" w:before="300"/>
      </w:pPr>
      <w:r>
        <w:rPr>
          <w:rFonts w:ascii="Calibri" w:cs="Calibri" w:eastAsia="Calibri" w:hAnsi="Calibri"/>
          <w:b/>
          <w:bCs/>
          <w:sz w:val="24"/>
          <w:szCs w:val="24"/>
        </w:rPr>
        <w:t xml:space="preserve">1. ¿Los "controles" (patrón por elevación) deben ir en la sección 2, integrando ahí la pregunta exploratoria 3?</w:t>
      </w:r>
    </w:p>
    <w:p>
      <w:pPr>
        <w:spacing w:after="200" w:line="276"/>
        <w:jc w:val="both"/>
      </w:pPr>
      <w:r>
        <w:rPr>
          <w:rFonts w:ascii="Georgia" w:cs="Georgia" w:eastAsia="Georgia" w:hAnsi="Georgia"/>
          <w:i w:val="false"/>
          <w:iCs w:val="false"/>
          <w:sz w:val="22"/>
          <w:szCs w:val="22"/>
        </w:rPr>
        <w:t xml:space="preserve">Sí, en parte — pero con matices. Reestructuré así: moví el párrafo sobre el patrón natural de iWUE por elevación (lo que antes abría la sección 3) al final de la sección 2, porque ese hallazgo no es una idea nueva sino la prueba empírica del mismo argumento teórico que ya construiste en la sección 2 (que iWUE debería seguir el clima, no los nutrientes, bajo EEO). Ponerlo ahí le da a la sección 2 un cierre natural: "esto es lo que predice la teoría → y de hecho, en nuestras propias parcelas control, así se comporta".</w:t>
      </w:r>
    </w:p>
    <w:p>
      <w:pPr>
        <w:spacing w:after="200" w:line="276"/>
        <w:jc w:val="both"/>
      </w:pPr>
      <w:r>
        <w:rPr>
          <w:rFonts w:ascii="Georgia" w:cs="Georgia" w:eastAsia="Georgia" w:hAnsi="Georgia"/>
          <w:i w:val="false"/>
          <w:iCs w:val="false"/>
          <w:sz w:val="22"/>
          <w:szCs w:val="22"/>
        </w:rPr>
        <w:t xml:space="preserve">En cambio, dejé la pregunta 3 (los SMA intraespecíficos de Narea–SLA–iWUE) como su propia sección corta, porque es un análisis metodológicamente distinto (no es un contraste de tratamiento, es una regresión estructural) y tiene su propia advertencia de "exploratorio, no causal" que no se debe mezclar con la discusión de elevación. Con el párrafo de elevación ya movido a la sección 2, la nueva sección 3 queda más enfocada — no se siente "cortada" porque ahora es exactamente una cosa: la prueba a nivel individual del mismo acoplamiento leaf-economics que propusiste arriba. Si aun así la sientes demasiado breve, la alternativa es fusionarla dentro de la sección 2 como un último párrafo ("further support for this coupling comes from..."); dejo marcada esa opción en la nota de la sección 3 por si prefieres esa versión.</w:t>
      </w:r>
    </w:p>
    <w:p>
      <w:pPr>
        <w:spacing w:after="120" w:before="300"/>
      </w:pPr>
      <w:r>
        <w:rPr>
          <w:rFonts w:ascii="Calibri" w:cs="Calibri" w:eastAsia="Calibri" w:hAnsi="Calibri"/>
          <w:b/>
          <w:bCs/>
          <w:sz w:val="24"/>
          <w:szCs w:val="24"/>
        </w:rPr>
        <w:t xml:space="preserve">2. ¿Qué es redundante y se puede quitar?</w:t>
      </w:r>
    </w:p>
    <w:p>
      <w:pPr>
        <w:spacing w:after="200" w:line="276"/>
        <w:jc w:val="both"/>
      </w:pPr>
      <w:r>
        <w:rPr>
          <w:rFonts w:ascii="Georgia" w:cs="Georgia" w:eastAsia="Georgia" w:hAnsi="Georgia"/>
          <w:i w:val="false"/>
          <w:iCs w:val="false"/>
          <w:sz w:val="22"/>
          <w:szCs w:val="22"/>
        </w:rPr>
        <w:t xml:space="preserve">Encontré una redundancia clara y varias más leves:</w:t>
      </w:r>
    </w:p>
    <w:p>
      <w:pPr>
        <w:spacing w:after="200" w:line="276"/>
        <w:jc w:val="both"/>
      </w:pPr>
      <w:r>
        <w:rPr>
          <w:rFonts w:ascii="Georgia" w:cs="Georgia" w:eastAsia="Georgia" w:hAnsi="Georgia"/>
          <w:i w:val="false"/>
          <w:iCs w:val="false"/>
          <w:sz w:val="22"/>
          <w:szCs w:val="22"/>
        </w:rPr>
        <w:t xml:space="preserve">• Duplicado directo: en la sección 1 tenías dos párrafos seguidos diciendo lo mismo con la misma cita ("Together, these patterns suggest that nutrient stoichiometry... (Homeier et al., 2021)" y luego "The different strategies presented here have suggested that nutrient stoichiometry... (Homeier et al., 2021)"). Los fusioné en uno solo, conservando la cláusula "rather than by local edaphic conditions", que sí aportaba algo nuevo.</w:t>
      </w:r>
    </w:p>
    <w:p>
      <w:pPr>
        <w:spacing w:after="200" w:line="276"/>
        <w:jc w:val="both"/>
      </w:pPr>
      <w:r>
        <w:rPr>
          <w:rFonts w:ascii="Georgia" w:cs="Georgia" w:eastAsia="Georgia" w:hAnsi="Georgia"/>
          <w:i w:val="false"/>
          <w:iCs w:val="false"/>
          <w:sz w:val="22"/>
          <w:szCs w:val="22"/>
        </w:rPr>
        <w:t xml:space="preserve">• Repetición de cita: Prentice et al. 2014 / Wang et al. 2017 aparecía dos veces para sustentar básicamente la misma afirmación (Ci/Ca sigue el clima, no los nutrientes) — una vez en la sección 2 y otra en la antigua sección 3. No es incorrecto repetir una cita, pero como ahora ambos pasajes quedan en la misma sección (2), lo dejé como "tal como predice la teoría EEO desarrollada arriba" en la segunda mención, en vez de re-citar completo. Esto además resuelve parte de tu duda sobre las teorías (ver pregunta 3).</w:t>
      </w:r>
    </w:p>
    <w:p>
      <w:pPr>
        <w:spacing w:after="200" w:line="276"/>
        <w:jc w:val="both"/>
      </w:pPr>
      <w:r>
        <w:rPr>
          <w:rFonts w:ascii="Georgia" w:cs="Georgia" w:eastAsia="Georgia" w:hAnsi="Georgia"/>
          <w:i w:val="false"/>
          <w:iCs w:val="false"/>
          <w:sz w:val="22"/>
          <w:szCs w:val="22"/>
        </w:rPr>
        <w:t xml:space="preserve">• Frase casi repetida sobre el xilema: "a structural change consistent with..." y la frase siguiente "This is in line with the idea that the tree is providing more water..." decían lo mismo dos veces seguidas; la comprimí en una sola idea.</w:t>
      </w:r>
    </w:p>
    <w:p>
      <w:pPr>
        <w:spacing w:after="200" w:line="276"/>
        <w:jc w:val="both"/>
      </w:pPr>
      <w:r>
        <w:rPr>
          <w:rFonts w:ascii="Georgia" w:cs="Georgia" w:eastAsia="Georgia" w:hAnsi="Georgia"/>
          <w:i w:val="false"/>
          <w:iCs w:val="false"/>
          <w:sz w:val="22"/>
          <w:szCs w:val="22"/>
        </w:rPr>
        <w:t xml:space="preserve">• No quité el párrafo sobre P. torta con NxP ni el de C. racemosa con n=12 — son advertencias distintas (una es un patrón inesperado, la otra es una limitación estadística) y ambas son necesarias.</w:t>
      </w:r>
    </w:p>
    <w:p>
      <w:pPr>
        <w:spacing w:after="200" w:line="276"/>
        <w:jc w:val="both"/>
      </w:pPr>
      <w:r>
        <w:rPr>
          <w:rFonts w:ascii="Georgia" w:cs="Georgia" w:eastAsia="Georgia" w:hAnsi="Georgia"/>
          <w:i w:val="false"/>
          <w:iCs w:val="false"/>
          <w:sz w:val="22"/>
          <w:szCs w:val="22"/>
        </w:rPr>
        <w:t xml:space="preserve">• Errores menores corregidos en todo el texto: "phosynthesis"→"photosynthesis", "Adressing"→"Addressing", "especies"→"species", "nutrient nutrient cycling"→"nutrient cycling", "antagonist effect"→"antagonistic effect", "3000 increased"→"3000 m increased", comillas rectas, y un "however... however" duplicado. También quité la nota tuya en español del final (la que empieza "Reestructure mi discusion...") porque claramente era para mí y no para el manuscrito — la respondo aquí en vez.</w:t>
      </w:r>
    </w:p>
    <w:p>
      <w:pPr>
        <w:spacing w:after="120" w:before="300"/>
      </w:pPr>
      <w:r>
        <w:rPr>
          <w:rFonts w:ascii="Calibri" w:cs="Calibri" w:eastAsia="Calibri" w:hAnsi="Calibri"/>
          <w:b/>
          <w:bCs/>
          <w:sz w:val="24"/>
          <w:szCs w:val="24"/>
        </w:rPr>
        <w:t xml:space="preserve">3. ¿Es normal citar tantas teorías juntas bajo EEO? ¿O debería ser solo least-cost?</w:t>
      </w:r>
    </w:p>
    <w:p>
      <w:pPr>
        <w:spacing w:after="200" w:line="276"/>
        <w:jc w:val="both"/>
      </w:pPr>
      <w:r>
        <w:rPr>
          <w:rFonts w:ascii="Georgia" w:cs="Georgia" w:eastAsia="Georgia" w:hAnsi="Georgia"/>
          <w:i w:val="false"/>
          <w:iCs w:val="false"/>
          <w:sz w:val="22"/>
          <w:szCs w:val="22"/>
        </w:rPr>
        <w:t xml:space="preserve">Tu confusión tiene sentido, pero no es un error citarlas juntas — es que están en una jerarquía, no en competencia, y el texto no lo dejaba explícito. En orden: (1) Wright et al. (2003) es la hipótesis del "least-cost" — la idea mecanicista original de que la planta minimiza el costo combinado de mantener la maquinaria fotosintética (N) y el transporte de agua por unidad de carbono ganado. (2) La teoría de optimalidad eco-evolutiva (EEO; Prentice et al., 2014; Wang et al., 2017) es una formalización posterior y más cuantitativa que construye directamente sobre ese least-cost hypothesis, añadiendo una hipótesis de coordinación (Vcmax se ajusta a la luz disponible) para predecir Ci/Ca a partir de variables climáticas. Es decir: least-cost está anidada dentro de EEO, no es una teoría alternativa.</w:t>
      </w:r>
    </w:p>
    <w:p>
      <w:pPr>
        <w:spacing w:after="200" w:line="276"/>
        <w:jc w:val="both"/>
      </w:pPr>
      <w:r>
        <w:rPr>
          <w:rFonts w:ascii="Georgia" w:cs="Georgia" w:eastAsia="Georgia" w:hAnsi="Georgia"/>
          <w:i w:val="false"/>
          <w:iCs w:val="false"/>
          <w:sz w:val="22"/>
          <w:szCs w:val="22"/>
        </w:rPr>
        <w:t xml:space="preserve">Por eso sí es normal — y de hecho común en esta literatura — citarlas juntas, siempre que quede explícito que una es la base mecanicista y la otra la extensión formal. En tu versión original, Wright et al. (2003) aparecía primero para la lógica general de optimalidad y después, sin conexión explícita, Prentice/Wang aparecían para lo mismo — eso es lo que se sentía como "demasiadas teorías". En la versión reestructurada lo introduzco una sola vez como una sola línea teórica ("optimality theory... formalized in EEO theory, building on the least-cost hypothesis of Wright et al. 2003") y luego solo hago referencia hacia atrás, sin volver a listar las tres citas cada vez. Esto no cambia tu argumento, solo lo hace más legible.</w:t>
      </w:r>
    </w:p>
    <w:p>
      <w:r>
        <w:br w:type="page"/>
      </w:r>
    </w:p>
    <w:p>
      <w:pPr>
        <w:pStyle w:val="Heading1"/>
        <w:spacing w:after="160" w:before="400"/>
      </w:pPr>
      <w:r>
        <w:rPr>
          <w:rFonts w:ascii="Calibri" w:cs="Calibri" w:eastAsia="Calibri" w:hAnsi="Calibri"/>
          <w:b/>
          <w:bCs/>
          <w:color w:val="1F3B57"/>
          <w:sz w:val="26"/>
          <w:szCs w:val="26"/>
        </w:rPr>
        <w:t xml:space="preserve">Discussion (restructured)</w:t>
      </w:r>
    </w:p>
    <w:p>
      <w:pPr>
        <w:spacing w:after="200" w:line="276"/>
        <w:jc w:val="both"/>
      </w:pPr>
      <w:r>
        <w:rPr>
          <w:rFonts w:ascii="Georgia" w:cs="Georgia" w:eastAsia="Georgia" w:hAnsi="Georgia"/>
          <w:i w:val="false"/>
          <w:iCs w:val="false"/>
          <w:sz w:val="22"/>
          <w:szCs w:val="22"/>
        </w:rPr>
        <w:t xml:space="preserve">The foliar nutrient content was altered by nutrient addition treatments, while the physiological parameters examined here — intrinsic water-use efficiency (iWUE) and foliar δ13Ccellulose — did not show a consistent response across species, with the exception of P. torta and C. racemosa. In general, responses at 2000 m and 3000 m were more similar in magnitude to each other than to those at the lower montane (1000 m) site.</w:t>
      </w:r>
    </w:p>
    <w:p>
      <w:pPr>
        <w:spacing w:after="120" w:before="300"/>
      </w:pPr>
      <w:r>
        <w:rPr>
          <w:rFonts w:ascii="Calibri" w:cs="Calibri" w:eastAsia="Calibri" w:hAnsi="Calibri"/>
          <w:b/>
          <w:bCs/>
          <w:sz w:val="24"/>
          <w:szCs w:val="24"/>
        </w:rPr>
        <w:t xml:space="preserve">1. Nutrient uptake is reflected in higher leaf nutrient concentrations</w:t>
      </w:r>
    </w:p>
    <w:p>
      <w:pPr>
        <w:spacing w:after="200" w:line="276"/>
        <w:jc w:val="both"/>
      </w:pPr>
      <w:r>
        <w:rPr>
          <w:rFonts w:ascii="Georgia" w:cs="Georgia" w:eastAsia="Georgia" w:hAnsi="Georgia"/>
          <w:i w:val="false"/>
          <w:iCs w:val="false"/>
          <w:sz w:val="22"/>
          <w:szCs w:val="22"/>
        </w:rPr>
        <w:t xml:space="preserve">Addressing our first research question, the observed changes in foliar nutrient traits confirm that the fertilization treatment was effective. Primary productivity in tropical montane forests (TMF) is thought to be limited by nitrogen (N) or co-limited by phosphorus (P) availability, and we therefore expected strong responses (Elser et al., 2007; Ostertag, 2010; Ostertag &amp; DiManno, 2016). In line with this expectation, four of six species responded strongly to N addition with increased leaf nitrogen content (LNC), and three species at 2000 m and 3000 m increased their area-based nitrogen content (Narea) (Figure 1, Table S1). Interestingly, P. torta and C. racemosa showed a marginal increase in foliar N following P addition (Figure 1); the mechanism underlying this response remains unclear, and P-driven shifts in microbial nutrient cycling offer one possible, untested explanation (Xia et al., 2023).</w:t>
      </w:r>
    </w:p>
    <w:p>
      <w:pPr>
        <w:spacing w:after="200" w:line="276"/>
        <w:jc w:val="both"/>
      </w:pPr>
      <w:r>
        <w:rPr>
          <w:rFonts w:ascii="Georgia" w:cs="Georgia" w:eastAsia="Georgia" w:hAnsi="Georgia"/>
          <w:i w:val="false"/>
          <w:iCs w:val="false"/>
          <w:sz w:val="22"/>
          <w:szCs w:val="22"/>
        </w:rPr>
        <w:t xml:space="preserve">Phosphorus addition, on the other hand, had a strong effect on foliar P content and N:P ratios, providing evidence for an important role of P at these sites. These results are consistent with previous research conducted in the area, both with seedlings of the same three species (Cárate-Tandalla et al., 2018) and with mature trees (Homeier et al., 2012b, 2021). The foliar P concentrations observed here resemble the “luxury consumption” reported in some lowland tropical species (Mayor et al., 2014; Ostertag, 2010): species adapted to nutrient-poor environments may be unable to downregulate P acquisition once this nutrient becomes available, maintaining uptake of an otherwise scarce resource (Lambers &amp; Shane, 2007; Standish et al., 2007; Ostertag, 2010). Together, these patterns suggest that nutrient stoichiometry in the NUMEX area is shaped largely by species-specific acquisition and allocation strategies rather than by local edaphic conditions (Homeier et al., 2021).</w:t>
      </w:r>
    </w:p>
    <w:p>
      <w:pPr>
        <w:spacing w:after="200" w:line="276"/>
        <w:jc w:val="both"/>
      </w:pPr>
      <w:r>
        <w:rPr>
          <w:rFonts w:ascii="Georgia" w:cs="Georgia" w:eastAsia="Georgia" w:hAnsi="Georgia"/>
          <w:i w:val="false"/>
          <w:iCs w:val="false"/>
          <w:sz w:val="22"/>
          <w:szCs w:val="22"/>
        </w:rPr>
        <w:t xml:space="preserve">In contrast to the foliar nutrient concentrations, leaf morphological traits were far less responsive to nutrient addition, with the exception of C. racemosa (Table S10). Morphological traits such as SLA have been reported to respond more strongly to climatic variables than to nutrients, as in the NutNet grassland experiments (Firn et al., 2019), and a recent meta-analysis found that LMA and SLA were largely unresponsive to fertilization, whereas whole-plant structural traits such as total leaf biomass showed a stronger response (Liang et al., 2024).</w:t>
      </w:r>
    </w:p>
    <w:p>
      <w:pPr>
        <w:spacing w:after="200" w:line="276"/>
        <w:jc w:val="both"/>
      </w:pPr>
      <w:r>
        <w:rPr>
          <w:rFonts w:ascii="Georgia" w:cs="Georgia" w:eastAsia="Georgia" w:hAnsi="Georgia"/>
          <w:i w:val="false"/>
          <w:iCs w:val="false"/>
          <w:sz w:val="22"/>
          <w:szCs w:val="22"/>
        </w:rPr>
        <w:t xml:space="preserve">Taken together, these results show that nutrient addition does alter foliar nutrient status in these mature montane forests, but that the response is filtered by species-specific acquisition strategies and by the shared geological context of the upper-elevation sites — and, critically, that this shift in nutrient status was not accompanied by a corresponding shift in leaf-level carbon–water relations.</w:t>
      </w:r>
    </w:p>
    <w:tbl>
      <w:tblPr>
        <w:tblW w:type="pct" w:w="100%"/>
        <w:tblBorders>
          <w:top w:val="single" w:color="D9A441" w:sz="4"/>
          <w:left w:val="single" w:color="D9A441" w:sz="4"/>
          <w:bottom w:val="single" w:color="D9A441" w:sz="4"/>
          <w:right w:val="single" w:color="D9A441" w:sz="4"/>
          <w:insideH w:val="none" w:color="FFFFFF" w:sz="0"/>
          <w:insideV w:val="none" w:color="FFFFFF" w:sz="0"/>
        </w:tblBorders>
      </w:tblPr>
      <w:tblGrid>
        <w:gridCol w:w="100"/>
      </w:tblGrid>
      <w:tr>
        <w:tc>
          <w:tcPr>
            <w:tcW w:type="pct" w:w="100%"/>
            <w:shd w:fill="FFF6E5" w:color="auto" w:val="clear"/>
            <w:tcMar>
              <w:top w:type="dxa" w:w="150"/>
              <w:left w:type="dxa" w:w="200"/>
              <w:bottom w:type="dxa" w:w="150"/>
              <w:right w:type="dxa" w:w="200"/>
            </w:tcMar>
          </w:tcPr>
          <w:p>
            <w:pPr>
              <w:spacing w:after="80"/>
            </w:pPr>
            <w:r>
              <w:rPr>
                <w:rFonts w:ascii="Calibri" w:cs="Calibri" w:eastAsia="Calibri" w:hAnsi="Calibri"/>
                <w:b/>
                <w:bCs/>
                <w:color w:val="8A4B00"/>
                <w:sz w:val="20"/>
                <w:szCs w:val="20"/>
              </w:rPr>
              <w:t xml:space="preserve">Nota de edición</w:t>
            </w:r>
          </w:p>
          <w:p>
            <w:pPr>
              <w:spacing w:after="100"/>
            </w:pPr>
            <w:r>
              <w:rPr>
                <w:rFonts w:ascii="Calibri" w:cs="Calibri" w:eastAsia="Calibri" w:hAnsi="Calibri"/>
                <w:i/>
                <w:iCs/>
                <w:color w:val="5A3B00"/>
                <w:sz w:val="20"/>
                <w:szCs w:val="20"/>
              </w:rPr>
              <w:t xml:space="preserve">Fusioné aquí los dos párrafos que repetían la misma conclusión sobre Homeier et al. (2021). Si prefieres mantenerlos separados por alguna razón editorial (p. ej. una revista que pide un párrafo de cierre explícito por sub-sección), avísame y lo separo de nuevo.</w:t>
            </w:r>
          </w:p>
        </w:tc>
      </w:tr>
    </w:tbl>
    <w:p>
      <w:pPr>
        <w:spacing w:after="120" w:before="300"/>
      </w:pPr>
      <w:r>
        <w:rPr>
          <w:rFonts w:ascii="Calibri" w:cs="Calibri" w:eastAsia="Calibri" w:hAnsi="Calibri"/>
          <w:b/>
          <w:bCs/>
          <w:sz w:val="24"/>
          <w:szCs w:val="24"/>
        </w:rPr>
        <w:t xml:space="preserve">2. Species-specific strategies and nutrient allocation may explain the lack of a physiological response</w:t>
      </w:r>
    </w:p>
    <w:p>
      <w:pPr>
        <w:spacing w:after="200" w:line="276"/>
        <w:jc w:val="both"/>
      </w:pPr>
      <w:r>
        <w:rPr>
          <w:rFonts w:ascii="Georgia" w:cs="Georgia" w:eastAsia="Georgia" w:hAnsi="Georgia"/>
          <w:i w:val="false"/>
          <w:iCs w:val="false"/>
          <w:sz w:val="22"/>
          <w:szCs w:val="22"/>
        </w:rPr>
        <w:t xml:space="preserve">Addressing our second research question, after 16 years of N and P addition in the NUMEX experiment, there was no consistent treatment effect on iWUE. The exceptions were an antagonistic N×P effect in P. torta (Table S_) and a positive effect in C. racemosa relative to control plots — though the latter result should be interpreted with caution, as it was sensitive to model structure and based on a small sample size (n = 12). Interestingly, P. torta, unlike most species in this study, did not show strong changes in leaf nutrient concentrations, stoichiometry, or SLA.</w:t>
      </w:r>
    </w:p>
    <w:p>
      <w:pPr>
        <w:spacing w:after="200" w:line="276"/>
        <w:jc w:val="both"/>
      </w:pPr>
      <w:r>
        <w:rPr>
          <w:rFonts w:ascii="Georgia" w:cs="Georgia" w:eastAsia="Georgia" w:hAnsi="Georgia"/>
          <w:i w:val="false"/>
          <w:iCs w:val="false"/>
          <w:sz w:val="22"/>
          <w:szCs w:val="22"/>
        </w:rPr>
        <w:t xml:space="preserve">Under optimality theory, plants are expected to allocate resources so as to minimize the cost of acquiring the most limiting resource while maintaining carbon gain (I. J. Wright et al., 2003). If nutrient addition relaxes N or P limitation, the balance of constraints may shift toward whichever resource — water or light — remains limiting. This logic has since been formalized in eco-evolutionary optimality (EEO) theory (Prentice et al., 2014; Wang et al., 2017), which builds directly on the earlier least-cost hypothesis of Wright et al. (2003) to predict that Ci/Ca — and hence iWUE — should track climate rather than nutrient supply, provided photosynthetic capacity and stomatal conductance co-adjust. This is precisely the pattern our results show at the leaf level: foliar nutrient status changed substantially, while Ci/Ca did not. A parsimonious interpretation is that assimilation and stomatal conductance co-adjusted in response to the added nutrients: additional N may have been invested in photosynthetic protein synthesis, while — because water is not limiting at these sites — gs was not correspondingly restrained, so that both A and gs increased in similar proportion. Our result closely parallels the one other nutrient-addition experiment to test this coordination directly, which reported higher Vcmax alongside unchanged isotope-derived Ci/Ca (Lankhorst et al., 2025); although we did not measure additional photosynthetic parameters here, our results are consistent with a similar co-adjustment of A and gs.</w:t>
      </w:r>
    </w:p>
    <w:tbl>
      <w:tblPr>
        <w:tblW w:type="pct" w:w="100%"/>
        <w:tblBorders>
          <w:top w:val="single" w:color="D9A441" w:sz="4"/>
          <w:left w:val="single" w:color="D9A441" w:sz="4"/>
          <w:bottom w:val="single" w:color="D9A441" w:sz="4"/>
          <w:right w:val="single" w:color="D9A441" w:sz="4"/>
          <w:insideH w:val="none" w:color="FFFFFF" w:sz="0"/>
          <w:insideV w:val="none" w:color="FFFFFF" w:sz="0"/>
        </w:tblBorders>
      </w:tblPr>
      <w:tblGrid>
        <w:gridCol w:w="100"/>
      </w:tblGrid>
      <w:tr>
        <w:tc>
          <w:tcPr>
            <w:tcW w:type="pct" w:w="100%"/>
            <w:shd w:fill="FFF6E5" w:color="auto" w:val="clear"/>
            <w:tcMar>
              <w:top w:type="dxa" w:w="150"/>
              <w:left w:type="dxa" w:w="200"/>
              <w:bottom w:type="dxa" w:w="150"/>
              <w:right w:type="dxa" w:w="200"/>
            </w:tcMar>
          </w:tcPr>
          <w:p>
            <w:pPr>
              <w:spacing w:after="80"/>
            </w:pPr>
            <w:r>
              <w:rPr>
                <w:rFonts w:ascii="Calibri" w:cs="Calibri" w:eastAsia="Calibri" w:hAnsi="Calibri"/>
                <w:b/>
                <w:bCs/>
                <w:color w:val="8A4B00"/>
                <w:sz w:val="20"/>
                <w:szCs w:val="20"/>
              </w:rPr>
              <w:t xml:space="preserve">Nota de edición — tu pregunta 3</w:t>
            </w:r>
          </w:p>
          <w:p>
            <w:pPr>
              <w:spacing w:after="100"/>
            </w:pPr>
            <w:r>
              <w:rPr>
                <w:rFonts w:ascii="Calibri" w:cs="Calibri" w:eastAsia="Calibri" w:hAnsi="Calibri"/>
                <w:i/>
                <w:iCs/>
                <w:color w:val="5A3B00"/>
                <w:sz w:val="20"/>
                <w:szCs w:val="20"/>
              </w:rPr>
              <w:t xml:space="preserve">Aquí introduzco una sola vez la línea teórica completa (least-cost → EEO) y ya no vuelvo a citar las tres referencias juntas más adelante; solo remito hacia atrás ("as EEO theory predicts", más abajo). Esto responde directamente a tu duda de si citar varias teorías es confuso: no lo es, siempre que quede clara la jerarquía, que es lo que intenté dejar explícito aquí.</w:t>
            </w:r>
          </w:p>
        </w:tc>
      </w:tr>
    </w:tbl>
    <w:p>
      <w:pPr>
        <w:spacing w:after="200" w:line="276"/>
        <w:jc w:val="both"/>
      </w:pPr>
      <w:r>
        <w:rPr>
          <w:rFonts w:ascii="Georgia" w:cs="Georgia" w:eastAsia="Georgia" w:hAnsi="Georgia"/>
          <w:i w:val="false"/>
          <w:iCs w:val="false"/>
          <w:sz w:val="22"/>
          <w:szCs w:val="22"/>
        </w:rPr>
        <w:t xml:space="preserve">A possible mechanistic explanation for this coordination lies in the asymmetry between how strongly nutrient costs and water costs respond to fertilization. In TMFs, the cost of water loss through transpiration is likely low, whereas fertilization directly affects the nitrogen available for photosynthetic capacity; if water availability is not a constraint, reducing the cost of nitrogen acquisition may therefore have comparatively little effect on the A:gs balance, unlike in water-limited systems. This coordination is, however, not universal: Paillassa et al. (2020) found that soil nitrogen and soil pH shift the same cost balance by up to 30% relative to climate-only predictions — though that study captures stand-level variation in soil fertility accumulated over much longer timescales than our 16-year experiment.</w:t>
      </w:r>
    </w:p>
    <w:p>
      <w:pPr>
        <w:spacing w:after="200" w:line="276"/>
        <w:jc w:val="both"/>
      </w:pPr>
      <w:r>
        <w:rPr>
          <w:rFonts w:ascii="Georgia" w:cs="Georgia" w:eastAsia="Georgia" w:hAnsi="Georgia"/>
          <w:i w:val="false"/>
          <w:iCs w:val="false"/>
          <w:sz w:val="22"/>
          <w:szCs w:val="22"/>
        </w:rPr>
        <w:t xml:space="preserve">We have implicitly assumed that leaf nitrogen translates into photosynthetic enzyme production in excess of any corresponding change in gs. The literature suggests this is not always the case in TMF species. Total nitrogen content — whether expressed on a mass or area basis — is not always a good predictor of photosynthetic capacity in TMF species (e.g., Dusenge et al., 2015; Ziegler et al., 2020), largely because nitrogen allocation within leaves depends on a species' ecological strategy: climax species may allocate a greater proportion of nitrogen to structural components, defense compounds, or light-harvesting complexes rather than to carboxylation machinery (Dusenge et al., 2015; Ziegler et al., 2020). For species at the upper sites, which are exposed to persistent cloudiness and low-light conditions (Wittich et al., 2012), allocation toward structural and light-capture components is a plausible explanation.</w:t>
      </w:r>
    </w:p>
    <w:p>
      <w:pPr>
        <w:spacing w:after="200" w:line="276"/>
        <w:jc w:val="both"/>
      </w:pPr>
      <w:r>
        <w:rPr>
          <w:rFonts w:ascii="Georgia" w:cs="Georgia" w:eastAsia="Georgia" w:hAnsi="Georgia"/>
          <w:i w:val="false"/>
          <w:iCs w:val="false"/>
          <w:sz w:val="22"/>
          <w:szCs w:val="22"/>
        </w:rPr>
        <w:t xml:space="preserve">For P, our understanding of how P availability affects investment in photosynthetic processes remains limited (Ellsworth et al., 2022). P is concentrated mainly in nucleic acids (Zhang et al., 2018) and plays a central role in membrane composition and in ATP and NADPH production (Ellsworth et al., 2022; Walker et al., 2014). Because our isotope-based iWUE reflects the balance between total photosynthetic capacity and stomatal conductance without separating the carboxylation-limited component (Vcmax, nitrogen-dependent) from the RuBP-regeneration-limited component (Jmax, more strongly phosphorus-dependent), our design cannot rule out that N and P addition shifted Vcmax and Jmax in partially offsetting ways, leaving their ratio — and hence Ci/Ca — largely unchanged (Walker et al., 2014; Ellsworth et al., 2022). Our results indicate that the increase in foliar P did not translate into an adaptive iWUE response; it therefore remains to be determined how the additional P pool is used within the tree, and which physiological parameters, if any, are being adjusted in response to it.</w:t>
      </w:r>
    </w:p>
    <w:p>
      <w:pPr>
        <w:spacing w:after="200" w:line="276"/>
        <w:jc w:val="both"/>
      </w:pPr>
      <w:r>
        <w:rPr>
          <w:rFonts w:ascii="Georgia" w:cs="Georgia" w:eastAsia="Georgia" w:hAnsi="Georgia"/>
          <w:i w:val="false"/>
          <w:iCs w:val="false"/>
          <w:sz w:val="22"/>
          <w:szCs w:val="22"/>
        </w:rPr>
        <w:t xml:space="preserve">The species studied here are adapted to nutrient-poor soils and follow a resource-conservative strategy (Pierick et al., 2024). Conservative species may lack the morphological and phenological plasticity needed to respond to enhanced nutrient availability (Chmura et al., 2017; X. Zhang et al., 2023). Ontogenetic effects may also play a role: mature trees maintain more stable water-use strategies over time than younger trees (T. Yan et al., 2022a). Future work could usefully test whether nutrient responses and allocation patterns diverge between species with contrasting ecological strategies (acquisitive vs. conservative) in TMFs.</w:t>
      </w:r>
    </w:p>
    <w:p>
      <w:pPr>
        <w:spacing w:after="200" w:line="276"/>
        <w:jc w:val="both"/>
      </w:pPr>
      <w:r>
        <w:rPr>
          <w:rFonts w:ascii="Georgia" w:cs="Georgia" w:eastAsia="Georgia" w:hAnsi="Georgia"/>
          <w:i w:val="false"/>
          <w:iCs w:val="false"/>
          <w:sz w:val="22"/>
          <w:szCs w:val="22"/>
        </w:rPr>
        <w:t xml:space="preserve">Nutrients may also be allocated beyond the leaf altogether: fertilization has increased foliage production, stand-level leaf area index, and leaf lifespan in other NUMEX species (Spannl et al., 2016; Homeier et al., 2013). In a wood-anatomical study of Alchornea lojaensis under these same treatments, for instance, N addition significantly increased vessel diameter and theoretical hydraulic conductivity, with vessels shifting toward more grouped and fewer solitary arrangements (Spannl et al., 2016; Homeier et al., 2013) — a structural change consistent with a genuine increase in this species' capacity to supply water to the canopy, and consistent with the idea that once more water is being supplied to the leaf, water is no longer acting as a limiting resource. This is measured in the same experiment in which we detect no corresponding shift in Ci/Ca. Increased self-shading in more structurally developed canopies has also been proposed to keep stomatal conductance stable even under higher nutrient supply (T. Yan et al., 2022b); alternatively, smaller-scale studies have found that plants may prioritize a greater number of coordinated leaves over the performance of any single leaf (Lankhorst et al., 2025). We did not measure canopy structure in this study, so this remains a plausible but untested alternative to the within-leaf explanations proposed above.</w:t>
      </w:r>
    </w:p>
    <w:p>
      <w:pPr>
        <w:spacing w:after="200" w:line="276"/>
        <w:jc w:val="both"/>
      </w:pPr>
      <w:r>
        <w:rPr>
          <w:rFonts w:ascii="Georgia" w:cs="Georgia" w:eastAsia="Georgia" w:hAnsi="Georgia"/>
          <w:i w:val="false"/>
          <w:iCs w:val="false"/>
          <w:sz w:val="22"/>
          <w:szCs w:val="22"/>
        </w:rPr>
        <w:t xml:space="preserve">Taken together, these mechanisms — whether operating at the leaf, xylem, or canopy level — suggest that fertilization altered nutrient status without altering the underlying, conservative resource-use strategy that governs carbon–water relations in these species.</w:t>
      </w:r>
    </w:p>
    <w:p>
      <w:pPr>
        <w:spacing w:after="200" w:line="276"/>
        <w:jc w:val="both"/>
      </w:pPr>
      <w:r>
        <w:rPr>
          <w:rFonts w:ascii="Georgia" w:cs="Georgia" w:eastAsia="Georgia" w:hAnsi="Georgia"/>
          <w:i w:val="false"/>
          <w:iCs w:val="false"/>
          <w:sz w:val="22"/>
          <w:szCs w:val="22"/>
        </w:rPr>
        <w:t xml:space="preserve">This conservatism is also visible independently of the fertilization treatment. Species growing in control plots already differed markedly in iWUE across the elevational gradient, indicating that this trait is governed primarily by baseline environmental conditions and species identity rather than by nutrient supply — precisely as EEO theory predicts, since Ci/Ca (and hence iWUE) is expected to track climate rather than nutrient availability. In effect, the elevational pattern in the control plots functions as an independent test of the same prediction developed above, and our results are consistent with it. Species from the mid- and high-elevation sites exhibited the highest iWUE, sharing more similar carbon–water traits with one another than with species at 1000 m (Figure S3). Expressing leaf N on an area basis showed that species at 2000 m maintain greater nitrogen investment per unit leaf area — consistent with the temperature–plant physiology hypothesis, which predicts higher foliar nutrient concentrations toward colder, higher-elevation climates as compensation for slower enzyme kinetics (Reich &amp; Oleksyn, 2004) — and this greater Narea may itself contribute to the higher iWUE observed at these sites. The similarity between 2000 m and 3000 m could be partly explained by similarities in community composition and leaf trait combinations previously reported at these sites (Homeier &amp; Leuschner, 2021b; Homeier et al., 2021). Because elevation, nutrient availability, and species turnover are inherently confounded in this study, future work incorporating a larger number of species across multiple elevations will be needed to disentangle the relative contributions of environmental filtering, nutrient availability, and species identity to patterns of water-use efficiency in TMF.</w:t>
      </w:r>
    </w:p>
    <w:p>
      <w:pPr>
        <w:spacing w:after="200" w:line="276"/>
        <w:jc w:val="both"/>
      </w:pPr>
      <w:r>
        <w:rPr>
          <w:rFonts w:ascii="Georgia" w:cs="Georgia" w:eastAsia="Georgia" w:hAnsi="Georgia"/>
          <w:i w:val="false"/>
          <w:iCs w:val="false"/>
          <w:sz w:val="22"/>
          <w:szCs w:val="22"/>
        </w:rPr>
        <w:t xml:space="preserve">Nevertheless, one limitation should be noted: the absolute iWUE values reported here have not been adjusted per species, which limits their precision, although it still allows us to identify consistent trends.</w:t>
      </w:r>
    </w:p>
    <w:tbl>
      <w:tblPr>
        <w:tblW w:type="pct" w:w="100%"/>
        <w:tblBorders>
          <w:top w:val="single" w:color="D9A441" w:sz="4"/>
          <w:left w:val="single" w:color="D9A441" w:sz="4"/>
          <w:bottom w:val="single" w:color="D9A441" w:sz="4"/>
          <w:right w:val="single" w:color="D9A441" w:sz="4"/>
          <w:insideH w:val="none" w:color="FFFFFF" w:sz="0"/>
          <w:insideV w:val="none" w:color="FFFFFF" w:sz="0"/>
        </w:tblBorders>
      </w:tblPr>
      <w:tblGrid>
        <w:gridCol w:w="100"/>
      </w:tblGrid>
      <w:tr>
        <w:tc>
          <w:tcPr>
            <w:tcW w:type="pct" w:w="100%"/>
            <w:shd w:fill="FFF6E5" w:color="auto" w:val="clear"/>
            <w:tcMar>
              <w:top w:type="dxa" w:w="150"/>
              <w:left w:type="dxa" w:w="200"/>
              <w:bottom w:type="dxa" w:w="150"/>
              <w:right w:type="dxa" w:w="200"/>
            </w:tcMar>
          </w:tcPr>
          <w:p>
            <w:pPr>
              <w:spacing w:after="80"/>
            </w:pPr>
            <w:r>
              <w:rPr>
                <w:rFonts w:ascii="Calibri" w:cs="Calibri" w:eastAsia="Calibri" w:hAnsi="Calibri"/>
                <w:b/>
                <w:bCs/>
                <w:color w:val="8A4B00"/>
                <w:sz w:val="20"/>
                <w:szCs w:val="20"/>
              </w:rPr>
              <w:t xml:space="preserve">Nota de edición — tu pregunta 1</w:t>
            </w:r>
          </w:p>
          <w:p>
            <w:pPr>
              <w:spacing w:after="100"/>
            </w:pPr>
            <w:r>
              <w:rPr>
                <w:rFonts w:ascii="Calibri" w:cs="Calibri" w:eastAsia="Calibri" w:hAnsi="Calibri"/>
                <w:i/>
                <w:iCs/>
                <w:color w:val="5A3B00"/>
                <w:sz w:val="20"/>
                <w:szCs w:val="20"/>
              </w:rPr>
              <w:t xml:space="preserve">Este último párrafo ("This conservatism is also visible...") es el que antes abría la sección 3. Lo traje aquí porque es la confirmación empírica de la teoría que acabas de desarrollar en esta misma sección, no un hallazgo nuevo independiente. Si al leerlo sientes que la sección 2 queda demasiado larga, la alternativa más simple es cortarla justo antes de este párrafo y dejarlo como el inicio de una sección 2b corta ("2b. A natural test: iWUE across the elevational gradient") — estructuralmente es la misma información, solo cambia dónde se pone el encabezado.</w:t>
            </w:r>
          </w:p>
        </w:tc>
      </w:tr>
    </w:tbl>
    <w:p>
      <w:pPr>
        <w:spacing w:after="120" w:before="300"/>
      </w:pPr>
      <w:r>
        <w:rPr>
          <w:rFonts w:ascii="Calibri" w:cs="Calibri" w:eastAsia="Calibri" w:hAnsi="Calibri"/>
          <w:b/>
          <w:bCs/>
          <w:sz w:val="24"/>
          <w:szCs w:val="24"/>
        </w:rPr>
        <w:t xml:space="preserve">3. Individual-level trait coupling supports a leaf-economic basis for iWUE (exploratory)</w:t>
      </w:r>
    </w:p>
    <w:p>
      <w:pPr>
        <w:spacing w:after="200" w:line="276"/>
        <w:jc w:val="both"/>
      </w:pPr>
      <w:r>
        <w:rPr>
          <w:rFonts w:ascii="Georgia" w:cs="Georgia" w:eastAsia="Georgia" w:hAnsi="Georgia"/>
          <w:i w:val="false"/>
          <w:iCs w:val="false"/>
          <w:sz w:val="22"/>
          <w:szCs w:val="22"/>
        </w:rPr>
        <w:t xml:space="preserve">Addressing our third research question, within-species standardized major axis (SMA) regressions showed that individual iWUE covaried positively with Narea and negatively with SLA in five of the six species studied, consistent with the leaf-economic coupling between nitrogen investment, leaf structure, and iWUE proposed above. Leaves with more nitrogen per unit area and lower SLA — denser, more carbon-costly leaves — tend to show higher water-use efficiency, independent of whether that trait variation was induced by the nutrient-addition treatments. This suggests that individual-level variation in iWUE is consistently coupled to Narea and SLA across a wider range of conditions than the treatments alone produced: nitrogen addition increased Narea in only half of the species, yet the underlying physiological coupling between Narea and iWUE evidently operates more broadly than the treatment effect itself.</w:t>
      </w:r>
    </w:p>
    <w:p>
      <w:pPr>
        <w:spacing w:after="200" w:line="276"/>
        <w:jc w:val="both"/>
      </w:pPr>
      <w:r>
        <w:rPr>
          <w:rFonts w:ascii="Georgia" w:cs="Georgia" w:eastAsia="Georgia" w:hAnsi="Georgia"/>
          <w:i w:val="false"/>
          <w:iCs w:val="false"/>
          <w:sz w:val="22"/>
          <w:szCs w:val="22"/>
        </w:rPr>
        <w:t xml:space="preserve">SMA analysis captures a structural relationship between traits across the full range of natural variation, most of which is not attributable to the treatments themselves, so these results should be read as exploratory: they do not establish a causal link between Narea, SLA, and iWUE. Even so, they reinforce the picture developed above — that iWUE in these species is anchored to a conservative, leaf-economic strategy that nutrient addition did not dislodge.</w:t>
      </w:r>
    </w:p>
    <w:tbl>
      <w:tblPr>
        <w:tblW w:type="pct" w:w="100%"/>
        <w:tblBorders>
          <w:top w:val="single" w:color="D9A441" w:sz="4"/>
          <w:left w:val="single" w:color="D9A441" w:sz="4"/>
          <w:bottom w:val="single" w:color="D9A441" w:sz="4"/>
          <w:right w:val="single" w:color="D9A441" w:sz="4"/>
          <w:insideH w:val="none" w:color="FFFFFF" w:sz="0"/>
          <w:insideV w:val="none" w:color="FFFFFF" w:sz="0"/>
        </w:tblBorders>
      </w:tblPr>
      <w:tblGrid>
        <w:gridCol w:w="100"/>
      </w:tblGrid>
      <w:tr>
        <w:tc>
          <w:tcPr>
            <w:tcW w:type="pct" w:w="100%"/>
            <w:shd w:fill="FFF6E5" w:color="auto" w:val="clear"/>
            <w:tcMar>
              <w:top w:type="dxa" w:w="150"/>
              <w:left w:type="dxa" w:w="200"/>
              <w:bottom w:type="dxa" w:w="150"/>
              <w:right w:type="dxa" w:w="200"/>
            </w:tcMar>
          </w:tcPr>
          <w:p>
            <w:pPr>
              <w:spacing w:after="80"/>
            </w:pPr>
            <w:r>
              <w:rPr>
                <w:rFonts w:ascii="Calibri" w:cs="Calibri" w:eastAsia="Calibri" w:hAnsi="Calibri"/>
                <w:b/>
                <w:bCs/>
                <w:color w:val="8A4B00"/>
                <w:sz w:val="20"/>
                <w:szCs w:val="20"/>
              </w:rPr>
              <w:t xml:space="preserve">Nota de edición — tu pregunta 1 (alternativa)</w:t>
            </w:r>
          </w:p>
          <w:p>
            <w:pPr>
              <w:spacing w:after="100"/>
            </w:pPr>
            <w:r>
              <w:rPr>
                <w:rFonts w:ascii="Calibri" w:cs="Calibri" w:eastAsia="Calibri" w:hAnsi="Calibri"/>
                <w:i/>
                <w:iCs/>
                <w:color w:val="5A3B00"/>
                <w:sz w:val="20"/>
                <w:szCs w:val="20"/>
              </w:rPr>
              <w:t xml:space="preserve">Si prefieres el Option B más compacto: esta sección se puede fusionar como párrafo final de la sección 2, empezando con "Further support for this leaf-economic coupling comes from individual-level SMA regressions...". Lo dejaría fuera solo si crees que un lector de revista espera ver la pregunta 3 explícitamente marcada como su propia sub-sección — lo cual, dado que la planteas como pregunta de investigación separada en la introducción, me parece la opción más defendible y por eso la mantuve así arriba.</w:t>
            </w:r>
          </w:p>
        </w:tc>
      </w:tr>
    </w:tbl>
    <w:p>
      <w:pPr>
        <w:spacing w:after="120" w:before="300"/>
      </w:pPr>
      <w:r>
        <w:rPr>
          <w:rFonts w:ascii="Calibri" w:cs="Calibri" w:eastAsia="Calibri" w:hAnsi="Calibri"/>
          <w:b/>
          <w:bCs/>
          <w:sz w:val="24"/>
          <w:szCs w:val="24"/>
        </w:rPr>
        <w:t xml:space="preserve">4. Implications for TMFs and ecosystem models</w:t>
      </w:r>
    </w:p>
    <w:p>
      <w:pPr>
        <w:spacing w:after="200" w:line="276"/>
        <w:jc w:val="both"/>
      </w:pPr>
      <w:r>
        <w:rPr>
          <w:rFonts w:ascii="Georgia" w:cs="Georgia" w:eastAsia="Georgia" w:hAnsi="Georgia"/>
          <w:i w:val="false"/>
          <w:iCs w:val="false"/>
          <w:sz w:val="22"/>
          <w:szCs w:val="22"/>
        </w:rPr>
        <w:t xml:space="preserve">Despite evidence from the NUMEX experiment that nutrient addition alters foliar nutrient concentrations and several ecosystem processes in Ecuadorian TMF, the absence of a consistent iWUE response among the common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Consequently, future changes in carbon sequestration in TMF may depend more on shifts in forest structure, species composition, and leaf area than on enhanced leaf-level physiological efficiency.</w:t>
      </w:r>
    </w:p>
    <w:p>
      <w:pPr>
        <w:spacing w:after="200" w:line="276"/>
        <w:jc w:val="both"/>
      </w:pPr>
      <w:r>
        <w:rPr>
          <w:rFonts w:ascii="Georgia" w:cs="Georgia" w:eastAsia="Georgia" w:hAnsi="Georgia"/>
          <w:i w:val="false"/>
          <w:iCs w:val="false"/>
          <w:sz w:val="22"/>
          <w:szCs w:val="22"/>
        </w:rPr>
        <w:t xml:space="preserve">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requires a better understanding of how nutrients are allocated within trees, and of species-specific resource-acquisition strategies.</w:t>
      </w:r>
    </w:p>
    <w:p>
      <w:pPr>
        <w:spacing w:after="100"/>
      </w:pPr>
    </w:p>
    <w:tbl>
      <w:tblPr>
        <w:tblW w:type="pct" w:w="100%"/>
        <w:tblBorders>
          <w:top w:val="single" w:color="D9A441" w:sz="4"/>
          <w:left w:val="single" w:color="D9A441" w:sz="4"/>
          <w:bottom w:val="single" w:color="D9A441" w:sz="4"/>
          <w:right w:val="single" w:color="D9A441" w:sz="4"/>
          <w:insideH w:val="none" w:color="FFFFFF" w:sz="0"/>
          <w:insideV w:val="none" w:color="FFFFFF" w:sz="0"/>
        </w:tblBorders>
      </w:tblPr>
      <w:tblGrid>
        <w:gridCol w:w="100"/>
      </w:tblGrid>
      <w:tr>
        <w:tc>
          <w:tcPr>
            <w:tcW w:type="pct" w:w="100%"/>
            <w:shd w:fill="FFF6E5" w:color="auto" w:val="clear"/>
            <w:tcMar>
              <w:top w:type="dxa" w:w="150"/>
              <w:left w:type="dxa" w:w="200"/>
              <w:bottom w:type="dxa" w:w="150"/>
              <w:right w:type="dxa" w:w="200"/>
            </w:tcMar>
          </w:tcPr>
          <w:p>
            <w:pPr>
              <w:spacing w:after="80"/>
            </w:pPr>
            <w:r>
              <w:rPr>
                <w:rFonts w:ascii="Calibri" w:cs="Calibri" w:eastAsia="Calibri" w:hAnsi="Calibri"/>
                <w:b/>
                <w:bCs/>
                <w:color w:val="8A4B00"/>
                <w:sz w:val="20"/>
                <w:szCs w:val="20"/>
              </w:rPr>
              <w:t xml:space="preserve">Última nota general</w:t>
            </w:r>
          </w:p>
          <w:p>
            <w:pPr>
              <w:spacing w:after="100"/>
            </w:pPr>
            <w:r>
              <w:rPr>
                <w:rFonts w:ascii="Calibri" w:cs="Calibri" w:eastAsia="Calibri" w:hAnsi="Calibri"/>
                <w:i/>
                <w:iCs/>
                <w:color w:val="5A3B00"/>
                <w:sz w:val="20"/>
                <w:szCs w:val="20"/>
              </w:rPr>
              <w:t xml:space="preserve">Revisa por favor las citas "Homeier 2021", "Homeier et al., 2021" y "Homeier &amp; Leuschner, 2021b" — en el texto original aparecían con formatos ligeramente distintos y no puedo saber si son la misma referencia o tres distintas; las dejé como en tu borrador pero conviene que las cotejes contra tu lista de referencias antes de enviar.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2026-09-10T22:47:10.707Z</dcterms:created>
  <dcterms:modified xsi:type="dcterms:W3CDTF">2026-09-10T22:47:10.707Z</dcterms:modified>
</cp:coreProperties>
</file>

<file path=docProps/custom.xml><?xml version="1.0" encoding="utf-8"?>
<Properties xmlns="http://schemas.openxmlformats.org/officeDocument/2006/custom-properties" xmlns:vt="http://schemas.openxmlformats.org/officeDocument/2006/docPropsVTypes"/>
</file>