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4"/>
          <w:szCs w:val="34"/>
        </w:rPr>
        <w:t xml:space="preserve">Sugerencias para la Discusión</w:t>
      </w:r>
    </w:p>
    <w:p>
      <w:pPr>
        <w:spacing w:after="40"/>
        <w:jc w:val="center"/>
      </w:pPr>
      <w:r>
        <w:rPr>
          <w:color w:val="555555"/>
          <w:sz w:val="24"/>
          <w:szCs w:val="24"/>
        </w:rPr>
        <w:t xml:space="preserve">Marco de least-cost / eco-evolutionary optimality — NUMEX iWUE</w:t>
      </w:r>
    </w:p>
    <w:p>
      <w:pPr>
        <w:spacing w:after="300"/>
        <w:jc w:val="center"/>
      </w:pPr>
      <w:r>
        <w:rPr>
          <w:i/>
          <w:iCs/>
          <w:color w:val="888888"/>
          <w:sz w:val="20"/>
          <w:szCs w:val="20"/>
        </w:rPr>
        <w:t xml:space="preserve">Preparado para integrar en tu propia Discusión · 10 de septiembre de 2026</w:t>
      </w:r>
    </w:p>
    <w:p>
      <w:pPr>
        <w:pStyle w:val="Heading1"/>
        <w:spacing w:after="200" w:before="480"/>
      </w:pPr>
      <w:r>
        <w:t xml:space="preserve">Cómo usar este documento</w:t>
      </w:r>
    </w:p>
    <w:p>
      <w:pPr>
        <w:spacing w:after="160" w:before="0" w:line="276"/>
      </w:pPr>
      <w:r>
        <w:rPr>
          <w:sz w:val="22"/>
          <w:szCs w:val="22"/>
        </w:rPr>
        <w:t xml:space="preserve">Esto no es una discusión completa — es tu discusión más cuatro bloques que conectan explícitamente el marco teórico de la introducción (párrafo 5, pregunta 2) con lo que salió en las Tablas 1 y 3 de Resultados_modelos_Bernacchi. Cada bloque trae una instrucción de dónde colocarlo y un párrafo en inglés, en cursiva sobre fondo gris, listo para adaptar a tu voz y pegar donde corresponda. El bloque D requiere un análisis adicional muy simple que te describo antes del texto.</w:t>
      </w:r>
    </w:p>
    <w:p>
      <w:pPr>
        <w:spacing w:after="160" w:before="0" w:line="276"/>
      </w:pPr>
      <w:r>
        <w:rPr>
          <w:sz w:val="22"/>
          <w:szCs w:val="22"/>
        </w:rPr>
        <w:t xml:space="preserve">La lógica general: tu resultado no es solo "confirmamos la teoría" — es un contraste real entre dos formas distintas de poner a prueba la misma teoría (manipulación experimental factorial vs. gradiente de suelo correlativo), y ese contraste es lo que hace la discusión interesante para un revisor que ya conoce el marco.</w:t>
      </w:r>
    </w:p>
    <w:p>
      <w:pPr>
        <w:pStyle w:val="Heading1"/>
        <w:spacing w:after="200" w:before="480"/>
      </w:pPr>
      <w:r>
        <w:t xml:space="preserve">Bloque A · Leer el resultado nulo como coordinación, no como ausencia de señal</w:t>
      </w:r>
    </w:p>
    <w:p>
      <w:pPr>
        <w:spacing w:after="120" w:before="120"/>
      </w:pPr>
      <w:r>
        <w:rPr>
          <w:i/>
          <w:iCs/>
          <w:color w:val="555555"/>
          <w:sz w:val="21"/>
          <w:szCs w:val="21"/>
        </w:rPr>
        <w:t xml:space="preserve">Colocar justo después de presentar los resultados de la Tabla 1 (ningún efecto significativo de N ni P sobre iWUE, δ13C ni Ci/Ca en las seis especies) y antes de pasar a los nutrientes foliares. Conecta directamente con la pregunta 2 de tu introducción.</w:t>
      </w:r>
    </w:p>
    <w:p>
      <w:pPr>
        <w:pBdr>
          <w:left w:val="single" w:color="2C6FBB" w:sz="18" w:space="8"/>
        </w:pBdr>
        <w:shd w:fill="F2F2F2" w:val="clear"/>
        <w:spacing w:after="120" w:before="80" w:line="264"/>
        <w:ind w:left="200" w:right="200"/>
      </w:pPr>
      <w:r>
        <w:rPr>
          <w:rFonts w:ascii="Georgia" w:cs="Georgia" w:eastAsia="Georgia" w:hAnsi="Georgia"/>
          <w:sz w:val="21"/>
          <w:szCs w:val="21"/>
        </w:rPr>
        <w:t xml:space="preserve">The absence of a nutrient effect on iWUE is not a null experiment — it is a null physiological response layered on top of a strong nutritional one. Fifteen years of N and P addition measurably changed foliar nutrient status in most species (Table 3: foliar N increased with N addition in four of six species, foliar P increased with P addition in all six, and N:P shifted accordingly), yet none of that translated into a detectable shift in Ci/Ca. This pattern — capacity-relevant resources taken up without a corresponding change in the carbon-water balance — is what eco-evolutionary optimality theory predicts if photosynthetic capacity and stomatal conductance co-adjust to keep Ci/Ca set by climate (Prentice et al., 2014; Wang et al., 2017), and it closely parallels the one other nutrient-addition experiment to test this directly, which reported higher Vcmax alongside unchanged isotope-derived Ci/Ca (Lankhorst et al., 2025). Our result extends that evidence from a single species to six co-occurring species spanning a 2000 m elevational gradient.</w:t>
      </w:r>
    </w:p>
    <w:p>
      <w:pPr>
        <w:pStyle w:val="Heading1"/>
        <w:spacing w:after="200" w:before="480"/>
      </w:pPr>
      <w:r>
        <w:t xml:space="preserve">Bloque B · El contraste con Paillassa et al. (2020)</w:t>
      </w:r>
    </w:p>
    <w:p>
      <w:pPr>
        <w:spacing w:after="120" w:before="120"/>
      </w:pPr>
      <w:r>
        <w:rPr>
          <w:i/>
          <w:iCs/>
          <w:color w:val="555555"/>
          <w:sz w:val="21"/>
          <w:szCs w:val="21"/>
        </w:rPr>
        <w:t xml:space="preserve">Colocar inmediatamente después del Bloque A, como el 'pero' que abre el argumento central de la discusión. Aquí es donde vale la pena citar Paillassa 2020, que hasta ahora no aparece en tu introducción.</w:t>
      </w:r>
    </w:p>
    <w:p>
      <w:pPr>
        <w:pBdr>
          <w:left w:val="single" w:color="2C6FBB" w:sz="18" w:space="8"/>
        </w:pBdr>
        <w:shd w:fill="F2F2F2" w:val="clear"/>
        <w:spacing w:after="120" w:before="80" w:line="264"/>
        <w:ind w:left="200" w:right="200"/>
      </w:pPr>
      <w:r>
        <w:rPr>
          <w:rFonts w:ascii="Georgia" w:cs="Georgia" w:eastAsia="Georgia" w:hAnsi="Georgia"/>
          <w:sz w:val="21"/>
          <w:szCs w:val="21"/>
        </w:rPr>
        <w:t xml:space="preserve">This climate-tracking behaviour of Ci/Ca is not universally observed, however. Working across a broad cross-site soil-fertility gradient, Paillassa et al. (2020) found that soil nitrogen supply and pH shift the same cost balance that determines Ci/Ca by up to 30% relative to what climate alone predicts — evidence that, at least across ecosystems, nutrient availability can act on the water-carbon trade-off in ways our within-species experimental result does not detect. The two studies are not directly comparable: Paillassa et al. (2020) capture standing variation in soil fertility that has shaped leaf economics over much longer timescales and that co-varies with pH, texture and water-holding capacity, whereas our design isolates the effect of experimentally added N and P within species, holding site and species identity fixed. Reconciling the two is less a matter of one study being right and the other wrong than of identifying which axis of nutrient variation — standing soil fertility versus an experimentally imposed pulse — is capable of moving the optimum, and over what timescale.</w:t>
      </w:r>
    </w:p>
    <w:p>
      <w:pPr>
        <w:pStyle w:val="Heading1"/>
        <w:spacing w:after="200" w:before="480"/>
      </w:pPr>
      <w:r>
        <w:t xml:space="preserve">Bloque C · Por qué el agua importa: la asimetría de costos</w:t>
      </w:r>
    </w:p>
    <w:p>
      <w:pPr>
        <w:spacing w:after="120" w:before="120"/>
      </w:pPr>
      <w:r>
        <w:rPr>
          <w:i/>
          <w:iCs/>
          <w:color w:val="555555"/>
          <w:sz w:val="21"/>
          <w:szCs w:val="21"/>
        </w:rPr>
        <w:t xml:space="preserve">Colocar después del Bloque B, como la explicación mecanicista de por qué tu sistema podría comportarse distinto al de Paillassa. Retoma la frase que ya tienes en la pregunta 2 ('water is rarely limiting...') y la convierte en argumento, no en supuesto.</w:t>
      </w:r>
    </w:p>
    <w:p>
      <w:pPr>
        <w:pBdr>
          <w:left w:val="single" w:color="2C6FBB" w:sz="18" w:space="8"/>
        </w:pBdr>
        <w:shd w:fill="F2F2F2" w:val="clear"/>
        <w:spacing w:after="120" w:before="80" w:line="264"/>
        <w:ind w:left="200" w:right="200"/>
      </w:pPr>
      <w:r>
        <w:rPr>
          <w:rFonts w:ascii="Georgia" w:cs="Georgia" w:eastAsia="Georgia" w:hAnsi="Georgia"/>
          <w:sz w:val="21"/>
          <w:szCs w:val="21"/>
        </w:rPr>
        <w:t xml:space="preserve">One candidate explanation is the asymmetry between the two cost terms that least-cost theory balances. In a consistently humid tropical montane forest, the marginal cost of transpired water is likely low and relatively insensitive to a 15-year nutrient addition, whereas the marginal cost of nitrogen-based photosynthetic capacity is what fertilization directly targets. If the water term already dominates the cost ratio at this site, the optimum value of Ci/Ca may simply be far less sensitive to further reductions in the cost of nitrogen than it would be in a more water-limited system — which is consistent with the strong response of foliar nutrient status (Table 3) alongside the absence of a physiological one (Table 1). We cannot test this asymmetry directly without gas-exchange estimates of stomatal conductance and photosynthetic capacity, which is a limitation of an isotope-only design; but it offers a testable prediction for future work at drier montane sites, where the same experiment might be expected to detect a nutrient effect that ours does not.</w:t>
      </w:r>
    </w:p>
    <w:p>
      <w:pPr>
        <w:pStyle w:val="Heading1"/>
        <w:spacing w:after="200" w:before="480"/>
      </w:pPr>
      <w:r>
        <w:t xml:space="preserve">Bloque G · Evidencia directa en A. lojaensis: el xilema responde a N, pero Ci/Ca no</w:t>
      </w:r>
    </w:p>
    <w:p>
      <w:pPr>
        <w:spacing w:after="120" w:before="120"/>
      </w:pPr>
      <w:r>
        <w:rPr>
          <w:i/>
          <w:iCs/>
          <w:color w:val="555555"/>
          <w:sz w:val="21"/>
          <w:szCs w:val="21"/>
        </w:rPr>
        <w:t xml:space="preserve">Colocar justo después del Bloque C, como el cierre más fuerte de la sección de asimetría de costos: ya no es solo argumento teórico, es un dato real en la misma especie y el mismo experimento. Si en algún punto reportas resultados por especie en el texto (no solo en tabla), esta es la especie donde vale la pena detenerse. Revisa que tu propia Tabla 1 confirme que A. lojaensis específicamente no muestra efecto de N en Ci/Ca antes de afirmarlo así de directo — por lo que compartiste, ninguna especie lo muestra, así que debería sostenerse.</w:t>
      </w:r>
    </w:p>
    <w:p>
      <w:pPr>
        <w:pBdr>
          <w:left w:val="single" w:color="2C6FBB" w:sz="18" w:space="8"/>
        </w:pBdr>
        <w:shd w:fill="F2F2F2" w:val="clear"/>
        <w:spacing w:after="120" w:before="80" w:line="264"/>
        <w:ind w:left="200" w:right="200"/>
      </w:pPr>
      <w:r>
        <w:rPr>
          <w:rFonts w:ascii="Georgia" w:cs="Georgia" w:eastAsia="Georgia" w:hAnsi="Georgia"/>
          <w:sz w:val="21"/>
          <w:szCs w:val="21"/>
        </w:rPr>
        <w:t xml:space="preserve">Independent evidence from this same experiment supports this interpretation. In a wood-anatomical study of Alchornea lojaensis under the NUMEX treatments, Spannl et al. (2016) found that nitrogen addition significantly increased vessel diameter and theoretical hydraulic conductivity in this species, with vessels shifting toward more grouped and fewer solitary arrangements — a structural change consistent with a genuine increase in the plant's capacity to supply water to the canopy. Yet in the same species, under the same fifteen-year nitrogen treatment, we detect no corresponding shift in Ci/Ca (Table 1). Read together, the two results are consistent with eco-evolutionary optimality extending beyond leaf biochemistry to whole-plant hydraulic architecture: if the increase in xylem conductivity was matched by a proportional increase in transpirational demand, stomatal conductance and photosynthetic capacity could still co-adjust to keep Ci/Ca stable even as the underlying hydraulic supply capacity of the plant changed. To our knowledge, this is the first case in which both the structural and the physiological sides of this trade-off have been measured in the same nutrient-manipulation experiment and the same species.</w:t>
      </w:r>
    </w:p>
    <w:p>
      <w:pPr>
        <w:pStyle w:val="Heading1"/>
        <w:spacing w:after="200" w:before="480"/>
      </w:pPr>
      <w:r>
        <w:t xml:space="preserve">Bloque D · Control positivo con la elevación (requiere un análisis adicional)</w:t>
      </w:r>
    </w:p>
    <w:p>
      <w:pPr>
        <w:spacing w:after="120" w:before="120"/>
      </w:pPr>
      <w:r>
        <w:rPr>
          <w:i/>
          <w:iCs/>
          <w:color w:val="555555"/>
          <w:sz w:val="21"/>
          <w:szCs w:val="21"/>
        </w:rPr>
        <w:t xml:space="preserve">Este bloque necesita un número que aún no está en tus tablas actuales, porque los 132 modelos comparan N y P dentro de cada especie/elevación, nunca entre elevaciones. Es un análisis muy simple: toma solo las observaciones control (N=0, P=0) de iWUE (o δ13C) y compara su media entre las tres elevaciones (1000, 2000, 3000 m) — un modelo lineal simple o incluso una tabla de medias basta. Wang et al. (2017) predice que iWUE en el control debería subir con la elevación por la caída de presión atmosférica y temperatura, independientemente de nutrientes. Si el patrón aparece en tus datos, es un control positivo fuerte: demuestra que tu proxy isotópico sí es sensible a un driver ambiental conocido, así que la ausencia de respuesta a nutrientes no es un problema de sensibilidad de la medida. Te dejo el párrafo con placeholders — complétalo con tus números antes de insertarlo, idealmente antes de los bloques A–C, como apertura de la discusión.</w:t>
      </w:r>
    </w:p>
    <w:p>
      <w:pPr>
        <w:pBdr>
          <w:left w:val="single" w:color="2C6FBB" w:sz="18" w:space="8"/>
        </w:pBdr>
        <w:shd w:fill="F2F2F2" w:val="clear"/>
        <w:spacing w:after="120" w:before="80" w:line="264"/>
        <w:ind w:left="200" w:right="200"/>
      </w:pPr>
      <w:r>
        <w:rPr>
          <w:rFonts w:ascii="Georgia" w:cs="Georgia" w:eastAsia="Georgia" w:hAnsi="Georgia"/>
          <w:sz w:val="21"/>
          <w:szCs w:val="21"/>
        </w:rPr>
        <w:t xml:space="preserve">Before interpreting the absence of a nutrient effect, it is worth confirming that our isotope-based iWUE is sensitive to an environmental driver with a well-established directional prediction. Control-treatment iWUE increased with elevation, from [VALOR] µmol mol⁻¹ at 1000 m to [VALOR] at 3000 m ([estadístico, p]), consistent with the decline in atmospheric pressure and temperature predicted to raise Ci/Ca-derived water-use efficiency along elevational gradients (Wang et al., 2017). This indicates that our measure of iWUE responds as expected to a known climatic driver, and that the null response to nutrient addition reported below is unlikely to reflect low sensitivity of the proxy itself.</w:t>
      </w:r>
    </w:p>
    <w:p>
      <w:pPr>
        <w:pStyle w:val="Heading1"/>
        <w:spacing w:after="200" w:before="480"/>
      </w:pPr>
      <w:r>
        <w:t xml:space="preserve">Bloque E · El fósforo: matiz mecanicista y patrón climático de fondo</w:t>
      </w:r>
    </w:p>
    <w:p>
      <w:pPr>
        <w:spacing w:after="120" w:before="120"/>
      </w:pPr>
      <w:r>
        <w:rPr>
          <w:i/>
          <w:iCs/>
          <w:color w:val="555555"/>
          <w:sz w:val="21"/>
          <w:szCs w:val="21"/>
        </w:rPr>
        <w:t xml:space="preserve">Dos sub-bloques. E1 es una limitación del diseño que conviene nombrar cerca del Bloque C (después de la asimetría de costos agua/N). E2 es una lectura alternativa, climática, del patrón de N y P foliar en los controles de la Tabla 3 — va bien en la parte de la discusión que interpreta esa tabla, y se puede presentar junto con lo que ya dices sobre Camenzind et al. (2019) sin contradecirlo: son dos preguntas distintas (cuánto nutriente carga la hoja vs. cuál nutriente limita el crecimiento).</w:t>
      </w:r>
    </w:p>
    <w:p>
      <w:pPr>
        <w:spacing w:after="160" w:before="0" w:line="276"/>
      </w:pPr>
      <w:r>
        <w:rPr>
          <w:sz w:val="22"/>
          <w:szCs w:val="22"/>
        </w:rPr>
        <w:t xml:space="preserve">E1 · Límite del diseño isotópico frente a P y Jmax</w:t>
      </w:r>
    </w:p>
    <w:p>
      <w:pPr>
        <w:pBdr>
          <w:left w:val="single" w:color="2C6FBB" w:sz="18" w:space="8"/>
        </w:pBdr>
        <w:shd w:fill="F2F2F2" w:val="clear"/>
        <w:spacing w:after="120" w:before="80" w:line="264"/>
        <w:ind w:left="200" w:right="200"/>
      </w:pPr>
      <w:r>
        <w:rPr>
          <w:rFonts w:ascii="Georgia" w:cs="Georgia" w:eastAsia="Georgia" w:hAnsi="Georgia"/>
          <w:sz w:val="21"/>
          <w:szCs w:val="21"/>
        </w:rPr>
        <w:t xml:space="preserve">A further nuance worth flagging is that our isotope-based measure of Ci/Ca cannot distinguish which biochemical process is responding. Ci/Ca reflects the balance between total photosynthetic capacity and stomatal conductance, but does not separate the carboxylation-limited component (Vcmax, nitrogen-dependent) from the RuBP-regeneration-limited component (Jmax, more strongly phosphorus-dependent) of that capacity (Walker et al., 2014; Ellsworth et al., 2022). It therefore remains possible that N and P addition shifted Vcmax and Jmax in partially offsetting ways — for instance, if P addition relieved a phosphorus constraint on Jmax while leaving the Vcmax:Jmax balance, and hence Ci/Ca, largely unchanged — a scenario our design cannot rule out without direct gas-exchange estimates of Vcmax and Jmax.</w:t>
      </w:r>
    </w:p>
    <w:p>
      <w:pPr>
        <w:spacing w:after="160" w:before="0" w:line="276"/>
      </w:pPr>
      <w:r>
        <w:rPr>
          <w:sz w:val="22"/>
          <w:szCs w:val="22"/>
        </w:rPr>
        <w:t xml:space="preserve">E2 · El patrón climático de fondo en N y P foliar (Tabla 3)</w:t>
      </w:r>
    </w:p>
    <w:p>
      <w:pPr>
        <w:pBdr>
          <w:left w:val="single" w:color="2C6FBB" w:sz="18" w:space="8"/>
        </w:pBdr>
        <w:shd w:fill="F2F2F2" w:val="clear"/>
        <w:spacing w:after="120" w:before="80" w:line="264"/>
        <w:ind w:left="200" w:right="200"/>
      </w:pPr>
      <w:r>
        <w:rPr>
          <w:rFonts w:ascii="Georgia" w:cs="Georgia" w:eastAsia="Georgia" w:hAnsi="Georgia"/>
          <w:sz w:val="21"/>
          <w:szCs w:val="21"/>
        </w:rPr>
        <w:t xml:space="preserve">Independent of the treatment effects reported above, the elevational pattern in foliar nutrient status visible in the control plots (Table 3) is consistent with the temperature-plant physiology hypothesis (Reich &amp; Oleksyn, 2004), which predicts that both leaf nitrogen and phosphorus concentrations should increase toward colder, higher-elevation climates as compensation for slower enzyme kinetics. This climate-driven baseline is independent of, and does not contradict, the shift from N-P co-limitation at the two lower elevations to N limitation at 3000 m already documented at this site (Camenzind et al., 2019): the two describe different things — how much nutrient a leaf carries, versus which nutrient constrains growth — and both are worth considering when interpreting how foliar stoichiometry varies across our elevational gradient.</w:t>
      </w:r>
    </w:p>
    <w:p>
      <w:pPr>
        <w:pStyle w:val="Heading1"/>
        <w:spacing w:after="200" w:before="480"/>
      </w:pPr>
      <w:r>
        <w:t xml:space="preserve">Bloque F · Para tu respaldo personal (no es para el manuscrito)</w:t>
      </w:r>
    </w:p>
    <w:p>
      <w:pPr>
        <w:spacing w:after="120" w:before="120"/>
      </w:pPr>
      <w:r>
        <w:rPr>
          <w:i/>
          <w:iCs/>
          <w:color w:val="555555"/>
          <w:sz w:val="21"/>
          <w:szCs w:val="21"/>
        </w:rPr>
        <w:t xml:space="preserve">Esto es distinto a los bloques A–E: no está redactado para insertar en el texto, sino para que lo tengas a mano si en una defensa o revisión te preguntan '¿y consideraste gs y la hidráulica directamente?'. Color ámbar para que no lo confundas con los bloques citables. Puedes resumirlo con tus propias palabras si te lo preguntan en voz alta.</w:t>
      </w:r>
    </w:p>
    <w:p>
      <w:pPr>
        <w:pBdr>
          <w:left w:val="single" w:color="C98A1A" w:sz="18" w:space="8"/>
        </w:pBdr>
        <w:shd w:fill="FBF1DB" w:val="clear"/>
        <w:spacing w:after="80" w:before="80" w:line="264"/>
        <w:ind w:left="200" w:right="200"/>
      </w:pPr>
      <w:r>
        <w:rPr>
          <w:sz w:val="21"/>
          <w:szCs w:val="21"/>
        </w:rPr>
        <w:t xml:space="preserve">Mi diseño (δ13C → Ci/Ca) prueba específicamente si se rompe la coordinación fotosíntesis-estoma que predice least-cost/EEO — es decir, si Vcmax/Jmax y gs dejan de moverse juntos. No prueba si N o P mueven gs por vías que no pasan por esa coordinación, y esas vías existen y están descritas en la literatura.</w:t>
      </w:r>
    </w:p>
    <w:p>
      <w:pPr>
        <w:pBdr>
          <w:left w:val="single" w:color="C98A1A" w:sz="18" w:space="8"/>
        </w:pBdr>
        <w:shd w:fill="FBF1DB" w:val="clear"/>
        <w:spacing w:after="80" w:before="0" w:line="264"/>
        <w:ind w:left="200" w:right="200"/>
      </w:pPr>
      <w:r>
        <w:rPr>
          <w:sz w:val="21"/>
          <w:szCs w:val="21"/>
        </w:rPr>
        <w:t xml:space="preserve">Vía rápida, a nivel de célula guardiana: para N, el transportador de nitrato NRT1.1/CHL1 actúa como sensor y promueve directamente la apertura estomática cuando hay nitrato disponible (Guo et al., 2003), y trabajo más reciente lo muestra como receptor dual de nitrato y ABA. También hay una ruta vía K+: alterar el estatus de N cambia la nutrición de potasio y la regulación de canales iónicos en la guardiana mediada por óxido nítrico (Chen et al., 2016, New Phytologist), lo cual mueve el balance osmótico que abre o cierra el estoma sin que cambie Vcmax. Para P, la vía directa es energética: abrir el estoma requiere ATP para la bomba de protones que permite la entrada de K+ a la guardiana, así que limitación de P podría en principio limitar gs de forma independiente de la capacidad fotosintética; también hay remodelado de fosfolípidos de membrana bajo deficiencia de P, con implicaciones para la función de la guardiana, aunque esto está menos establecido mecanísticamente que el caso del N.</w:t>
      </w:r>
    </w:p>
    <w:p>
      <w:pPr>
        <w:pBdr>
          <w:left w:val="single" w:color="C98A1A" w:sz="18" w:space="8"/>
        </w:pBdr>
        <w:shd w:fill="FBF1DB" w:val="clear"/>
        <w:spacing w:after="80" w:before="0" w:line="264"/>
        <w:ind w:left="200" w:right="200"/>
      </w:pPr>
      <w:r>
        <w:rPr>
          <w:sz w:val="21"/>
          <w:szCs w:val="21"/>
        </w:rPr>
        <w:t xml:space="preserve">Vía lenta, a nivel de arquitectura hidráulica de toda la planta: P está fuertemente ligado a la simbiosis micorrízica arbuscular, que regula directamente la actividad de acuaporinas radiculares y la conductividad hidráulica de la raíz (Quiroga et al., 2019, Plant, Cell &amp; Environment). N y P también pueden alterar, vía crecimiento, la anatomía del xilema (diámetro de vaso, razón área foliar:albura), lo que cambia la conductancia hidráulica específica y el margen de seguridad frente a cavitación, incluso sin ningún cambio bioquímico. Aquí la evidencia es mixta: un metaanálisis de rasgos hidráulicos leñosos bajo adición de N encuentra respuestas inconsistentes entre estudios (PMC5974508), y al menos dos experimentos de adición de N a 16 años en coníferas y en Populus no encuentran cambios en rasgos hidráulicos del xilema pese al tratamiento largo — coherente con mi propio resultado nulo, aunque no es prueba de que mi sistema se comporte igual.</w:t>
      </w:r>
    </w:p>
    <w:p>
      <w:pPr>
        <w:pBdr>
          <w:left w:val="single" w:color="C98A1A" w:sz="18" w:space="8"/>
        </w:pBdr>
        <w:shd w:fill="FBF1DB" w:val="clear"/>
        <w:spacing w:after="120" w:before="0" w:line="264"/>
        <w:ind w:left="200" w:right="200"/>
      </w:pPr>
      <w:r>
        <w:rPr>
          <w:sz w:val="21"/>
          <w:szCs w:val="21"/>
        </w:rPr>
        <w:t xml:space="preserve">Respuesta corta si me preguntan: 'mi proxy isotópico prueba la coordinación fotosíntesis-estoma, no gs ni la hidráulica de forma directa; hay vías conocidas (señalización de nitrato en la guardiana, ATP y P en la apertura estomática, micorrizas y anatomía de xilema) por las que N o P podrían mover gs sin pasar por Vcmax/Jmax, y mi diseño no puede descartarlas — haría falta intercambio gaseoso directo o curvas de vulnerabilidad para cerrar esa brecha.'</w:t>
      </w:r>
    </w:p>
    <w:p>
      <w:pPr>
        <w:pStyle w:val="Heading1"/>
        <w:spacing w:after="200" w:before="480"/>
      </w:pPr>
      <w:r>
        <w:t xml:space="preserve">Ajuste sugerido a la Introducción (párrafo 5)</w:t>
      </w:r>
    </w:p>
    <w:p>
      <w:pPr>
        <w:spacing w:after="120" w:before="120"/>
      </w:pPr>
      <w:r>
        <w:rPr>
          <w:i/>
          <w:iCs/>
          <w:color w:val="555555"/>
          <w:sz w:val="21"/>
          <w:szCs w:val="21"/>
        </w:rPr>
        <w:t xml:space="preserve">Opcional, pero recomendado: si añades el Bloque B a la discusión, conviene sembrar a Paillassa 2020 ya en la introducción para que el lector no lo vea aparecer de la nada. Insertar al final del párrafo 5, después de la oración que cita a Prentice 2014 y Wang 2017.</w:t>
      </w:r>
    </w:p>
    <w:p>
      <w:pPr>
        <w:pBdr>
          <w:left w:val="single" w:color="2C6FBB" w:sz="18" w:space="8"/>
        </w:pBdr>
        <w:shd w:fill="F2F2F2" w:val="clear"/>
        <w:spacing w:after="120" w:before="80" w:line="264"/>
        <w:ind w:left="200" w:right="200"/>
      </w:pPr>
      <w:r>
        <w:rPr>
          <w:rFonts w:ascii="Georgia" w:cs="Georgia" w:eastAsia="Georgia" w:hAnsi="Georgia"/>
          <w:sz w:val="21"/>
          <w:szCs w:val="21"/>
        </w:rPr>
        <w:t xml:space="preserve">Evidence for the climate-independence of Ci/Ca is not unanimous, however: across a broad soil-fertility gradient, Paillassa et al. (2020) found that soil nitrogen and pH shift the same cost balance by up to 30% relative to climate-only predictions, raising the possibility that nutrient supply modulates Ci/Ca under field conditions even where leaf-level optimality theory predicts otherwise.</w:t>
      </w:r>
    </w:p>
    <w:p>
      <w:pPr>
        <w:pStyle w:val="Heading1"/>
        <w:spacing w:after="200" w:before="480"/>
      </w:pPr>
      <w:r>
        <w:t xml:space="preserve">Orden sugerido dentro de la Discusión</w:t>
      </w:r>
    </w:p>
    <w:p>
      <w:pPr>
        <w:spacing w:after="160" w:before="0" w:line="276"/>
      </w:pPr>
      <w:r>
        <w:rPr>
          <w:sz w:val="22"/>
          <w:szCs w:val="22"/>
        </w:rPr>
        <w:t xml:space="preserve">1) Bloque D (control positivo de elevación, si decides incluirlo) → 2) presentación de Tabla 1 y Tabla 3 → 3) Bloque A (coordinación) → 4) Bloque B (contraste con Paillassa) → 5) Bloque C (asimetría de costos, como explicación candidata) → 6) Bloque G (evidencia de xilema en A. lojaensis, como cierre fuerte de C) → 7) Bloque E1 (límite del diseño frente a P/Jmax, como matiz adicional) → 8) Bloque E2 (patrón climático de fondo en N-P, junto con Camenzind et al. 2019) → 9) tu propio cierre, conectando con las implicaciones para modelos de vegetación que ya planteas al final de la introducción. El Bloque F no va en este orden — es material de respaldo, no de manuscrito.</w:t>
      </w:r>
    </w:p>
    <w:p>
      <w:pPr>
        <w:pStyle w:val="Heading1"/>
        <w:spacing w:after="200" w:before="480"/>
      </w:pPr>
      <w:r>
        <w:t xml:space="preserve">Reestructuración sugerida de tu Discusión</w:t>
      </w:r>
    </w:p>
    <w:p>
      <w:pPr>
        <w:spacing w:after="160" w:before="0" w:line="276"/>
      </w:pPr>
      <w:r>
        <w:rPr>
          <w:sz w:val="22"/>
          <w:szCs w:val="22"/>
        </w:rPr>
        <w:t xml:space="preserve">Esto no reescribe tu prosa — es un mapa de qué mover, qué mantener, dónde encajan los bloques A–G (varios de ellos ya convergen con citas que tú misma usas, lo cual es una buena señal), y qué recortaría por especulativo. Va organizado como: (1) algo que hay que resolver antes de reestructurar nada, (2) por qué sí mover la elevación a la Sección 2, (3) la estructura renumerada, (4) comentarios puntuales sobre tu texto actual.</w:t>
      </w:r>
    </w:p>
    <w:p>
      <w:pPr>
        <w:pStyle w:val="Heading2"/>
        <w:spacing w:after="140" w:before="320"/>
      </w:pPr>
      <w:r>
        <w:rPr>
          <w:color w:val="2C6FBB"/>
        </w:rPr>
        <w:t xml:space="preserve">1 · Antes de reestructurar: una inconsistencia que resolver primero</w:t>
      </w:r>
    </w:p>
    <w:p>
      <w:pPr>
        <w:pBdr>
          <w:left w:val="single" w:color="C98A1A" w:sz="18" w:space="8"/>
        </w:pBdr>
        <w:shd w:fill="FBF1DB" w:val="clear"/>
        <w:spacing w:after="80" w:before="80" w:line="264"/>
        <w:ind w:left="200" w:right="200"/>
      </w:pPr>
      <w:r>
        <w:rPr>
          <w:sz w:val="21"/>
          <w:szCs w:val="21"/>
        </w:rPr>
        <w:t xml:space="preserve">Esto es más urgente que el orden de las secciones. Tu Overview dice que iWUE y δ13Ccellulose 'did not show a consistent response across the species, with the exception of P. torta'. Pero en la Sección 2 escribes: 'Only one (P. torta) of the six studied species exhibited a significant decrease in iWUE in the interaction, and C. racemosa relative to control plots' — una frase con un problema gramatical (falta una cláusula clara para C. racemosa) que además, tal como está, dice que DOS especies tuvieron algo significativo, no una.</w:t>
      </w:r>
    </w:p>
    <w:p>
      <w:pPr>
        <w:pBdr>
          <w:left w:val="single" w:color="C98A1A" w:sz="18" w:space="8"/>
        </w:pBdr>
        <w:shd w:fill="FBF1DB" w:val="clear"/>
        <w:spacing w:after="80" w:before="0" w:line="264"/>
        <w:ind w:left="200" w:right="200"/>
      </w:pPr>
      <w:r>
        <w:rPr>
          <w:sz w:val="21"/>
          <w:szCs w:val="21"/>
        </w:rPr>
        <w:t xml:space="preserve">Y esto no calza con lo que vi en Resultados_modelos_Bernacchi.docx: ese documento dice explícitamente 'Ninguna especie muestra efecto significativo sobre iWUE, δ¹³C ni Ci/Ca' — las únicas señales fisiológicas significativas que reporta están en δ¹⁸O (P. torta responde a P, Myrcia sp. nov. a N), no en iWUE. Sobre C. racemosa sí coincide: ese documento dice que el efecto de N sobre su iWUE 'queda en p = 0.051, marginal', que es justo la cautela que tú expresas. Pero no encontré ahí ninguna mención de un efecto significativo de P. torta sobre iWUE específicamente.</w:t>
      </w:r>
    </w:p>
    <w:p>
      <w:pPr>
        <w:pBdr>
          <w:left w:val="single" w:color="C98A1A" w:sz="18" w:space="8"/>
        </w:pBdr>
        <w:shd w:fill="FBF1DB" w:val="clear"/>
        <w:spacing w:after="120" w:before="0" w:line="264"/>
        <w:ind w:left="200" w:right="200"/>
      </w:pPr>
      <w:r>
        <w:rPr>
          <w:sz w:val="21"/>
          <w:szCs w:val="21"/>
        </w:rPr>
        <w:t xml:space="preserve">Puede ser que tu Rmd final (con lmerTest y aproximación de Satterthwaite) dé un resultado distinto al de ese documento intermedio — tú misma señalas ahí que los valores definitivos son los del Rmd. Pero como el documento advierte que la diferencia esperada es 'en el tercer decimal', no que cambie la significancia de una especie entera, vale la pena que confirmes contra la tabla final antes de fijar esta frase en el Overview y en la Sección 2 — es la base de todo el argumento del 'resultado nulo' que sostiene el resto de la discusión y de tu introducción.</w:t>
      </w:r>
    </w:p>
    <w:p>
      <w:pPr>
        <w:pStyle w:val="Heading2"/>
        <w:spacing w:after="140" w:before="320"/>
      </w:pPr>
      <w:r>
        <w:rPr>
          <w:color w:val="2C6FBB"/>
        </w:rPr>
        <w:t xml:space="preserve">2 · Sí, mover la elevación a la Sección 2 — y por qué funciona</w:t>
      </w:r>
    </w:p>
    <w:p>
      <w:pPr>
        <w:spacing w:after="160" w:before="0" w:line="276"/>
      </w:pPr>
      <w:r>
        <w:rPr>
          <w:sz w:val="22"/>
          <w:szCs w:val="22"/>
        </w:rPr>
        <w:t xml:space="preserve">Estoy de acuerdo, y encaja con algo que ya habíamos discutido: tu actual Sección 3 (variación natural de iWUE entre especies y elevaciones en los controles) cumple exactamente el papel de 'control positivo' que le atribuimos al Bloque D — demuestra que tu proxy isotópico sí responde a un driver ambiental conocido antes de argumentar que no responde a los nutrientes. Moverla a la posición 2 adelanta ese control positivo al lugar correcto de la narrativa: 1) confirmamos que la fertilización sí cambió el estatus nutricional (Sección 1) → 2) mostramos que iWUE sí varía con algo — elevación y especie — así que el proxy funciona (nueva Sección 2) → 3) explicamos por qué, aun así, la fertilización específicamente no la movió (Sección 3, tu actual Sección 2) → 4) implicaciones. Con este orden, el Bloque D independiente ya no hace falta como bloque separado: tu Sección 2 nueva lo reemplaza y lo hace mejor porque usa tus datos reales, no un placeholder. Sí valdría la pena nombrar explícitamente a Wang et al. (2017) ahí — ahora mismo la sección describe el patrón (Wittich et al., 2012; mayor Narea a 2000 m) pero no lo conecta de vuelta con la predicción teórica de tu propia introducción, que es la que le da peso a que este patrón 'ya esperado' sea evidencia y no solo descripción.</w:t>
      </w:r>
    </w:p>
    <w:p>
      <w:pPr>
        <w:pStyle w:val="Heading2"/>
        <w:spacing w:after="140" w:before="320"/>
      </w:pPr>
      <w:r>
        <w:rPr>
          <w:color w:val="2C6FBB"/>
        </w:rPr>
        <w:t xml:space="preserve">3 · Estructura sugerida (renumerada)</w:t>
      </w:r>
    </w:p>
    <w:p>
      <w:pPr>
        <w:spacing w:after="160" w:before="0" w:line="276"/>
      </w:pPr>
      <w:r>
        <w:rPr>
          <w:sz w:val="22"/>
          <w:szCs w:val="22"/>
        </w:rPr>
        <w:t xml:space="preserve">Overview — ajustar una vez resuelto el punto 1.</w:t>
      </w:r>
    </w:p>
    <w:p>
      <w:pPr>
        <w:spacing w:after="160" w:before="0" w:line="276"/>
      </w:pPr>
      <w:r>
        <w:rPr>
          <w:sz w:val="22"/>
          <w:szCs w:val="22"/>
        </w:rPr>
        <w:t xml:space="preserve">1. Nutrient uptake is reflected in higher leaf nutrient concentrations — se mantiene casi igual (ver comentarios abajo sobre el párrafo de Xia et al. y el de SLA/NUTNET).</w:t>
      </w:r>
    </w:p>
    <w:p>
      <w:pPr>
        <w:spacing w:after="160" w:before="0" w:line="276"/>
      </w:pPr>
      <w:r>
        <w:rPr>
          <w:sz w:val="22"/>
          <w:szCs w:val="22"/>
        </w:rPr>
        <w:t xml:space="preserve">2. [NUEVA] Elevational and species-level variation in iWUE — tu actual Sección 3, movida aquí. Nombrar explícitamente a Wang et al. (2017) para cerrar el lazo con la introducción; el Bloque E2 (Reich &amp; Oleksyn 2004) encaja bien en la frase sobre mayor Narea a 2000 m.</w:t>
      </w:r>
    </w:p>
    <w:p>
      <w:pPr>
        <w:spacing w:after="160" w:before="0" w:line="276"/>
      </w:pPr>
      <w:r>
        <w:rPr>
          <w:sz w:val="22"/>
          <w:szCs w:val="22"/>
        </w:rPr>
        <w:t xml:space="preserve">3. Species-specific strategies and nutrient allocation — tu actual Sección 2, ahora en tercer lugar, justo después de establecer que iWUE sí es sensible a algo (Sección 2) pero no a la fertilización dentro de especie. Aquí encajan los Bloques A, C, G y E1 (ver comentarios abajo — varios ya están implícitos en tus propias citas).</w:t>
      </w:r>
    </w:p>
    <w:p>
      <w:pPr>
        <w:spacing w:after="160" w:before="0" w:line="276"/>
      </w:pPr>
      <w:r>
        <w:rPr>
          <w:sz w:val="22"/>
          <w:szCs w:val="22"/>
        </w:rPr>
        <w:t xml:space="preserve">4. Implications for TMFs and ecosystem models — se mantiene al final, casi sin cambios.</w:t>
      </w:r>
    </w:p>
    <w:p>
      <w:pPr>
        <w:pStyle w:val="Heading2"/>
        <w:spacing w:after="140" w:before="320"/>
      </w:pPr>
      <w:r>
        <w:rPr>
          <w:color w:val="2C6FBB"/>
        </w:rPr>
        <w:t xml:space="preserve">4 · Comentarios puntuales sobre tu texto</w:t>
      </w:r>
    </w:p>
    <w:p>
      <w:pPr>
        <w:spacing w:after="120" w:before="120"/>
      </w:pPr>
      <w:r>
        <w:rPr>
          <w:i/>
          <w:iCs/>
          <w:color w:val="555555"/>
          <w:sz w:val="21"/>
          <w:szCs w:val="21"/>
        </w:rPr>
        <w:t xml:space="preserve">Tu texto (Sección 2, párrafo de apertura): "In contrast, answering our second research question. After 16 years of N and P addition..."</w:t>
      </w:r>
    </w:p>
    <w:p>
      <w:pPr>
        <w:pBdr>
          <w:left w:val="single" w:color="C98A1A" w:sz="18" w:space="8"/>
        </w:pBdr>
        <w:shd w:fill="FBF1DB" w:val="clear"/>
        <w:spacing w:after="120" w:before="80" w:line="264"/>
        <w:ind w:left="200" w:right="200"/>
      </w:pPr>
      <w:r>
        <w:rPr>
          <w:sz w:val="21"/>
          <w:szCs w:val="21"/>
        </w:rPr>
        <w:t xml:space="preserve">Fragmento de oración — 'In contrast, answering our second research question.' no tiene verbo principal propio. Sugerencia: 'In contrast to the strong nutrient-uptake response documented above, our second question — whether long-term addition altered iWUE — found no consistent response.' Esto también resuelve que, en la nueva numeración, esta sección ya no es la que sigue inmediatamente al Overview, así que el 'In contrast' necesita apuntar a la Sección 2 nueva (elevación), no al Overview directamente.</w:t>
      </w:r>
    </w:p>
    <w:p>
      <w:pPr>
        <w:spacing w:after="120" w:before="120"/>
      </w:pPr>
      <w:r>
        <w:rPr>
          <w:i/>
          <w:iCs/>
          <w:color w:val="555555"/>
          <w:sz w:val="21"/>
          <w:szCs w:val="21"/>
        </w:rPr>
        <w:t xml:space="preserve">Tu texto (Sección 1): "one possible explanation is that P addition may have influenced microbial activity and nutrient cycling, potentially increasing N availability and uptake (Xia et al., 2023)"</w:t>
      </w:r>
    </w:p>
    <w:p>
      <w:pPr>
        <w:pBdr>
          <w:left w:val="single" w:color="C98A1A" w:sz="18" w:space="8"/>
        </w:pBdr>
        <w:shd w:fill="FBF1DB" w:val="clear"/>
        <w:spacing w:after="120" w:before="80" w:line="264"/>
        <w:ind w:left="200" w:right="200"/>
      </w:pPr>
      <w:r>
        <w:rPr>
          <w:sz w:val="21"/>
          <w:szCs w:val="21"/>
        </w:rPr>
        <w:t xml:space="preserve">Ésta es, para mí, la afirmación más especulativa de toda la discusión: una cadena causal de tres pasos (P → actividad microbiana → ciclo de N → captación de N) para explicar un efecto que tú misma describes como marginal, apoyada en una sola cita genérica. Ya está bien cubierta ('the mechanism underlying this response remains unclear'), pero yo la recortaría a una frase más corta o la movería a una nota al pie / material suplementario — no necesita el peso de un mecanismo de tres pasos para un resultado marginal.</w:t>
      </w:r>
    </w:p>
    <w:p>
      <w:pPr>
        <w:spacing w:after="120" w:before="120"/>
      </w:pPr>
      <w:r>
        <w:rPr>
          <w:i/>
          <w:iCs/>
          <w:color w:val="555555"/>
          <w:sz w:val="21"/>
          <w:szCs w:val="21"/>
        </w:rPr>
        <w:t xml:space="preserve">Tu texto (Sección 3): "One possible explanation for the similarity of responses at 2000 m and 3000 m is the shared parent rock material...(Homeier &amp; Leuschner, 2021b)"</w:t>
      </w:r>
    </w:p>
    <w:p>
      <w:pPr>
        <w:pBdr>
          <w:left w:val="single" w:color="C98A1A" w:sz="18" w:space="8"/>
        </w:pBdr>
        <w:shd w:fill="FBF1DB" w:val="clear"/>
        <w:spacing w:after="120" w:before="80" w:line="264"/>
        <w:ind w:left="200" w:right="200"/>
      </w:pPr>
      <w:r>
        <w:rPr>
          <w:sz w:val="21"/>
          <w:szCs w:val="21"/>
        </w:rPr>
        <w:t xml:space="preserve">Vale la pena confirmar que Homeier &amp; Leuschner (2021b) hablan específicamente de material parental compartido y no solo de descripción general del sitio — es una afirmación geológica puntual y, si la cita solo describe el sitio en términos generales, quedaría como una explicación más especulativa de lo que el texto sugiere.</w:t>
      </w:r>
    </w:p>
    <w:p>
      <w:pPr>
        <w:spacing w:after="120" w:before="120"/>
      </w:pPr>
      <w:r>
        <w:rPr>
          <w:i/>
          <w:iCs/>
          <w:color w:val="555555"/>
          <w:sz w:val="21"/>
          <w:szCs w:val="21"/>
        </w:rPr>
        <w:t xml:space="preserve">Tu texto (Sección 3): "These differences likely reflect coordinated variation in nutrient availability, leaf functional traits, and community composition along the elevational gradient."</w:t>
      </w:r>
    </w:p>
    <w:p>
      <w:pPr>
        <w:pBdr>
          <w:left w:val="single" w:color="C98A1A" w:sz="18" w:space="8"/>
        </w:pBdr>
        <w:shd w:fill="FBF1DB" w:val="clear"/>
        <w:spacing w:after="120" w:before="80" w:line="264"/>
        <w:ind w:left="200" w:right="200"/>
      </w:pPr>
      <w:r>
        <w:rPr>
          <w:sz w:val="21"/>
          <w:szCs w:val="21"/>
        </w:rPr>
        <w:t xml:space="preserve">Esta frase es la más genérica del texto — no añade información nueva sobre lo que mediste. La recortaría o la reemplazaría por algo anclado a un dato concreto (p. ej., la diferencia de Narea que mencionas en la oración siguiente), para que no quede como relleno entre dos oraciones que sí dicen algo específico.</w:t>
      </w:r>
    </w:p>
    <w:p>
      <w:pPr>
        <w:spacing w:after="120" w:before="120"/>
      </w:pPr>
      <w:r>
        <w:rPr>
          <w:i/>
          <w:iCs/>
          <w:color w:val="555555"/>
          <w:sz w:val="21"/>
          <w:szCs w:val="21"/>
        </w:rPr>
        <w:t xml:space="preserve">Ya citas a Spannl et al. (2016) en la Sección 3, para producción de follaje, LAI y longevidad foliar — el Bloque G (xilema de A. lojaensis) es la misma referencia, un hallazgo distinto del mismo estudio.</w:t>
      </w:r>
    </w:p>
    <w:p>
      <w:pPr>
        <w:pBdr>
          <w:left w:val="single" w:color="C98A1A" w:sz="18" w:space="8"/>
        </w:pBdr>
        <w:shd w:fill="FBF1DB" w:val="clear"/>
        <w:spacing w:after="120" w:before="80" w:line="264"/>
        <w:ind w:left="200" w:right="200"/>
      </w:pPr>
      <w:r>
        <w:rPr>
          <w:sz w:val="21"/>
          <w:szCs w:val="21"/>
        </w:rPr>
        <w:t xml:space="preserve">En vez de un bloque nuevo separado, yo integraría el dato de diámetro de vaso y conductividad hidráulica teórica directamente en ese párrafo donde ya citas a Spannl et al. (2016) — es la misma fuente, así que añadir el detalle de xilema ahí (en vez de en un párrafo aparte) evita citar dos veces la misma referencia por razones distintas y refuerza tu propio argumento de 'nutrientes asignados más allá de la hoja' con un ejemplo anatómico concreto en tu propia especie.</w:t>
      </w:r>
    </w:p>
    <w:p>
      <w:pPr>
        <w:spacing w:after="120" w:before="120"/>
      </w:pPr>
      <w:r>
        <w:rPr>
          <w:i/>
          <w:iCs/>
          <w:color w:val="555555"/>
          <w:sz w:val="21"/>
          <w:szCs w:val="21"/>
        </w:rPr>
        <w:t xml:space="preserve">Ya citas a Ellsworth et al. (2022) y Walker et al. (2014) en el párrafo sobre P (Sección 3) — el Bloque E1 (Vcmax vs. Jmax) es exactamente el argumento que esas dos citas sostienen, pero no está dicho de forma explícita.</w:t>
      </w:r>
    </w:p>
    <w:p>
      <w:pPr>
        <w:pBdr>
          <w:left w:val="single" w:color="C98A1A" w:sz="18" w:space="8"/>
        </w:pBdr>
        <w:shd w:fill="FBF1DB" w:val="clear"/>
        <w:spacing w:after="120" w:before="80" w:line="264"/>
        <w:ind w:left="200" w:right="200"/>
      </w:pPr>
      <w:r>
        <w:rPr>
          <w:sz w:val="21"/>
          <w:szCs w:val="21"/>
        </w:rPr>
        <w:t xml:space="preserve">Tu párrafo ya tiene las citas correctas pero se queda en 'remains to be determined how the P pool is used'. Yo añadiría una frase explícita ahí: que tu medida de Ci/Ca no puede separar el componente limitado por carboxilación (Vcmax, N) del limitado por regeneración de RuBP (Jmax, P) — eso convierte una laguna genérica ('no sabemos cómo se usa el P') en una limitación metodológica concreta y defendible ('nuestro diseño no puede separar estos dos componentes').</w:t>
      </w:r>
    </w:p>
    <w:p>
      <w:pPr>
        <w:spacing w:after="120" w:before="120"/>
      </w:pPr>
      <w:r>
        <w:rPr>
          <w:i/>
          <w:iCs/>
          <w:color w:val="555555"/>
          <w:sz w:val="21"/>
          <w:szCs w:val="21"/>
        </w:rPr>
        <w:t xml:space="preserve">Implicaciones: "Such conservative carbon-water strategies may confer physiological stability... (Reich, 2014; Smith &amp; Keenan, 2020)"</w:t>
      </w:r>
    </w:p>
    <w:p>
      <w:pPr>
        <w:pBdr>
          <w:left w:val="single" w:color="C98A1A" w:sz="18" w:space="8"/>
        </w:pBdr>
        <w:shd w:fill="FBF1DB" w:val="clear"/>
        <w:spacing w:after="120" w:before="80" w:line="264"/>
        <w:ind w:left="200" w:right="200"/>
      </w:pPr>
      <w:r>
        <w:rPr>
          <w:sz w:val="21"/>
          <w:szCs w:val="21"/>
        </w:rPr>
        <w:t xml:space="preserve">No es incorrecto, pero es una generalización fuerte para cerrar el manuscrito — vale la pena confirmar que esas dos citas efectivamente respaldan 'estabilidad fisiológica' en este sentido específico (coordinación C-agua bajo nutrientes) y no solo resiliencia ecológica en un sentido más amplio, para que no se lea como una extrapolación mayor de lo que tus datos sostienen.</w:t>
      </w:r>
    </w:p>
    <w:p>
      <w:pPr>
        <w:pStyle w:val="Heading1"/>
        <w:spacing w:after="200" w:before="480"/>
      </w:pPr>
      <w:r>
        <w:t xml:space="preserve">Referencias completas — para que las verifiques tú</w:t>
      </w:r>
    </w:p>
    <w:p>
      <w:pPr>
        <w:spacing w:after="120" w:before="120"/>
      </w:pPr>
      <w:r>
        <w:rPr>
          <w:i/>
          <w:iCs/>
          <w:color w:val="555555"/>
          <w:sz w:val="21"/>
          <w:szCs w:val="21"/>
        </w:rPr>
        <w:t xml:space="preserve">Todas las que he citado en esta conversación, en el formato más completo que pude confirmar por búsqueda. Marco con [VERIFICAR] lo que no pude confirmar con certeza — mismo criterio que usas en tu propia introducción para las citas pendientes.</w:t>
      </w:r>
    </w:p>
    <w:p>
      <w:pPr>
        <w:spacing w:after="160" w:before="0" w:line="276"/>
      </w:pPr>
      <w:r>
        <w:rPr>
          <w:sz w:val="22"/>
          <w:szCs w:val="22"/>
        </w:rPr>
        <w:t xml:space="preserve">Wright, I.J., Reich, P.B., &amp; Westoby, M. (2003). Least-cost input mixtures of water and nitrogen for photosynthesis. The American Naturalist, 161(1), 98–111. https://doi.org/10.1086/344920</w:t>
      </w:r>
    </w:p>
    <w:p>
      <w:pPr>
        <w:spacing w:after="160" w:before="0" w:line="276"/>
      </w:pPr>
      <w:r>
        <w:rPr>
          <w:sz w:val="22"/>
          <w:szCs w:val="22"/>
        </w:rPr>
        <w:t xml:space="preserve">Prentice, I.C., Dong, N., Gleason, S.M., Maire, V., &amp; Wright, I.J. (2014). Balancing the costs of carbon gain and water transport: testing a new theoretical framework for plant functional ecology. Ecology Letters, 17(1), 82–91. https://doi.org/10.1111/ele.12211</w:t>
      </w:r>
    </w:p>
    <w:p>
      <w:pPr>
        <w:spacing w:after="160" w:before="0" w:line="276"/>
      </w:pPr>
      <w:r>
        <w:rPr>
          <w:sz w:val="22"/>
          <w:szCs w:val="22"/>
        </w:rPr>
        <w:t xml:space="preserve">Wang, H., Prentice, I.C., Keenan, T.F., Davis, T.W., Wright, I.J., Cornwell, W.K., Evans, B.J., &amp; Peng, C. (2017). Towards a universal model for carbon dioxide uptake by plants. Nature Plants, 3, 734–741. https://doi.org/10.1038/s41477-017-0006-8</w:t>
      </w:r>
    </w:p>
    <w:p>
      <w:pPr>
        <w:spacing w:after="160" w:before="0" w:line="276"/>
      </w:pPr>
      <w:r>
        <w:rPr>
          <w:sz w:val="22"/>
          <w:szCs w:val="22"/>
        </w:rPr>
        <w:t xml:space="preserve">Paillassa, J., Wright, I.J., Prentice, I.C., et al. (2020). When and where soil is important to modify the carbon and water economy of leaves. New Phytologist [VERIFICAR volumen, número y páginas — no pude confirmarlos por búsqueda; lista de autores también incompleta]. https://doi.org/10.1111/nph.16702</w:t>
      </w:r>
    </w:p>
    <w:p>
      <w:pPr>
        <w:spacing w:after="160" w:before="0" w:line="276"/>
      </w:pPr>
      <w:r>
        <w:rPr>
          <w:sz w:val="22"/>
          <w:szCs w:val="22"/>
        </w:rPr>
        <w:t xml:space="preserve">Lankhorst, J.A., de Boer, H.J., Behling, D.C., Drake, P.L., Perkowski, E.A., &amp; Rebel, K.T. (2025). Nutrient availability increases photosynthetic capacity without altering the cost of resource use for photosynthesis. AoB PLANTS, 17(6), plaf061. https://doi.org/10.1093/aobpla/plaf061</w:t>
      </w:r>
    </w:p>
    <w:p>
      <w:pPr>
        <w:spacing w:after="160" w:before="0" w:line="276"/>
      </w:pPr>
      <w:r>
        <w:rPr>
          <w:sz w:val="22"/>
          <w:szCs w:val="22"/>
        </w:rPr>
        <w:t xml:space="preserve">Walker, A.P., Beckerman, A.P., Gu, L., Kattge, J., Cernusak, L.A., Domingues, T.F., Scales, J.C., Wohlfahrt, G., Wullschleger, S.D., &amp; Woodward, F.I. (2014). The relationship of leaf photosynthetic traits – Vcmax and Jmax – to leaf nitrogen, leaf phosphorus, and specific leaf area: a meta-analysis and modeling study. Ecology and Evolution, 4(16), 3218–3235. https://doi.org/10.1002/ece3.1173</w:t>
      </w:r>
    </w:p>
    <w:p>
      <w:pPr>
        <w:spacing w:after="160" w:before="0" w:line="276"/>
      </w:pPr>
      <w:r>
        <w:rPr>
          <w:sz w:val="22"/>
          <w:szCs w:val="22"/>
        </w:rPr>
        <w:t xml:space="preserve">Ellsworth, D.S., Crous, K.Y., De Kauwe, M.G., Verryckt, L.T., Goll, D., Zaehle, S., Bloomfield, K.J., Ciais, P., Cernusak, L.A., Domingues, T.F., Dusenge, M.E., Garcia, S., Guerrieri, R., Ishida, F.Y., Janssens, I.A., Kenzo, T., Ichie, T., Medlyn, B.E., Meir, P., Norby, R.J., Reich, P.B., Rowland, L., Santiago, L.S., Sun, Y., Uddling, J., Walker, A.P., Weerasinghe, L.K., Van der Weg, M.J., Zhang, Y.-B., &amp; Zhang, J.-L. (2022). Convergence in phosphorus constraints to photosynthesis in forests around the world. Nature Communications, 13, 7018. https://doi.org/10.1038/s41467-022-32545-0</w:t>
      </w:r>
    </w:p>
    <w:p>
      <w:pPr>
        <w:spacing w:after="160" w:before="0" w:line="276"/>
      </w:pPr>
      <w:r>
        <w:rPr>
          <w:sz w:val="22"/>
          <w:szCs w:val="22"/>
        </w:rPr>
        <w:t xml:space="preserve">Reich, P.B., &amp; Oleksyn, J. (2004). Global patterns of plant leaf N and P in relation to temperature and latitude. Proceedings of the National Academy of Sciences, 101(30), 11001–11006. https://doi.org/10.1073/pnas.0403588101</w:t>
      </w:r>
    </w:p>
    <w:p>
      <w:pPr>
        <w:spacing w:after="160" w:before="0" w:line="276"/>
      </w:pPr>
      <w:r>
        <w:rPr>
          <w:sz w:val="22"/>
          <w:szCs w:val="22"/>
        </w:rPr>
        <w:t xml:space="preserve">Spannl, S., Homeier, J., &amp; Bräuning, A. (2016). Nutrient-induced modifications of wood anatomical traits of Alchornea lojaensis (Euphorbiaceae). Frontiers in Earth Science, 4, article 50. https://doi.org/10.3389/feart.2016.00050</w:t>
      </w:r>
    </w:p>
    <w:p>
      <w:pPr>
        <w:spacing w:after="160" w:before="0" w:line="276"/>
      </w:pPr>
      <w:r>
        <w:rPr>
          <w:sz w:val="22"/>
          <w:szCs w:val="22"/>
        </w:rPr>
        <w:t xml:space="preserve">Guo, F.Q., Young, J., &amp; Crawford, N.M. (2003). The nitrate transporter AtNRT1.1 (CHL1) functions in stomatal opening and contributes to drought susceptibility in Arabidopsis. The Plant Cell, 15(1), 107–117. https://doi.org/10.1105/tpc.006312</w:t>
      </w:r>
    </w:p>
    <w:p>
      <w:pPr>
        <w:spacing w:after="160" w:before="0" w:line="276"/>
      </w:pPr>
      <w:r>
        <w:rPr>
          <w:sz w:val="22"/>
          <w:szCs w:val="22"/>
        </w:rPr>
        <w:t xml:space="preserve">Chen, Z.-H., Wang, Y., Wang, J.-W., et al. (2016). Nitrate reductase mutation alters potassium nutrition as well as nitric oxide-mediated control of guard cell ion channels in Arabidopsis. New Phytologist, 209(4), 1456–1469 [VERIFICAR autores completos y páginas]. https://doi.org/10.1111/nph.13714</w:t>
      </w:r>
    </w:p>
    <w:p>
      <w:pPr>
        <w:spacing w:after="160" w:before="0" w:line="276"/>
      </w:pPr>
      <w:r>
        <w:rPr>
          <w:sz w:val="22"/>
          <w:szCs w:val="22"/>
        </w:rPr>
        <w:t xml:space="preserve">Quiroga, G., Erice, G., Aroca, R., Chaumont, F., &amp; Ruiz-Lozano, J.M. (2019). The arbuscular mycorrhizal symbiosis regulates aquaporins activity and improves root cell water permeability in maize plants subjected to water stress. Plant, Cell &amp; Environment, 42(9), 2274–2290 [VERIFICAR páginas]. https://doi.org/10.1111/pce.13551</w:t>
      </w:r>
    </w:p>
    <w:p>
      <w:pPr>
        <w:spacing w:after="120" w:before="120"/>
      </w:pPr>
      <w:r>
        <w:rPr>
          <w:i/>
          <w:iCs/>
          <w:color w:val="555555"/>
          <w:sz w:val="21"/>
          <w:szCs w:val="21"/>
        </w:rPr>
        <w:t xml:space="preserve">Bloque F cita además un metaanálisis de rasgos hidráulicos bajo adición de N (PMC5974508) que no pude identificar con autor y año exactos por búsqueda — [VERIFICAR] antes de citarlo en cualquier documento formal; en el Bloque F lo dejé solo como referencia de respaldo, no para el manuscrito.</w:t>
      </w:r>
    </w:p>
    <w:p>
      <w:pPr>
        <w:spacing w:after="120" w:before="120"/>
      </w:pPr>
      <w:r>
        <w:rPr>
          <w:i/>
          <w:iCs/>
          <w:color w:val="555555"/>
          <w:sz w:val="21"/>
          <w:szCs w:val="21"/>
        </w:rPr>
        <w:t xml:space="preserve">Camenzind et al. (2019) y Stocker et al. (2025) ya están en tu introducción y no los revisé de nuevo aquí; los dejo fuera de esta lista para no duplicar tu propio control de citas.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2026-09-10T20:47:23.456Z</dcterms:created>
  <dcterms:modified xsi:type="dcterms:W3CDTF">2026-09-10T20:47:23.468Z</dcterms:modified>
</cp:coreProperties>
</file>

<file path=docProps/custom.xml><?xml version="1.0" encoding="utf-8"?>
<Properties xmlns="http://schemas.openxmlformats.org/officeDocument/2006/custom-properties" xmlns:vt="http://schemas.openxmlformats.org/officeDocument/2006/docPropsVTypes"/>
</file>