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Discusión — versión con tus nuevos subtítulos</w:t>
      </w:r>
    </w:p>
    <w:p>
      <w:pPr>
        <w:spacing w:after="200"/>
      </w:pPr>
      <w:r>
        <w:rPr>
          <w:i/>
          <w:iCs/>
          <w:color w:val="555555"/>
        </w:rPr>
        <w:t xml:space="preserve">v3, 2026-09-14 — se añaden los párrafos que faltaban y la sección 4</w:t>
      </w:r>
    </w:p>
    <w:p>
      <w:pPr>
        <w:spacing w:after="200"/>
      </w:pPr>
      <w:r>
        <w:rPr>
          <w:i/>
          <w:iCs/>
          <w:color w:val="555555"/>
          <w:sz w:val="20"/>
          <w:szCs w:val="20"/>
        </w:rPr>
        <w:t xml:space="preserve">Nota sobre dónde puse cada párrafo nuevo: el párrafo de fósforo que mandaste ahora es más completo que el que yo había insertado (conecta explícitamente la ambigüedad Vcmax/Jmax con la iWUE), así que reemplazó al anterior en el mismo lugar, sección 2, después del mecanismo de VPD/xilema. El párrafo de especies conservadoras/ontogenia va justo después, cerrando el bloque de mecanismos antes del "Taken together" final de la sección 2. El párrafo que empieza "Because elevation, nutrient availability, and species turnover..." lo puse cerrando la sección 3, no la 2 — el propio texto dice "reinforcing... the conclusion of Section 2", así que solo tiene sentido si vive en la sección 3. Como consecuencia, quité la segunda mitad del cierre que ya tenías en la sección 2 ("Together, these findings indicate that natural variation... Because elevation..."), porque decía casi lo mismo que este párrafo nuevo — tenerlo dos veces, una en cada sección, se sentía redundante. Si prefieres conservarlo en las dos secciones, dímelo y lo regreso.</w:t>
      </w:r>
    </w:p>
    <w:p>
      <w:pPr>
        <w:pBdr>
          <w:bottom w:val="single" w:color="999999" w:sz="6" w:space="1"/>
        </w:pBdr>
        <w:spacing w:after="240"/>
      </w:pPr>
    </w:p>
    <w:p>
      <w:pPr>
        <w:pStyle w:val="Heading1"/>
        <w:spacing w:after="160" w:before="360"/>
      </w:pPr>
      <w:r>
        <w:t xml:space="preserve">1. Nutrient uptake is reflected in higher leaf nutrient concentrations</w:t>
      </w:r>
    </w:p>
    <w:p>
      <w:pPr>
        <w:spacing w:after="200" w:line="276"/>
        <w:jc w:val="both"/>
      </w:pPr>
      <w:r>
        <w:t xml:space="preserve">Addressing the first research question, the observed changes in foliar nutrient traits confirm that the fertilization treatment was effective. Primary productivity in TMF is supposed to be limited by N or co-limited by N and P availability (Elser et al., 2007; Ostertag, 2010; Ostertag &amp; DiManno, 2016), and nutrient addition is therefore expected to raise nutrient concentration and stimulate physiological performance (Huang et al., 2016; Lu et al., 2018; Ostertag, 2010; Tanner et al., 1998). In line with this expectation, N addition increased leaf nitrogen content (LNC) in four of the six species, by 11–20% relative to their controls. On an area basis, Narea increased in three species, all at 2000 and 3000 m: </w:t>
      </w:r>
      <w:r>
        <w:rPr>
          <w:i/>
          <w:iCs/>
        </w:rPr>
        <w:t xml:space="preserve">A. lojaensis</w:t>
      </w:r>
      <w:r>
        <w:t xml:space="preserve"> (+11%), </w:t>
      </w:r>
      <w:r>
        <w:rPr>
          <w:i/>
          <w:iCs/>
        </w:rPr>
        <w:t xml:space="preserve">Myrcia</w:t>
      </w:r>
      <w:r>
        <w:t xml:space="preserve"> sp. nov. (+15%) and </w:t>
      </w:r>
      <w:r>
        <w:rPr>
          <w:i/>
          <w:iCs/>
        </w:rPr>
        <w:t xml:space="preserve">H. purpurascens</w:t>
      </w:r>
      <w:r>
        <w:t xml:space="preserve"> (+27%) (Figure SX, Table S6). </w:t>
      </w:r>
      <w:r>
        <w:rPr>
          <w:i/>
          <w:iCs/>
        </w:rPr>
        <w:t xml:space="preserve">P. torta</w:t>
      </w:r>
      <w:r>
        <w:t xml:space="preserve"> and </w:t>
      </w:r>
      <w:r>
        <w:rPr>
          <w:i/>
          <w:iCs/>
        </w:rPr>
        <w:t xml:space="preserve">C. racemosa</w:t>
      </w:r>
      <w:r>
        <w:t xml:space="preserve">, both at 1000 m, showed a marginal increase in foliar N under P addition alone (+5%, p = 0.07 and +14%, p = 0.10; Figure 1). The mechanism is unclear. One untested possibility is that relieving P limitation of the soil microbial community accelerates N mineralisation and thus N supply to the trees (Xia et al., 2023).</w:t>
      </w:r>
    </w:p>
    <w:p>
      <w:pPr>
        <w:spacing w:after="200" w:line="276"/>
        <w:jc w:val="both"/>
      </w:pPr>
      <w:r>
        <w:t xml:space="preserve">Phosphorus addition, on the other hand, raised leaf P content by +38% (</w:t>
      </w:r>
      <w:r>
        <w:rPr>
          <w:i/>
          <w:iCs/>
        </w:rPr>
        <w:t xml:space="preserve">C. racemosa</w:t>
      </w:r>
      <w:r>
        <w:t xml:space="preserve">) to +272% (</w:t>
      </w:r>
      <w:r>
        <w:rPr>
          <w:i/>
          <w:iCs/>
        </w:rPr>
        <w:t xml:space="preserve">Myrcia</w:t>
      </w:r>
      <w:r>
        <w:t xml:space="preserve"> sp. nov.) in five of the six species — a relative change several times larger than that observed for N. These results are consistent with previous research conducted in the area with seedlings of the same three species (Cárate-Tandalla et al., 2018), and with mature trees (Homeier et al., 2012b, 2021). The magnitude of the response was inversely related to each species' starting foliar P status: species with the lowest baseline P concentration, such as </w:t>
      </w:r>
      <w:r>
        <w:rPr>
          <w:i/>
          <w:iCs/>
        </w:rPr>
        <w:t xml:space="preserve">Myrcia</w:t>
      </w:r>
      <w:r>
        <w:t xml:space="preserve"> sp. nov. (0.43 mg g⁻¹, +272%), showed the largest proportional gain, while </w:t>
      </w:r>
      <w:r>
        <w:rPr>
          <w:i/>
          <w:iCs/>
        </w:rPr>
        <w:t xml:space="preserve">H. purpurascens</w:t>
      </w:r>
      <w:r>
        <w:t xml:space="preserve">, with the highest baseline P (0.84 mg g⁻¹), showed the smallest (+83%) — a pattern across species that we did not test formally. The P foliar concentrations observed here resemble the "luxury consumption" reported in some lowland tropical species (Mayor et al., 2014; Ostertag, 2010): species adapted to grow on nutrient-poor environments may be unable to downregulate P acquisition when this nutrient becomes available, maintaining uptake of an otherwise rare resource (Lambers &amp; Shane, 2007; Standish et al., 2007; Ostertag, 2010). The near-universal direction of the response, combined with its inverse relationship to baseline P status, points to a shared response — unregulated P uptake once available — expressed with an intensity set by each species' prior degree of P limitation.</w:t>
      </w:r>
    </w:p>
    <w:p>
      <w:pPr>
        <w:spacing w:after="200" w:line="276"/>
        <w:jc w:val="both"/>
      </w:pPr>
      <w:r>
        <w:t xml:space="preserve">Here, we must point out that </w:t>
      </w:r>
      <w:r>
        <w:rPr>
          <w:i/>
          <w:iCs/>
        </w:rPr>
        <w:t xml:space="preserve">P. torta</w:t>
      </w:r>
      <w:r>
        <w:t xml:space="preserve"> was the only species in which foliar P concentration did not increase disproportionately relative to N (Cárate-Tandalla, 2015). A dedicated transplantation experiment with this species in the same NUMEX plots at 1000 m found that neither N nor P addition altered foliar N or P concentrations after one year, despite significant increases in diameter growth, specific leaf area, root allocation and mortality (Cárate-Tandalla, 2015; Cárate-Tandalla et al., 2018). This suggests that in </w:t>
      </w:r>
      <w:r>
        <w:rPr>
          <w:i/>
          <w:iCs/>
        </w:rPr>
        <w:t xml:space="preserve">P. torta</w:t>
      </w:r>
      <w:r>
        <w:t xml:space="preserve">, added nutrients are preferentially allocated to growth and structural tissues rather than accumulated in leaf tissue — the opposite of the luxury consumption pattern observed in the other five species in this study — and that this trait is expressed consistently from the seedling stage through to mature trees.</w:t>
      </w:r>
    </w:p>
    <w:p>
      <w:pPr>
        <w:spacing w:after="200" w:line="276"/>
        <w:jc w:val="both"/>
      </w:pPr>
      <w:r>
        <w:t xml:space="preserve">In contrast to the foliar nutrient concentrations, leaf morphological traits were far less responsive to nutrient addition (Table S8). The only well-supported morphological responses were a decrease in individual leaf area in </w:t>
      </w:r>
      <w:r>
        <w:rPr>
          <w:i/>
          <w:iCs/>
        </w:rPr>
        <w:t xml:space="preserve">A. lojaensis</w:t>
      </w:r>
      <w:r>
        <w:t xml:space="preserve"> under N (p = 0.03) and a decrease in leaf dry matter content in </w:t>
      </w:r>
      <w:r>
        <w:rPr>
          <w:i/>
          <w:iCs/>
        </w:rPr>
        <w:t xml:space="preserve">H. purpurascens</w:t>
      </w:r>
      <w:r>
        <w:t xml:space="preserve"> under P (p = 0.02). Morphological traits such as SLA have been reported to be more responsive to climatic variables than to nutrients, as in the NutNet grassland experiments (Firn et al., 2019); a meta-analysis found that LMA and SLA were unresponsive to N addition, whereas whole-plant structural traits such as total leaf biomass showed a stronger response (Liang et al., 2024).</w:t>
      </w:r>
    </w:p>
    <w:p>
      <w:pPr>
        <w:spacing w:after="200" w:line="276"/>
        <w:jc w:val="both"/>
      </w:pPr>
      <w:r>
        <w:t xml:space="preserve">Taken together, these results show that nutrient addition does influence foliar nutrient status in these mature montane forests, but that the response is filtered by species-specific acquisition strategies.</w:t>
      </w:r>
    </w:p>
    <w:p>
      <w:pPr>
        <w:pStyle w:val="Heading1"/>
        <w:spacing w:after="160" w:before="360"/>
      </w:pPr>
      <w:r>
        <w:t xml:space="preserve">2. Elevation as the main driver and lack of response under nutrient addition</w:t>
      </w:r>
    </w:p>
    <w:p>
      <w:pPr>
        <w:spacing w:after="200" w:line="276"/>
        <w:jc w:val="both"/>
      </w:pPr>
      <w:r>
        <w:t xml:space="preserve">Addressing our second research question: after 16 years of N and P addition in the NUMEX experiment, there was no consistent response in iWUE terms. However, for </w:t>
      </w:r>
      <w:r>
        <w:rPr>
          <w:i/>
          <w:iCs/>
        </w:rPr>
        <w:t xml:space="preserve">P. torta</w:t>
      </w:r>
      <w:r>
        <w:t xml:space="preserve"> there was an antagonistic effect of N×P (Table S) and the altitudinal gradient was the main driver.</w:t>
      </w:r>
    </w:p>
    <w:p>
      <w:pPr>
        <w:spacing w:after="200" w:line="276"/>
        <w:jc w:val="both"/>
      </w:pPr>
      <w:r>
        <w:t xml:space="preserve">Although long-term nutrient addition did not modify intraspecific iWUE, species growing in control plots already differed markedly in iWUE across the elevational gradient — indicating that this trait is governed primarily by baseline environmental conditions and species identity, rather than by nutrient supply. The elevation pattern reported is, in effect, a control for that prediction, showing that iWUE in this system responds first to an environmental driver (Prentice et al., 2014). Species from the mid- and high-elevation sites exhibited the highest iWUE, sharing more similar carbon–water traits with one another than with species at 1000 m (Figure S3). The similarity between 2000 m and 3000 m could be partially explained by similarities in community composition and leaf properties previously reported (Homeier &amp; Leuschner, 2021b), including changes in leaf traits of common tree species and trait combinations across the gradient (Homeier, 2021). These differences likely reflect coordinated variation in nutrient availability, leaf functional traits, and community composition along the elevational gradient.</w:t>
      </w:r>
    </w:p>
    <w:p>
      <w:pPr>
        <w:spacing w:after="200" w:line="276"/>
        <w:jc w:val="both"/>
      </w:pPr>
      <w:r>
        <w:t xml:space="preserve">Interestingly, </w:t>
      </w:r>
      <w:r>
        <w:rPr>
          <w:i/>
          <w:iCs/>
        </w:rPr>
        <w:t xml:space="preserve">P. torta</w:t>
      </w:r>
      <w:r>
        <w:t xml:space="preserve">, unlike most of the species in this study, did not exhibit strong changes in leaf nutrient concentrations, leaf stoichiometry, or SLA. The antagonistic N×P interaction in </w:t>
      </w:r>
      <w:r>
        <w:rPr>
          <w:i/>
          <w:iCs/>
        </w:rPr>
        <w:t xml:space="preserve">P. torta</w:t>
      </w:r>
      <w:r>
        <w:t xml:space="preserve"> iWUE mirrors a pattern already seen in this species at the seedling stage, in the same plots: diameter growth rose under N or P alone but fell well below the additive prediction under N+P (Cárate-Tandalla, 2015). In that experiment, P — alone or with N — also shifted biomass allocation toward roots. A similar shift in mature trees, investing more in roots without a matching gain in photosynthetic capacity, would relax stomatal control and lower iWUE, as observed.</w:t>
      </w:r>
    </w:p>
    <w:p>
      <w:pPr>
        <w:spacing w:after="200" w:line="276"/>
        <w:jc w:val="both"/>
      </w:pPr>
      <w:r>
        <w:t xml:space="preserve">To interpret the lack of response we can use the lens of the least-cost hypothesis. Plants should allocate resources to minimize the costs of acquiring the most limiting resource while maintaining carbon gain (Wright et al., 2003); if nutrient addition relaxes N or P limitation, the balance of constraints may shift toward another limiting resource such as water or light (Prentice et al., 2014; Wang et al., 2017). In other words, there is a possible co-adjustment of both assimilation and stomatal conductance according to the nutrients. Our result closely parallels the one other nutrient-addition experiment to test this coordination directly, which reported higher Vcmax — an indicator of how powerful the photosynthetic engine is — alongside unchanged isotope-derived Ci/Ca and iWUE (Lankhorst et al., 2025).</w:t>
      </w:r>
    </w:p>
    <w:p>
      <w:pPr>
        <w:spacing w:after="200" w:line="276"/>
        <w:jc w:val="both"/>
      </w:pPr>
      <w:r>
        <w:t xml:space="preserve">A possible mechanistic explanation for this coordination is the difference in how strongly nutrient costs and water costs respond to fertilization. In TMFs, the cost of water loss through transpiration is likely low (for instance, VPD at 2000 m is 0.23 kPa). In a wood-anatomical study of </w:t>
      </w:r>
      <w:r>
        <w:rPr>
          <w:i/>
          <w:iCs/>
        </w:rPr>
        <w:t xml:space="preserve">Alchornea lojaensis</w:t>
      </w:r>
      <w:r>
        <w:t xml:space="preserve"> under these same treatments, N addition significantly increased vessel diameter and theoretical hydraulic conductivity, with vessels shifting toward more grouped and fewer solitary arrangements (Spannl et al., 2016; Homeier et al., 2013) — a structural change consistent with a genuine increase in this species' capacity to supply water to the canopy, measured in the same experiment in which we detect no corresponding shift in iWUE. Although this last experiment only measured wood-anatomical responses, it gives us hints on how TMF trees adjust: wider, more efficient vessels increase water supply to the canopy but make it more prone to cavitation; if conditions change and water becomes a limiting resource, plants will have to adjust their gs. In contrast, fertilization directly affects the nitrogen available for photosynthetic capacity. Therefore, if water availability is not a constraint in these TMFs, reducing the cost of nitrogen may have little effect compared to water-limited systems. However, this coordination is not universal: Paillassa et al. (2020) found that soil nitrogen and soil pH shift the same cost balance by 30% relative to climate-only predictions — though this study captures stand-level variation in soil fertility over much longer timescales.</w:t>
      </w:r>
    </w:p>
    <w:p>
      <w:pPr>
        <w:spacing w:after="200" w:line="276"/>
        <w:jc w:val="both"/>
      </w:pPr>
      <w:r>
        <w:t xml:space="preserve">In the case of phosphorus, there is a remaining lack of understanding of how P availability affects investment in photosynthetic processes (Ellsworth et al., 2022). P is located mainly in nucleic acids (Zhang et al., 2018), and plays an important role in membrane solubility and in ATP and NADPH production (Ellsworth et al., 2022; Walker et al., 2014). Because our isotope-based iWUE reflects the balance between total photosynthetic capacity and stomatal conductance without separating the carboxylation-limited component (Vcmax, nitrogen-dependent) from the RuBP-regeneration-limited component (Jmax, more strongly phosphorus-dependent), our design cannot rule out that N and P addition shifted Vcmax and Jmax in partially offsetting ways, leaving their ratio — and hence Ci/Ca — largely unchanged (Walker et al., 2014; Ellsworth et al., 2022). Our results indicate that the increase in foliar P did not translate into an adaptive response in iWUE; it therefore remains to be determined how the added P pool is used within the tree, and which physiological parameters, if any, are being adjusted in response.</w:t>
      </w:r>
    </w:p>
    <w:p>
      <w:pPr>
        <w:spacing w:after="200" w:line="276"/>
        <w:jc w:val="both"/>
      </w:pPr>
      <w:r>
        <w:t xml:space="preserve">How plants allocate their resources could also help explain why we do not see an enhanced response of photosynthetic capacity over gs. Nutrients may be allocated beyond the leaf altogether: fertilization has increased foliage production, stand-level leaf area index, and leaf lifespan in other NUMEX species (Spannl et al., 2016; Homeier et al., 2013). Increased self-shading in more structurally developed canopies has been proposed to keep stomatal conductance stable even under higher nutrient supply (T. Yan et al., 2022b); smaller studies have found that the strategy is to prioritize a greater number of coordinated leaves over the performance of any single leaf (Lankhorst et al., 2025). We did not measure canopy structure in this study, so this remains a plausible but untested alternative to the within-leaf explanations above.</w:t>
      </w:r>
    </w:p>
    <w:p>
      <w:pPr>
        <w:spacing w:after="200" w:line="276"/>
        <w:jc w:val="both"/>
      </w:pPr>
      <w:r>
        <w:t xml:space="preserve">The species selected at the study site are adapted to nutrient-poor soils and follow a resource-conservative strategy (Pierick et al., 2024). Conservative species might lack morphological and phenological plasticity to respond to enhanced nutrient availability (Chmura et al., 2017; X. Zhang et al., 2023). Ontogenetic effects may also play a role: mature trees have been shown to maintain stable water-use strategies over time compared to younger trees (T. Yan et al., 2022a). Future work could usefully test whether nutrient responses and allocation patterns diverge among species with contrasting ecological (acquisitive vs. conservative) strategies in TMFs.</w:t>
      </w:r>
    </w:p>
    <w:p>
      <w:pPr>
        <w:spacing w:after="200" w:line="276"/>
        <w:jc w:val="both"/>
      </w:pPr>
      <w:r>
        <w:t xml:space="preserve">Taken together, these mechanisms — whether at leaf, xylem or canopy level — suggest that fertilization altered nutrient status without altering the underlying, conservative resource-use strategy that governs carbon–water relations in these species.</w:t>
      </w:r>
    </w:p>
    <w:p>
      <w:pPr>
        <w:pStyle w:val="Heading1"/>
        <w:spacing w:after="160" w:before="360"/>
      </w:pPr>
      <w:r>
        <w:t xml:space="preserve">3. Within species: iWUE and foliar traits relations</w:t>
      </w:r>
    </w:p>
    <w:p>
      <w:pPr>
        <w:spacing w:after="200" w:line="276"/>
        <w:jc w:val="both"/>
      </w:pPr>
      <w:r>
        <w:t xml:space="preserve">Addressing our third research question, within-species standardized major axis regressions showed that individual iWUE covaried positively with Narea and negatively with SLA in five out of six species, consistent with leaf-economic coupling between nitrogen investment, leaf structure and iWUE predicted above. These patterns suggest that individual-level variation in iWUE across species is consistently coupled to Narea and SLA — leaves with more nitrogen per unit area and lower SLA (denser, more carbon-costly leaves) tend to show higher water-use efficiency — independent of whether that trait variation was induced by the nutrient-addition treatments. SMA analysis captures a structural relationship between traits that holds across the full range of natural variation, most of which is not attributable to the treatments themselves. In other words, nitrogen addition increased Narea in only half of the species, but the physiological coupling between Narea and iWUE evidently operates more broadly than the treatment effect alone. These SMA results are presented as exploratory; they do not establish a causal link between Narea, SLA, and iWUE.</w:t>
      </w:r>
    </w:p>
    <w:p>
      <w:pPr>
        <w:spacing w:after="200" w:line="276"/>
        <w:jc w:val="both"/>
      </w:pPr>
      <w:r>
        <w:t xml:space="preserve">We implied that nitrogen present in the leaf will translate into production of photosynthetic enzymes at a rate larger than gs. However, the literature shows that in TMF this is not always the case. Total nitrogen content — whether expressed on a mass or area basis — is not always a good predictor of photosynthetic capacity in TMF species (e.g., Dusenge et al., 2015; Ziegler et al., 2020), largely because nitrogen allocation within leaves depends on a species' ecological strategy: climax species may allocate a greater proportion of nitrogen to structural components, defense, or light-harvesting complexes rather than to carboxylation machinery (Dusenge et al., 2015; Ziegler et al., 2020). Species at upper sites, exposed to persistent cloudiness and low-light conditions (Wittich et al., 2012), allocating more toward structure and light capture is a possible explanation, as seen in dry sites. This gives a plausible physiological reason why Narea, on its own, does not track iWUE in the SMA results above.</w:t>
      </w:r>
    </w:p>
    <w:p>
      <w:pPr>
        <w:spacing w:after="200" w:line="276"/>
        <w:jc w:val="both"/>
      </w:pPr>
      <w:r>
        <w:t xml:space="preserve">Because elevation, nutrient availability, and species turnover are inherently confounded in this design, we cannot fully separate environmental filtering from species identity as drivers of the baseline pattern. Together, these findings indicate that natural variation in leaf structure and species identity across the elevational gradient is more strongly associated with leaf carbon–water relations than experimental nutrient enrichment is — reinforcing, from a different angle, the conclusion of Section 2: iWUE here is set by standing structural and species-level variation, not by the nutrient supply that the fertilization treatments manipulated. Future work incorporating a larger number of species across multiple elevations, and ideally direct measurements of diurnal VPD and canopy position, will be needed to disentangle the relative contributions of environmental filtering, nutrient availability, and species identity to patterns of water-use efficiency in TMF.</w:t>
      </w:r>
    </w:p>
    <w:p>
      <w:pPr>
        <w:pStyle w:val="Heading1"/>
        <w:spacing w:after="160" w:before="360"/>
      </w:pPr>
      <w:r>
        <w:t xml:space="preserve">4. Implications for TMFs and ecosystem models</w:t>
      </w:r>
    </w:p>
    <w:p>
      <w:pPr>
        <w:spacing w:after="200" w:line="276"/>
        <w:jc w:val="both"/>
      </w:pPr>
      <w:r>
        <w:t xml:space="preserve">Despite evidence from the NUMEX experiment that nutrient addition alters foliar nutrient concentrations and several ecosystem processes in Ecuadorian TMF, the absence of a consistent iWUE response in the common tree species studied here indicates that carbon–water relations may remain strongly constrained. Such conservative carbon–water strategies may confer physiological stability under changing environmental conditions, allowing dominant species to maintain coordinated carbon assimilation and water use despite increased nutrient availability (Reich, 2014; Smith &amp; Keenan, 2020). Consequently, future changes in carbon sequestration in TMF may depend more on shifts in forest structure, species composition, and leaf area than on enhanced leaf-level physiological efficiency.</w:t>
      </w:r>
    </w:p>
    <w:p>
      <w:pPr>
        <w:spacing w:after="200" w:line="276"/>
        <w:jc w:val="both"/>
      </w:pPr>
      <w:r>
        <w:t xml:space="preserve">These results are also relevant to current modeling frameworks, which may overestimate leaf-level physiological responses if they assume that nutrient alleviation automatically enhances carbon assimilation through changes in stomatal or photosynthetic functioning (Waring et al., 2023). We therefore conclude that predicting future forest dynamics in response to nutrient-induced changes in TMF species requires a better understanding of how nutrients are allocated, and of species resource acquisition strategies.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2026-09-14T21:37:02.342Z</dcterms:created>
  <dcterms:modified xsi:type="dcterms:W3CDTF">2026-09-14T21:37:02.348Z</dcterms:modified>
</cp:coreProperties>
</file>

<file path=docProps/custom.xml><?xml version="1.0" encoding="utf-8"?>
<Properties xmlns="http://schemas.openxmlformats.org/officeDocument/2006/custom-properties" xmlns:vt="http://schemas.openxmlformats.org/officeDocument/2006/docPropsVTypes"/>
</file>