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C42" w:rsidRDefault="00461403">
      <w:pPr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</w:pPr>
      <w:proofErr w:type="spellStart"/>
      <w:proofErr w:type="gramStart"/>
      <w:r w:rsidRPr="00461403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hese</w:t>
      </w:r>
      <w:proofErr w:type="spellEnd"/>
      <w:proofErr w:type="gramEnd"/>
      <w:r w:rsidRPr="00461403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 xml:space="preserve"> montane forest species show high LPC compared to LNC, and for some species, P addition facilitates N assimilation (ex. </w:t>
      </w:r>
      <w:r w:rsidRPr="00461403">
        <w:rPr>
          <w:rStyle w:val="normaltextrun"/>
          <w:rFonts w:ascii="Calibri" w:hAnsi="Calibri" w:cs="Calibri"/>
          <w:i/>
          <w:iCs/>
          <w:color w:val="000000"/>
          <w:shd w:val="clear" w:color="auto" w:fill="FFFFFF"/>
          <w:lang w:val="en-US"/>
        </w:rPr>
        <w:t xml:space="preserve">P. </w:t>
      </w:r>
      <w:proofErr w:type="spellStart"/>
      <w:r w:rsidRPr="00461403">
        <w:rPr>
          <w:rStyle w:val="normaltextrun"/>
          <w:rFonts w:ascii="Calibri" w:hAnsi="Calibri" w:cs="Calibri"/>
          <w:i/>
          <w:iCs/>
          <w:color w:val="000000"/>
          <w:shd w:val="clear" w:color="auto" w:fill="FFFFFF"/>
          <w:lang w:val="en-US"/>
        </w:rPr>
        <w:t>torta</w:t>
      </w:r>
      <w:proofErr w:type="spellEnd"/>
      <w:r w:rsidRPr="00461403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). In tropical systems, climax species could have a P limitation more pronounced</w:t>
      </w:r>
      <w:proofErr w:type="gramStart"/>
      <w:r w:rsidRPr="00461403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 </w:t>
      </w:r>
      <w:r>
        <w:rPr>
          <w:rStyle w:val="contentcontrolboundarysink"/>
          <w:rFonts w:ascii="Calibri" w:hAnsi="Calibri" w:cs="Calibri"/>
          <w:color w:val="000000"/>
          <w:shd w:val="clear" w:color="auto" w:fill="FFFFFF"/>
          <w:lang w:val="fr-FR"/>
        </w:rPr>
        <w:t>​</w:t>
      </w:r>
      <w:r w:rsidRPr="00461403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(</w:t>
      </w:r>
      <w:proofErr w:type="gramEnd"/>
      <w:r w:rsidRPr="00461403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Zhang et al., 2018).</w:t>
      </w:r>
      <w:r>
        <w:rPr>
          <w:rStyle w:val="contentcontrolboundarysink"/>
          <w:rFonts w:ascii="Calibri" w:hAnsi="Calibri" w:cs="Calibri"/>
          <w:color w:val="000000"/>
          <w:shd w:val="clear" w:color="auto" w:fill="FFFFFF"/>
          <w:lang w:val="fr-FR"/>
        </w:rPr>
        <w:t>​</w:t>
      </w:r>
      <w:r w:rsidRPr="00461403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 The acquisition of P, is consistent with the idea that species adapted to grow on nutrient-poor environments may be unable to downregulate P acquisition when this nutrient becomes available, maintaining uptake of an otherwise rare resource (</w:t>
      </w:r>
      <w:proofErr w:type="spellStart"/>
      <w:r w:rsidRPr="00461403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Lambers</w:t>
      </w:r>
      <w:proofErr w:type="spellEnd"/>
      <w:r w:rsidRPr="00461403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 xml:space="preserve"> &amp; Shane, 2007; Standish et al., 2007; </w:t>
      </w:r>
      <w:proofErr w:type="spellStart"/>
      <w:r w:rsidRPr="00461403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Ostertag</w:t>
      </w:r>
      <w:proofErr w:type="spellEnd"/>
      <w:r w:rsidRPr="00461403"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, 2010). </w:t>
      </w:r>
      <w:r w:rsidRPr="00461403"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  <w:t> </w:t>
      </w:r>
    </w:p>
    <w:p w:rsidR="00EA121E" w:rsidRDefault="00EA121E">
      <w:pPr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</w:pPr>
    </w:p>
    <w:p w:rsidR="00EA121E" w:rsidRDefault="00EA121E">
      <w:pPr>
        <w:rPr>
          <w:rStyle w:val="eop"/>
          <w:rFonts w:ascii="Calibri Light" w:hAnsi="Calibri Light" w:cs="Calibri Light"/>
          <w:color w:val="000000"/>
          <w:sz w:val="20"/>
          <w:szCs w:val="20"/>
          <w:shd w:val="clear" w:color="auto" w:fill="FFFFFF"/>
          <w:lang w:val="en-US"/>
        </w:rPr>
      </w:pPr>
      <w:r w:rsidRPr="00EA121E">
        <w:rPr>
          <w:rStyle w:val="normaltextrun"/>
          <w:rFonts w:ascii="Calibri Light" w:hAnsi="Calibri Light" w:cs="Calibri Light"/>
          <w:b/>
          <w:bCs/>
          <w:color w:val="000000"/>
          <w:sz w:val="20"/>
          <w:szCs w:val="20"/>
          <w:shd w:val="clear" w:color="auto" w:fill="FFFFFF"/>
          <w:lang w:val="en-US"/>
        </w:rPr>
        <w:t>Nutrient deposition in the tropics effects. Literature: </w:t>
      </w:r>
      <w:r w:rsidRPr="00EA121E">
        <w:rPr>
          <w:rStyle w:val="normaltextrun"/>
          <w:rFonts w:ascii="Calibri Light" w:hAnsi="Calibri Light" w:cs="Calibri Light"/>
          <w:color w:val="000000"/>
          <w:sz w:val="20"/>
          <w:szCs w:val="20"/>
          <w:shd w:val="clear" w:color="auto" w:fill="FFFFFF"/>
          <w:lang w:val="en-US"/>
        </w:rPr>
        <w:t xml:space="preserve">(Wright 2019) has an overview of tropical experiments. (Sayer &amp; </w:t>
      </w:r>
      <w:proofErr w:type="spellStart"/>
      <w:r w:rsidRPr="00EA121E">
        <w:rPr>
          <w:rStyle w:val="normaltextrun"/>
          <w:rFonts w:ascii="Calibri Light" w:hAnsi="Calibri Light" w:cs="Calibri Light"/>
          <w:color w:val="000000"/>
          <w:sz w:val="20"/>
          <w:szCs w:val="20"/>
          <w:shd w:val="clear" w:color="auto" w:fill="FFFFFF"/>
          <w:lang w:val="en-US"/>
        </w:rPr>
        <w:t>Banin</w:t>
      </w:r>
      <w:proofErr w:type="spellEnd"/>
      <w:r w:rsidRPr="00EA121E">
        <w:rPr>
          <w:rStyle w:val="normaltextrun"/>
          <w:rFonts w:ascii="Calibri Light" w:hAnsi="Calibri Light" w:cs="Calibri Light"/>
          <w:color w:val="000000"/>
          <w:sz w:val="20"/>
          <w:szCs w:val="20"/>
          <w:shd w:val="clear" w:color="auto" w:fill="FFFFFF"/>
          <w:lang w:val="en-US"/>
        </w:rPr>
        <w:t xml:space="preserve"> 2016) Meta-analyzes of tropical mountains</w:t>
      </w:r>
      <w:proofErr w:type="gramStart"/>
      <w:r w:rsidRPr="00EA121E">
        <w:rPr>
          <w:rStyle w:val="normaltextrun"/>
          <w:rFonts w:ascii="Calibri Light" w:hAnsi="Calibri Light" w:cs="Calibri Light"/>
          <w:color w:val="000000"/>
          <w:sz w:val="20"/>
          <w:szCs w:val="20"/>
          <w:shd w:val="clear" w:color="auto" w:fill="FFFFFF"/>
          <w:lang w:val="en-US"/>
        </w:rPr>
        <w:t>.(</w:t>
      </w:r>
      <w:proofErr w:type="spellStart"/>
      <w:proofErr w:type="gramEnd"/>
      <w:r w:rsidRPr="00EA121E">
        <w:rPr>
          <w:rStyle w:val="normaltextrun"/>
          <w:rFonts w:ascii="Calibri Light" w:hAnsi="Calibri Light" w:cs="Calibri Light"/>
          <w:color w:val="000000"/>
          <w:sz w:val="20"/>
          <w:szCs w:val="20"/>
          <w:shd w:val="clear" w:color="auto" w:fill="FFFFFF"/>
          <w:lang w:val="en-US"/>
        </w:rPr>
        <w:t>Dalling</w:t>
      </w:r>
      <w:proofErr w:type="spellEnd"/>
      <w:r w:rsidRPr="00EA121E">
        <w:rPr>
          <w:rStyle w:val="normaltextrun"/>
          <w:rFonts w:ascii="Calibri Light" w:hAnsi="Calibri Light" w:cs="Calibri Light"/>
          <w:color w:val="000000"/>
          <w:sz w:val="20"/>
          <w:szCs w:val="20"/>
          <w:shd w:val="clear" w:color="auto" w:fill="FFFFFF"/>
          <w:lang w:val="en-US"/>
        </w:rPr>
        <w:t xml:space="preserve"> et al. 2016) also an overview on nutrients on mountain forests.</w:t>
      </w:r>
      <w:r w:rsidRPr="00EA121E">
        <w:rPr>
          <w:rStyle w:val="eop"/>
          <w:rFonts w:ascii="Calibri Light" w:hAnsi="Calibri Light" w:cs="Calibri Light"/>
          <w:color w:val="000000"/>
          <w:sz w:val="20"/>
          <w:szCs w:val="20"/>
          <w:shd w:val="clear" w:color="auto" w:fill="FFFFFF"/>
          <w:lang w:val="en-US"/>
        </w:rPr>
        <w:t> </w:t>
      </w:r>
    </w:p>
    <w:p w:rsidR="00DA17E9" w:rsidRDefault="00DA17E9">
      <w:pPr>
        <w:rPr>
          <w:rStyle w:val="eop"/>
          <w:rFonts w:ascii="Calibri Light" w:hAnsi="Calibri Light" w:cs="Calibri Light"/>
          <w:color w:val="000000"/>
          <w:sz w:val="20"/>
          <w:szCs w:val="20"/>
          <w:shd w:val="clear" w:color="auto" w:fill="FFFFFF"/>
          <w:lang w:val="en-US"/>
        </w:rPr>
      </w:pPr>
    </w:p>
    <w:p w:rsidR="00DA17E9" w:rsidRDefault="00DA17E9">
      <w:pPr>
        <w:rPr>
          <w:rStyle w:val="eop"/>
          <w:rFonts w:ascii="Calibri Light" w:hAnsi="Calibri Light" w:cs="Calibri Light"/>
          <w:color w:val="000000"/>
          <w:sz w:val="20"/>
          <w:szCs w:val="20"/>
          <w:shd w:val="clear" w:color="auto" w:fill="FFFFFF"/>
          <w:lang w:val="en-US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  <w:lang w:val="en-GB"/>
        </w:rPr>
        <w:t>Nitrogen (N) and phosphorus (P) are required for the synthesis of photosynthetic enzymes, proteins, nucleic acids</w:t>
      </w:r>
      <w:r>
        <w:rPr>
          <w:rStyle w:val="normaltextrun"/>
          <w:rFonts w:ascii="Calibri" w:hAnsi="Calibri" w:cs="Calibri"/>
          <w:color w:val="881798"/>
          <w:u w:val="single"/>
          <w:shd w:val="clear" w:color="auto" w:fill="FFFFFF"/>
          <w:lang w:val="en-GB"/>
        </w:rPr>
        <w:t>,</w:t>
      </w:r>
      <w:r>
        <w:rPr>
          <w:rStyle w:val="normaltextrun"/>
          <w:rFonts w:ascii="Calibri" w:hAnsi="Calibri" w:cs="Calibri"/>
          <w:color w:val="000000"/>
          <w:shd w:val="clear" w:color="auto" w:fill="FFFFFF"/>
          <w:lang w:val="en-GB"/>
        </w:rPr>
        <w:t> and other compounds involved in carbon fixation and biomass production</w:t>
      </w:r>
      <w:proofErr w:type="gramStart"/>
      <w:r>
        <w:rPr>
          <w:rStyle w:val="normaltextrun"/>
          <w:rFonts w:ascii="Calibri" w:hAnsi="Calibri" w:cs="Calibri"/>
          <w:color w:val="000000"/>
          <w:shd w:val="clear" w:color="auto" w:fill="FFFFFF"/>
          <w:lang w:val="en-GB"/>
        </w:rPr>
        <w:t> </w:t>
      </w:r>
      <w:r>
        <w:rPr>
          <w:rStyle w:val="contentcontrolboundarysink"/>
          <w:rFonts w:ascii="Calibri" w:hAnsi="Calibri" w:cs="Calibri"/>
          <w:color w:val="000000"/>
          <w:shd w:val="clear" w:color="auto" w:fill="FFFFFF"/>
          <w:lang w:val="fr-FR"/>
        </w:rPr>
        <w:t>​</w:t>
      </w:r>
      <w:r>
        <w:rPr>
          <w:rStyle w:val="normaltextrun"/>
          <w:rFonts w:ascii="Calibri" w:hAnsi="Calibri" w:cs="Calibri"/>
          <w:color w:val="000000"/>
          <w:shd w:val="clear" w:color="auto" w:fill="FFFFFF"/>
          <w:lang w:val="en-GB"/>
        </w:rPr>
        <w:t>(</w:t>
      </w:r>
      <w:proofErr w:type="gramEnd"/>
      <w:r>
        <w:rPr>
          <w:rStyle w:val="normaltextrun"/>
          <w:rFonts w:ascii="Calibri" w:hAnsi="Calibri" w:cs="Calibri"/>
          <w:color w:val="000000"/>
          <w:shd w:val="clear" w:color="auto" w:fill="FFFFFF"/>
          <w:lang w:val="en-GB"/>
        </w:rPr>
        <w:t xml:space="preserve">Ellsworth et al., 2022; Evans &amp; Clarke, 2019; J.R. &amp; J.R., 1989; Peng et al., 2021; </w:t>
      </w:r>
      <w:proofErr w:type="spellStart"/>
      <w:r>
        <w:rPr>
          <w:rStyle w:val="normaltextrun"/>
          <w:rFonts w:ascii="Calibri" w:hAnsi="Calibri" w:cs="Calibri"/>
          <w:color w:val="000000"/>
          <w:shd w:val="clear" w:color="auto" w:fill="FFFFFF"/>
          <w:lang w:val="en-GB"/>
        </w:rPr>
        <w:t>Vitousek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  <w:lang w:val="en-GB"/>
        </w:rPr>
        <w:t xml:space="preserve"> et al., 2010)</w:t>
      </w:r>
      <w:r>
        <w:rPr>
          <w:rStyle w:val="contentcontrolboundarysink"/>
          <w:rFonts w:ascii="Calibri" w:hAnsi="Calibri" w:cs="Calibri"/>
          <w:color w:val="000000"/>
          <w:shd w:val="clear" w:color="auto" w:fill="FFFFFF"/>
          <w:lang w:val="fr-FR"/>
        </w:rPr>
        <w:t>​</w:t>
      </w:r>
      <w:r>
        <w:rPr>
          <w:rStyle w:val="normaltextrun"/>
          <w:rFonts w:ascii="Calibri" w:hAnsi="Calibri" w:cs="Calibri"/>
          <w:color w:val="000000"/>
          <w:shd w:val="clear" w:color="auto" w:fill="FFFFFF"/>
          <w:lang w:val="en-GB"/>
        </w:rPr>
        <w:t>.</w:t>
      </w:r>
      <w:bookmarkStart w:id="0" w:name="_GoBack"/>
      <w:bookmarkEnd w:id="0"/>
    </w:p>
    <w:p w:rsidR="00515C9A" w:rsidRDefault="00515C9A">
      <w:pPr>
        <w:rPr>
          <w:rStyle w:val="eop"/>
          <w:rFonts w:ascii="Calibri Light" w:hAnsi="Calibri Light" w:cs="Calibri Light"/>
          <w:color w:val="000000"/>
          <w:sz w:val="20"/>
          <w:szCs w:val="20"/>
          <w:shd w:val="clear" w:color="auto" w:fill="FFFFFF"/>
          <w:lang w:val="en-US"/>
        </w:rPr>
      </w:pPr>
    </w:p>
    <w:p w:rsidR="00515C9A" w:rsidRPr="00515C9A" w:rsidRDefault="00515C9A" w:rsidP="00515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5C9A">
        <w:rPr>
          <w:rFonts w:ascii="Times New Roman" w:eastAsia="Times New Roman" w:hAnsi="Times New Roman" w:cs="Times New Roman"/>
          <w:b/>
          <w:bCs/>
          <w:sz w:val="27"/>
          <w:szCs w:val="27"/>
        </w:rPr>
        <w:t>Tabla resumen (24 comparaciones: 6 especies × 4 rasgos)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059"/>
        <w:gridCol w:w="1149"/>
        <w:gridCol w:w="703"/>
        <w:gridCol w:w="913"/>
        <w:gridCol w:w="1251"/>
        <w:gridCol w:w="1461"/>
      </w:tblGrid>
      <w:tr w:rsidR="00515C9A" w:rsidRPr="00515C9A" w:rsidTr="00515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Especie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Rasgo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ΔAICc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− add)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χ²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 </w:t>
            </w:r>
            <w:proofErr w:type="spellStart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ajustado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(FDR)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Modelo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preferido</w:t>
            </w:r>
            <w:proofErr w:type="spellEnd"/>
          </w:p>
        </w:tc>
      </w:tr>
      <w:tr w:rsidR="00515C9A" w:rsidRPr="00515C9A" w:rsidTr="0051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Myrcia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logPmass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−7.93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10.52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0.0012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0.014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Interacción</w:t>
            </w:r>
            <w:proofErr w:type="spellEnd"/>
          </w:p>
        </w:tc>
      </w:tr>
      <w:tr w:rsidR="00515C9A" w:rsidRPr="00515C9A" w:rsidTr="0051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Weinmania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logPmass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−10.78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15.42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&lt;0.0001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0.0021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Interacción</w:t>
            </w:r>
            <w:proofErr w:type="spellEnd"/>
          </w:p>
        </w:tc>
      </w:tr>
      <w:tr w:rsidR="00515C9A" w:rsidRPr="00515C9A" w:rsidTr="0051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Pouteria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logCmass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logNmass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logPmass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+1.0 a +2.9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0.02–1.9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0.17–0.88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0.51–0.88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Aditivo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(las 4)</w:t>
            </w:r>
          </w:p>
        </w:tc>
      </w:tr>
      <w:tr w:rsidR="00515C9A" w:rsidRPr="00515C9A" w:rsidTr="0051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Clarisia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las 4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+4.7 a +8.7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0.10–4.1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0.04–0.75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0.34–0.82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Aditivo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(las 4)</w:t>
            </w:r>
          </w:p>
        </w:tc>
      </w:tr>
      <w:tr w:rsidR="00515C9A" w:rsidRPr="00515C9A" w:rsidTr="0051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Alchornea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las 4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+1.4 a +2.6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0.03–1.3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0.26–0.87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0.57–0.88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Aditivo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(las 4)</w:t>
            </w:r>
          </w:p>
        </w:tc>
      </w:tr>
      <w:tr w:rsidR="00515C9A" w:rsidRPr="00515C9A" w:rsidTr="0051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Myrcia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logCmass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logNmass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+2.0 a +2.2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0.4–0.6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0.43–0.53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Aditivo</w:t>
            </w:r>
            <w:proofErr w:type="spellEnd"/>
          </w:p>
        </w:tc>
      </w:tr>
      <w:tr w:rsidR="00515C9A" w:rsidRPr="00515C9A" w:rsidTr="0051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Hedyosmum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las 4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+1.9 a +3.5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0.55–2.1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0.15–0.46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0.51–0.69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Aditivo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(las 4)</w:t>
            </w:r>
          </w:p>
        </w:tc>
      </w:tr>
      <w:tr w:rsidR="00515C9A" w:rsidRPr="00515C9A" w:rsidTr="0051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Weinmania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logCmass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logNmass</w:t>
            </w:r>
            <w:proofErr w:type="spellEnd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+1.7 a +4.5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0.10–3.0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0.09–0.75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0.51–0.82</w:t>
            </w:r>
          </w:p>
        </w:tc>
        <w:tc>
          <w:tcPr>
            <w:tcW w:w="0" w:type="auto"/>
            <w:vAlign w:val="center"/>
            <w:hideMark/>
          </w:tcPr>
          <w:p w:rsidR="00515C9A" w:rsidRPr="00515C9A" w:rsidRDefault="00515C9A" w:rsidP="00515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C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Aditivo</w:t>
            </w:r>
            <w:proofErr w:type="spellEnd"/>
          </w:p>
        </w:tc>
      </w:tr>
    </w:tbl>
    <w:p w:rsidR="00515C9A" w:rsidRPr="00EA121E" w:rsidRDefault="00515C9A">
      <w:pPr>
        <w:rPr>
          <w:lang w:val="en-US"/>
        </w:rPr>
      </w:pPr>
      <w:r>
        <w:rPr>
          <w:lang w:val="en-US"/>
        </w:rPr>
        <w:br w:type="textWrapping" w:clear="all"/>
      </w:r>
    </w:p>
    <w:sectPr w:rsidR="00515C9A" w:rsidRPr="00EA12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403"/>
    <w:rsid w:val="00327601"/>
    <w:rsid w:val="00461403"/>
    <w:rsid w:val="00515C9A"/>
    <w:rsid w:val="00A14DC6"/>
    <w:rsid w:val="00AA54F3"/>
    <w:rsid w:val="00DA17E9"/>
    <w:rsid w:val="00EA121E"/>
    <w:rsid w:val="00ED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3304"/>
  <w15:chartTrackingRefBased/>
  <w15:docId w15:val="{148CB134-02E0-49C2-825B-4AAE8A33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15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rmaltextrun">
    <w:name w:val="normaltextrun"/>
    <w:basedOn w:val="Fuentedeprrafopredeter"/>
    <w:rsid w:val="00461403"/>
  </w:style>
  <w:style w:type="character" w:customStyle="1" w:styleId="contentcontrolboundarysink">
    <w:name w:val="contentcontrolboundarysink"/>
    <w:basedOn w:val="Fuentedeprrafopredeter"/>
    <w:rsid w:val="00461403"/>
  </w:style>
  <w:style w:type="character" w:customStyle="1" w:styleId="eop">
    <w:name w:val="eop"/>
    <w:basedOn w:val="Fuentedeprrafopredeter"/>
    <w:rsid w:val="00461403"/>
  </w:style>
  <w:style w:type="character" w:customStyle="1" w:styleId="Ttulo3Car">
    <w:name w:val="Título 3 Car"/>
    <w:basedOn w:val="Fuentedeprrafopredeter"/>
    <w:link w:val="Ttulo3"/>
    <w:uiPriority w:val="9"/>
    <w:rsid w:val="00515C9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Textoennegrita">
    <w:name w:val="Strong"/>
    <w:basedOn w:val="Fuentedeprrafopredeter"/>
    <w:uiPriority w:val="22"/>
    <w:qFormat/>
    <w:rsid w:val="00515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69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selene.baez</dc:creator>
  <cp:keywords/>
  <dc:description/>
  <cp:lastModifiedBy>selene.baez</cp:lastModifiedBy>
  <cp:revision>5</cp:revision>
  <dcterms:created xsi:type="dcterms:W3CDTF">2026-06-24T16:47:00Z</dcterms:created>
  <dcterms:modified xsi:type="dcterms:W3CDTF">2026-09-02T00:17:00Z</dcterms:modified>
</cp:coreProperties>
</file>