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Resultados de modelos mixtos por especie</w:t>
      </w:r>
    </w:p>
    <w:p>
      <w:pPr>
        <w:pBdr>
          <w:bottom w:val="single" w:color="888888" w:sz="6"/>
        </w:pBdr>
        <w:spacing w:after="220"/>
      </w:pPr>
      <w:r>
        <w:rPr>
          <w:rFonts w:ascii="Calibri" w:cs="Calibri" w:eastAsia="Calibri" w:hAnsi="Calibri"/>
          <w:color w:val="555555"/>
          <w:sz w:val="19"/>
          <w:szCs w:val="19"/>
        </w:rPr>
        <w:t xml:space="preserve">NUMEX · data_for_R_Bernacchi.xlsx (n = 174) · 132 modelos · variables fisiológicas, morfológicas y nutricionales</w:t>
      </w:r>
    </w:p>
    <w:p>
      <w:pPr>
        <w:pStyle w:val="Heading1"/>
        <w:spacing w:after="130" w:before="260"/>
      </w:pPr>
      <w:r>
        <w:rPr>
          <w:rFonts w:ascii="Calibri" w:cs="Calibri" w:eastAsia="Calibri" w:hAnsi="Calibri"/>
        </w:rPr>
        <w:t xml:space="preserve">1. Métodos estadísticos</w:t>
      </w:r>
    </w:p>
    <w:p>
      <w:pPr>
        <w:spacing w:after="120" w:line="276"/>
      </w:pPr>
      <w:r>
        <w:rPr>
          <w:rFonts w:ascii="Calibri" w:cs="Calibri" w:eastAsia="Calibri" w:hAnsi="Calibri"/>
          <w:sz w:val="20"/>
          <w:szCs w:val="20"/>
        </w:rPr>
        <w:t xml:space="preserve">Para cada combinación de especie y variable respuesta se ajustaron dos modelos mixtos de intercepto aleatorio por bloque: uno aditivo (respuesta ~ N + P + (1 | Bloque)) y uno con interacción (respuesta ~ N × P + (1 | Bloque)). N y P son variables dummy de adición del nutriente, de modo que el control corresponde a N = 0, P = 0.</w:t>
      </w:r>
    </w:p>
    <w:p>
      <w:pPr>
        <w:spacing w:after="120" w:line="276"/>
      </w:pPr>
      <w:r>
        <w:rPr>
          <w:rFonts w:ascii="Calibri" w:cs="Calibri" w:eastAsia="Calibri" w:hAnsi="Calibri"/>
          <w:sz w:val="20"/>
          <w:szCs w:val="20"/>
        </w:rPr>
        <w:t xml:space="preserve">La elección entre ambos se hizo por prueba de razón de verosimilitud con ajuste por máxima verosimilitud, ya que el LRT sobre efectos fijos no es válido bajo REML. Se retuvo la interacción cuando p &lt; 0.05. El modelo ganador se reajustó con REML para la estimación e inferencia de los efectos fijos.</w:t>
      </w:r>
    </w:p>
    <w:p>
      <w:pPr>
        <w:pStyle w:val="ListParagraph"/>
        <w:numPr>
          <w:ilvl w:val="0"/>
          <w:numId w:val="2"/>
        </w:numPr>
        <w:spacing w:after="70" w:line="270"/>
      </w:pPr>
      <w:r>
        <w:rPr>
          <w:rFonts w:ascii="Calibri" w:cs="Calibri" w:eastAsia="Calibri" w:hAnsi="Calibri"/>
          <w:sz w:val="20"/>
          <w:szCs w:val="20"/>
        </w:rPr>
        <w:t xml:space="preserve">132 modelos ajustados: 36 fisiológicos, 30 morfológicos y 66 de nutrientes.</w:t>
      </w:r>
    </w:p>
    <w:p>
      <w:pPr>
        <w:pStyle w:val="ListParagraph"/>
        <w:numPr>
          <w:ilvl w:val="0"/>
          <w:numId w:val="2"/>
        </w:numPr>
        <w:spacing w:after="70" w:line="270"/>
      </w:pPr>
      <w:r>
        <w:rPr>
          <w:rFonts w:ascii="Calibri" w:cs="Calibri" w:eastAsia="Calibri" w:hAnsi="Calibri"/>
          <w:sz w:val="20"/>
          <w:szCs w:val="20"/>
        </w:rPr>
        <w:t xml:space="preserve">En 18 casos el LRT favoreció la interacción; en el resto se retuvo el modelo aditivo.</w:t>
      </w:r>
    </w:p>
    <w:p>
      <w:pPr>
        <w:pStyle w:val="ListParagraph"/>
        <w:numPr>
          <w:ilvl w:val="0"/>
          <w:numId w:val="2"/>
        </w:numPr>
        <w:spacing w:after="70" w:line="270"/>
      </w:pPr>
      <w:r>
        <w:rPr>
          <w:rFonts w:ascii="Calibri" w:cs="Calibri" w:eastAsia="Calibri" w:hAnsi="Calibri"/>
          <w:sz w:val="20"/>
          <w:szCs w:val="20"/>
        </w:rPr>
        <w:t xml:space="preserve">En 10 casos la varianza de bloque se estimó en cero (ajuste singular, señalado como isSingular en el script original). En esos casos el modelo mixto colapsa al modelo lineal ordinario y así se ajustó.</w:t>
      </w:r>
    </w:p>
    <w:p>
      <w:pPr>
        <w:spacing w:after="120" w:line="276"/>
      </w:pPr>
      <w:r>
        <w:rPr>
          <w:rFonts w:ascii="Calibri" w:cs="Calibri" w:eastAsia="Calibri" w:hAnsi="Calibri"/>
          <w:b/>
          <w:bCs/>
          <w:sz w:val="20"/>
          <w:szCs w:val="20"/>
        </w:rPr>
        <w:t xml:space="preserve">Nota sobre los p-valores. </w:t>
      </w:r>
      <w:r>
        <w:rPr>
          <w:rFonts w:ascii="Calibri" w:cs="Calibri" w:eastAsia="Calibri" w:hAnsi="Calibri"/>
          <w:sz w:val="20"/>
          <w:szCs w:val="20"/>
        </w:rPr>
        <w:t xml:space="preserve">Las tablas de este documento se produjeron con statsmodels, usando pruebas t con grados de libertad residuales aproximados (n − bloques − parámetros + 1). El Rmd adjunto usa lmerTest con aproximación de Satterthwaite, que puede diferir en el tercer decimal. Los valores definitivos para el manuscrito son los que produzca el Rmd; las conclusiones cualitativas son idénticas.</w:t>
      </w:r>
    </w:p>
    <w:p>
      <w:pPr>
        <w:spacing w:after="120" w:line="276"/>
      </w:pPr>
      <w:r>
        <w:rPr>
          <w:rFonts w:ascii="Calibri" w:cs="Calibri" w:eastAsia="Calibri" w:hAnsi="Calibri"/>
          <w:i/>
          <w:iCs/>
          <w:sz w:val="18"/>
          <w:szCs w:val="18"/>
        </w:rPr>
        <w:t xml:space="preserve">Codificación: *** p &lt; 0.001, ** p &lt; 0.01, * p &lt; 0.05, † p &lt; 0.10.</w:t>
      </w:r>
    </w:p>
    <w:p>
      <w:pPr>
        <w:pStyle w:val="Heading1"/>
        <w:spacing w:after="130" w:before="260"/>
      </w:pPr>
      <w:r>
        <w:rPr>
          <w:rFonts w:ascii="Calibri" w:cs="Calibri" w:eastAsia="Calibri" w:hAnsi="Calibri"/>
        </w:rPr>
        <w:t xml:space="preserve">2. Cómo leer y reportar R² y AIC</w:t>
      </w:r>
    </w:p>
    <w:p>
      <w:pPr>
        <w:spacing w:after="120" w:line="276"/>
      </w:pPr>
      <w:r>
        <w:rPr>
          <w:rFonts w:ascii="Calibri" w:cs="Calibri" w:eastAsia="Calibri" w:hAnsi="Calibri"/>
          <w:sz w:val="20"/>
          <w:szCs w:val="20"/>
        </w:rPr>
        <w:t xml:space="preserve">Las tablas incluyen el R² marginal y condicional de Nakagawa y Schielzeth (2013) y el AIC del modelo final. Conviene tener claro qué mide cada uno y cuál tiene sentido reportar.</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6600"/>
      </w:tblGrid>
      <w:tr>
        <w:trPr>
          <w:tblHeader/>
        </w:trPr>
        <w:tc>
          <w:tcPr>
            <w:tcW w:type="dxa" w:w="17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Métrica</w:t>
            </w:r>
          </w:p>
        </w:tc>
        <w:tc>
          <w:tcPr>
            <w:tcW w:type="dxa" w:w="52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Qué mide</w:t>
            </w:r>
          </w:p>
        </w:tc>
        <w:tc>
          <w:tcPr>
            <w:tcW w:type="dxa" w:w="66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Cómo usarla</w:t>
            </w:r>
          </w:p>
        </w:tc>
      </w:tr>
      <w:tr>
        <w:tc>
          <w:tcPr>
            <w:tcW w:type="dxa" w:w="1700"/>
            <w:tcMar>
              <w:top w:type="dxa" w:w="45"/>
              <w:left w:type="dxa" w:w="70"/>
              <w:bottom w:type="dxa" w:w="45"/>
              <w:right w:type="dxa" w:w="70"/>
            </w:tcMar>
          </w:tcPr>
          <w:p>
            <w:pPr>
              <w:spacing w:after="0"/>
              <w:jc w:val="left"/>
            </w:pPr>
            <w:r>
              <w:rPr>
                <w:rFonts w:ascii="Calibri" w:cs="Calibri" w:eastAsia="Calibri" w:hAnsi="Calibri"/>
                <w:sz w:val="17"/>
                <w:szCs w:val="17"/>
              </w:rPr>
              <w:t xml:space="preserve">R²m (marginal)</w:t>
            </w:r>
          </w:p>
        </w:tc>
        <w:tc>
          <w:tcPr>
            <w:tcW w:type="dxa" w:w="5200"/>
            <w:tcMar>
              <w:top w:type="dxa" w:w="45"/>
              <w:left w:type="dxa" w:w="70"/>
              <w:bottom w:type="dxa" w:w="45"/>
              <w:right w:type="dxa" w:w="70"/>
            </w:tcMar>
          </w:tcPr>
          <w:p>
            <w:pPr>
              <w:spacing w:after="0"/>
              <w:jc w:val="center"/>
            </w:pPr>
            <w:r>
              <w:rPr>
                <w:rFonts w:ascii="Calibri" w:cs="Calibri" w:eastAsia="Calibri" w:hAnsi="Calibri"/>
                <w:sz w:val="17"/>
                <w:szCs w:val="17"/>
              </w:rPr>
              <w:t xml:space="preserve">Varianza explicada sólo por los efectos fijos (N, P, N×P)</w:t>
            </w:r>
          </w:p>
        </w:tc>
        <w:tc>
          <w:tcPr>
            <w:tcW w:type="dxa" w:w="6600"/>
            <w:tcMar>
              <w:top w:type="dxa" w:w="45"/>
              <w:left w:type="dxa" w:w="70"/>
              <w:bottom w:type="dxa" w:w="45"/>
              <w:right w:type="dxa" w:w="70"/>
            </w:tcMar>
          </w:tcPr>
          <w:p>
            <w:pPr>
              <w:spacing w:after="0"/>
              <w:jc w:val="center"/>
            </w:pPr>
            <w:r>
              <w:rPr>
                <w:rFonts w:ascii="Calibri" w:cs="Calibri" w:eastAsia="Calibri" w:hAnsi="Calibri"/>
                <w:sz w:val="17"/>
                <w:szCs w:val="17"/>
              </w:rPr>
              <w:t xml:space="preserve">Es la magnitud del efecto del tratamiento. Es la que se reporta en el texto.</w:t>
            </w:r>
          </w:p>
        </w:tc>
      </w:tr>
      <w:tr>
        <w:tc>
          <w:tcPr>
            <w:tcW w:type="dxa" w:w="1700"/>
            <w:tcMar>
              <w:top w:type="dxa" w:w="45"/>
              <w:left w:type="dxa" w:w="70"/>
              <w:bottom w:type="dxa" w:w="45"/>
              <w:right w:type="dxa" w:w="70"/>
            </w:tcMar>
          </w:tcPr>
          <w:p>
            <w:pPr>
              <w:spacing w:after="0"/>
              <w:jc w:val="left"/>
            </w:pPr>
            <w:r>
              <w:rPr>
                <w:rFonts w:ascii="Calibri" w:cs="Calibri" w:eastAsia="Calibri" w:hAnsi="Calibri"/>
                <w:sz w:val="17"/>
                <w:szCs w:val="17"/>
              </w:rPr>
              <w:t xml:space="preserve">R²c (condicional)</w:t>
            </w:r>
          </w:p>
        </w:tc>
        <w:tc>
          <w:tcPr>
            <w:tcW w:type="dxa" w:w="5200"/>
            <w:tcMar>
              <w:top w:type="dxa" w:w="45"/>
              <w:left w:type="dxa" w:w="70"/>
              <w:bottom w:type="dxa" w:w="45"/>
              <w:right w:type="dxa" w:w="70"/>
            </w:tcMar>
          </w:tcPr>
          <w:p>
            <w:pPr>
              <w:spacing w:after="0"/>
              <w:jc w:val="center"/>
            </w:pPr>
            <w:r>
              <w:rPr>
                <w:rFonts w:ascii="Calibri" w:cs="Calibri" w:eastAsia="Calibri" w:hAnsi="Calibri"/>
                <w:sz w:val="17"/>
                <w:szCs w:val="17"/>
              </w:rPr>
              <w:t xml:space="preserve">Varianza explicada por efectos fijos más el bloque</w:t>
            </w:r>
          </w:p>
        </w:tc>
        <w:tc>
          <w:tcPr>
            <w:tcW w:type="dxa" w:w="6600"/>
            <w:tcMar>
              <w:top w:type="dxa" w:w="45"/>
              <w:left w:type="dxa" w:w="70"/>
              <w:bottom w:type="dxa" w:w="45"/>
              <w:right w:type="dxa" w:w="70"/>
            </w:tcMar>
          </w:tcPr>
          <w:p>
            <w:pPr>
              <w:spacing w:after="0"/>
              <w:jc w:val="center"/>
            </w:pPr>
            <w:r>
              <w:rPr>
                <w:rFonts w:ascii="Calibri" w:cs="Calibri" w:eastAsia="Calibri" w:hAnsi="Calibri"/>
                <w:sz w:val="17"/>
                <w:szCs w:val="17"/>
              </w:rPr>
              <w:t xml:space="preserve">La diferencia R²c − R²m es cuánto aporta la estructura de bloques, es decir, la heterogeneidad espacial.</w:t>
            </w:r>
          </w:p>
        </w:tc>
      </w:tr>
      <w:tr>
        <w:tc>
          <w:tcPr>
            <w:tcW w:type="dxa" w:w="1700"/>
            <w:tcMar>
              <w:top w:type="dxa" w:w="45"/>
              <w:left w:type="dxa" w:w="70"/>
              <w:bottom w:type="dxa" w:w="45"/>
              <w:right w:type="dxa" w:w="70"/>
            </w:tcMar>
          </w:tcPr>
          <w:p>
            <w:pPr>
              <w:spacing w:after="0"/>
              <w:jc w:val="left"/>
            </w:pPr>
            <w:r>
              <w:rPr>
                <w:rFonts w:ascii="Calibri" w:cs="Calibri" w:eastAsia="Calibri" w:hAnsi="Calibri"/>
                <w:sz w:val="17"/>
                <w:szCs w:val="17"/>
              </w:rPr>
              <w:t xml:space="preserve">AIC</w:t>
            </w:r>
          </w:p>
        </w:tc>
        <w:tc>
          <w:tcPr>
            <w:tcW w:type="dxa" w:w="5200"/>
            <w:tcMar>
              <w:top w:type="dxa" w:w="45"/>
              <w:left w:type="dxa" w:w="70"/>
              <w:bottom w:type="dxa" w:w="45"/>
              <w:right w:type="dxa" w:w="70"/>
            </w:tcMar>
          </w:tcPr>
          <w:p>
            <w:pPr>
              <w:spacing w:after="0"/>
              <w:jc w:val="center"/>
            </w:pPr>
            <w:r>
              <w:rPr>
                <w:rFonts w:ascii="Calibri" w:cs="Calibri" w:eastAsia="Calibri" w:hAnsi="Calibri"/>
                <w:sz w:val="17"/>
                <w:szCs w:val="17"/>
              </w:rPr>
              <w:t xml:space="preserve">Ajuste penalizado por número de parámetros</w:t>
            </w:r>
          </w:p>
        </w:tc>
        <w:tc>
          <w:tcPr>
            <w:tcW w:type="dxa" w:w="6600"/>
            <w:tcMar>
              <w:top w:type="dxa" w:w="45"/>
              <w:left w:type="dxa" w:w="70"/>
              <w:bottom w:type="dxa" w:w="45"/>
              <w:right w:type="dxa" w:w="70"/>
            </w:tcMar>
          </w:tcPr>
          <w:p>
            <w:pPr>
              <w:spacing w:after="0"/>
              <w:jc w:val="center"/>
            </w:pPr>
            <w:r>
              <w:rPr>
                <w:rFonts w:ascii="Calibri" w:cs="Calibri" w:eastAsia="Calibri" w:hAnsi="Calibri"/>
                <w:sz w:val="17"/>
                <w:szCs w:val="17"/>
              </w:rPr>
              <w:t xml:space="preserve">Sólo comparable entre modelos con los MISMOS datos. Nunca entre variables ni entre especies.</w:t>
            </w:r>
          </w:p>
        </w:tc>
      </w:tr>
    </w:tbl>
    <w:p>
      <w:pPr>
        <w:spacing w:after="200" w:before="70"/>
      </w:pPr>
      <w:r>
        <w:rPr>
          <w:rFonts w:ascii="Calibri" w:cs="Calibri" w:eastAsia="Calibri" w:hAnsi="Calibri"/>
          <w:i/>
          <w:iCs/>
          <w:color w:val="555555"/>
          <w:sz w:val="16"/>
          <w:szCs w:val="16"/>
        </w:rPr>
        <w:t xml:space="preserve">Tabla A. Interpretación de las métricas de bondad de ajuste incluidas en las tablas 1 a 3.</w:t>
      </w:r>
    </w:p>
    <w:p>
      <w:pPr>
        <w:spacing w:after="120" w:line="276"/>
      </w:pPr>
      <w:r>
        <w:rPr>
          <w:rFonts w:ascii="Calibri" w:cs="Calibri" w:eastAsia="Calibri" w:hAnsi="Calibri"/>
          <w:b/>
          <w:bCs/>
          <w:sz w:val="20"/>
          <w:szCs w:val="20"/>
        </w:rPr>
        <w:t xml:space="preserve">Error frecuente que conviene evitar. </w:t>
      </w:r>
      <w:r>
        <w:rPr>
          <w:rFonts w:ascii="Calibri" w:cs="Calibri" w:eastAsia="Calibri" w:hAnsi="Calibri"/>
          <w:sz w:val="20"/>
          <w:szCs w:val="20"/>
        </w:rPr>
        <w:t xml:space="preserve">El AIC de estas tablas NO sirve para comparar variables entre sí ni especies entre sí, porque cada modelo se ajusta sobre un conjunto de datos distinto y en una escala distinta. Un AIC de 236 para iWUE en P. torta y de 80 para C. racemosa no significa que el segundo modelo sea mejor: significa que tiene 12 observaciones en lugar de 32. El AIC aquí sólo documenta el modelo seleccionado; la comparación formal entre el modelo aditivo y el de interacción está en la tabla de selección del anexo.</w:t>
      </w:r>
    </w:p>
    <w:p>
      <w:pPr>
        <w:spacing w:after="120" w:line="276"/>
      </w:pPr>
      <w:r>
        <w:rPr>
          <w:rFonts w:ascii="Calibri" w:cs="Calibri" w:eastAsia="Calibri" w:hAnsi="Calibri"/>
          <w:sz w:val="20"/>
          <w:szCs w:val="20"/>
        </w:rPr>
        <w:t xml:space="preserve">Recomendación para el manuscrito: en las tablas principales reportar estimado, error estándar, p y R²m. Llevar R²c, AIC, BIC y el resultado del LRT al material suplementario. R²c es informativo cuando la diferencia con R²m es grande, porque indica que el bloque captura variación relevante; en estos datos eso ocurre en 35 de los 132 modelos.</w:t>
      </w:r>
    </w:p>
    <w:p>
      <w:pPr>
        <w:spacing w:after="120" w:line="276"/>
      </w:pPr>
      <w:r>
        <w:rPr>
          <w:rFonts w:ascii="Calibri" w:cs="Calibri" w:eastAsia="Calibri" w:hAnsi="Calibri"/>
          <w:sz w:val="20"/>
          <w:szCs w:val="20"/>
        </w:rPr>
        <w:t xml:space="preserve">En estos modelos la mediana de R²m es 0.12 y la de R²c es 0.20. Son valores bajos, lo cual es esperable y no problemático: la fertilización explica una fracción pequeña de la variación entre árboles individuales, y ése es precisamente el mensaje del trabajo. Conviene declararlo en el texto antes de que lo señale un revisor.</w:t>
      </w:r>
    </w:p>
    <w:p>
      <w:r>
        <w:br w:type="page"/>
      </w:r>
    </w:p>
    <w:p>
      <w:pPr>
        <w:pStyle w:val="Heading1"/>
        <w:spacing w:after="130" w:before="260"/>
      </w:pPr>
      <w:r>
        <w:rPr>
          <w:rFonts w:ascii="Calibri" w:cs="Calibri" w:eastAsia="Calibri" w:hAnsi="Calibri"/>
        </w:rPr>
        <w:t xml:space="preserve">Tabla 1 · Variables fisiológicas</w:t>
      </w:r>
    </w:p>
    <w:p>
      <w:pPr>
        <w:spacing w:after="120" w:line="276"/>
      </w:pPr>
      <w:r>
        <w:rPr>
          <w:rFonts w:ascii="Calibri" w:cs="Calibri" w:eastAsia="Calibri" w:hAnsi="Calibri"/>
          <w:sz w:val="20"/>
          <w:szCs w:val="20"/>
        </w:rPr>
        <w:t xml:space="preserve">Incluye la iWUE con Γ* = 40 ppm constante (versión original) y con Γ*(T) según Bernacchi et al. (2001), además de δ¹³C de celulosa, Ci/Ca en ambas versiones y δ¹⁸O.</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550"/>
        <w:gridCol w:w="620"/>
        <w:gridCol w:w="480"/>
        <w:gridCol w:w="640"/>
        <w:gridCol w:w="800"/>
        <w:gridCol w:w="2500"/>
        <w:gridCol w:w="2500"/>
        <w:gridCol w:w="2500"/>
        <w:gridCol w:w="570"/>
        <w:gridCol w:w="570"/>
        <w:gridCol w:w="770"/>
      </w:tblGrid>
      <w:tr>
        <w:trPr>
          <w:tblHeader/>
        </w:trPr>
        <w:tc>
          <w:tcPr>
            <w:tcW w:type="dxa" w:w="155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Especie</w:t>
            </w:r>
          </w:p>
        </w:tc>
        <w:tc>
          <w:tcPr>
            <w:tcW w:type="dxa" w:w="62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Elev.</w:t>
            </w:r>
          </w:p>
        </w:tc>
        <w:tc>
          <w:tcPr>
            <w:tcW w:type="dxa" w:w="48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n</w:t>
            </w:r>
          </w:p>
        </w:tc>
        <w:tc>
          <w:tcPr>
            <w:tcW w:type="dxa" w:w="64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Modelo</w:t>
            </w:r>
          </w:p>
        </w:tc>
        <w:tc>
          <w:tcPr>
            <w:tcW w:type="dxa" w:w="8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Control</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N (SE; p)</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P (SE; p)</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N×P (SE; p)</w:t>
            </w:r>
          </w:p>
        </w:tc>
        <w:tc>
          <w:tcPr>
            <w:tcW w:type="dxa" w:w="5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R²m</w:t>
            </w:r>
          </w:p>
        </w:tc>
        <w:tc>
          <w:tcPr>
            <w:tcW w:type="dxa" w:w="5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R²c</w:t>
            </w:r>
          </w:p>
        </w:tc>
        <w:tc>
          <w:tcPr>
            <w:tcW w:type="dxa" w:w="7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AIC</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iWUE original</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25.74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+7.71 (7.59; p=0.320)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+3.63 (5.98; p=0.550)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-18.45† (9.53; p=0.064)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236.4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36.98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-13.14† (5.60; p=0.051)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+10.20 (5.97; p=0.131)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80.5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87.61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+0.36 (4.21; p=0.933)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-3.63 (4.16; p=0.388)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334.9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72.02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+2.95 (3.34; p=0.381)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+2.17 (3.41; p=0.528)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374.8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83.75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+16.07 (9.39; p=0.108)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+3.61 (9.75; p=0.716)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176.6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72.87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-5.33 (4.97; p=0.303)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-8.35 (5.26; p=0.137)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127.9</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iWUE Bernacchi</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28.42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+7.71 (7.59; p=0.320)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+3.63 (5.98; p=0.550)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-18.45† (9.53; p=0.064)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236.4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39.66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-13.14† (5.60; p=0.051)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+10.20 (5.97; p=0.131)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80.5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92.20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+0.36 (4.21; p=0.933)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-3.63 (4.16; p=0.388)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334.9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76.61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+2.95 (3.34; p=0.381)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+2.17 (3.41; p=0.528)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374.8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90.92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+16.07 (9.39; p=0.108)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+3.61 (9.75; p=0.716)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176.6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80.03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-5.33 (4.97; p=0.303)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-8.35 (5.26; p=0.137)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127.9</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δ¹³C celulosa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-31.54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+0.63 (0.62; p=0.325)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+0.29 (0.49; p=0.551)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-1.50† (0.78; p=0.066)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95.8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-30.63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-1.07† (0.46; p=0.051)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+0.83 (0.49; p=0.131)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35.4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-26.51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 (0.35; p=0.925)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-0.30 (0.34; p=0.391)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140.2</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-27.79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+0.25 (0.27; p=0.373)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+0.18 (0.28; p=0.529)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145.0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-26.81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+1.32 (0.77; p=0.107)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+0.30 (0.80; p=0.715)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86.6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-27.70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-0.44 (0.41; p=0.303)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-0.68 (0.43; p=0.137)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52.8</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Ci/Ca original</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0.902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-0.029 (0.029; p=0.320)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-0.014 (0.023; p=0.550)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+0.070† (0.036; p=0.064)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-75.7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0.860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+0.050† (0.021; p=0.051)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-0.039 (0.023; p=0.131)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-19.8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0.666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-0.001 (0.016; p=0.943)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+0.014 (0.016; p=0.388)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-99.5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0.725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-0.011 (0.013; p=0.388)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-0.008 (0.013; p=0.523)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-137.7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0.682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-0.061 (0.036; p=0.108)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-0.014 (0.037; p=0.716)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-24.1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0.723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+0.020 (0.019; p=0.303)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+0.032 (0.020; p=0.137)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-39.2</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Ci/Ca Bernacchi</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0.892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-0.029 (0.029; p=0.320)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-0.014 (0.023; p=0.550)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+0.070† (0.036; p=0.064)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-75.7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0.849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+0.050† (0.021; p=0.051)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-0.039 (0.023; p=0.131)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-19.8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0.648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-0.001 (0.016; p=0.943)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+0.014 (0.016; p=0.388)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-99.5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0.708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-0.011 (0.013; p=0.389)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-0.008 (0.013; p=0.523)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-137.7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0.654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-0.061 (0.036; p=0.108)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-0.014 (0.037; p=0.716)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-24.1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0.696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+0.020 (0.019; p=0.303)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+0.032 (0.020; p=0.137)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-39.2</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δ¹⁸O</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29.98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-0.54 (0.49; p=0.282)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-1.20* (0.49; p=0.022)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118.6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26.51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+2.40 (1.27; p=0.102)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+1.97 (1.26; p=0.162)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54.1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29.67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-0.17 (0.38; p=0.655)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+0.06 (0.38; p=0.869)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140.7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30.63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+0.78* (0.31; p=0.016)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-0.49 (0.31; p=0.119)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151.8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26.34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+0.43 (0.66; p=0.524)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+0.14 (0.66; p=0.833)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82.3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26.56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-0.25 (0.53; p=0.641)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-0.57 (0.53; p=0.297)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61.0</w:t>
            </w:r>
          </w:p>
        </w:tc>
      </w:tr>
    </w:tbl>
    <w:p>
      <w:pPr>
        <w:spacing w:after="200" w:before="70"/>
      </w:pPr>
      <w:r>
        <w:rPr>
          <w:rFonts w:ascii="Calibri" w:cs="Calibri" w:eastAsia="Calibri" w:hAnsi="Calibri"/>
          <w:i/>
          <w:iCs/>
          <w:color w:val="555555"/>
          <w:sz w:val="16"/>
          <w:szCs w:val="16"/>
        </w:rPr>
        <w:t xml:space="preserve">Tabla 1. Efectos de la adición de N y P sobre variables fisiológicas. «Control» = media observada del tratamiento control.</w:t>
      </w:r>
    </w:p>
    <w:p>
      <w:pPr>
        <w:spacing w:after="120" w:line="276"/>
      </w:pPr>
      <w:r>
        <w:rPr>
          <w:rFonts w:ascii="Calibri" w:cs="Calibri" w:eastAsia="Calibri" w:hAnsi="Calibri"/>
          <w:b/>
          <w:bCs/>
          <w:sz w:val="20"/>
          <w:szCs w:val="20"/>
        </w:rPr>
        <w:t xml:space="preserve">Lectura. </w:t>
      </w:r>
      <w:r>
        <w:rPr>
          <w:rFonts w:ascii="Calibri" w:cs="Calibri" w:eastAsia="Calibri" w:hAnsi="Calibri"/>
          <w:sz w:val="20"/>
          <w:szCs w:val="20"/>
        </w:rPr>
        <w:t xml:space="preserve">Los coeficientes de N y P son idénticos entre «iWUE original» e «iWUE Bernacchi», y entre las dos versiones de Ci/Ca. Esto es esperado: la corrección de Γ* se evalúa a nivel de sitio, así que dentro de cada especie actúa como constante aditiva absorbida por el intercepto. Sólo cambian las medias de control y los valores absolutos. El R² también es idéntico, por la misma razón.</w:t>
      </w:r>
    </w:p>
    <w:p>
      <w:pPr>
        <w:spacing w:after="120" w:line="276"/>
      </w:pPr>
      <w:r>
        <w:rPr>
          <w:rFonts w:ascii="Calibri" w:cs="Calibri" w:eastAsia="Calibri" w:hAnsi="Calibri"/>
          <w:sz w:val="20"/>
          <w:szCs w:val="20"/>
        </w:rPr>
        <w:t xml:space="preserve">Ninguna especie muestra efecto significativo sobre iWUE, δ¹³C ni Ci/Ca. Las únicas señales del bloque fisiológico están en δ¹⁸O: P. torta responde a P (−1.20 ‰, p = 0.022) y Myrcia sp. nov. a N (+0.78 ‰, p = 0.016).</w:t>
      </w:r>
    </w:p>
    <w:p>
      <w:pPr>
        <w:spacing w:after="120" w:line="276"/>
      </w:pPr>
      <w:r>
        <w:rPr>
          <w:rFonts w:ascii="Calibri" w:cs="Calibri" w:eastAsia="Calibri" w:hAnsi="Calibri"/>
          <w:b/>
          <w:bCs/>
          <w:sz w:val="20"/>
          <w:szCs w:val="20"/>
        </w:rPr>
        <w:t xml:space="preserve">El efecto de N sobre la iWUE de C. racemosa queda en p = 0.051, marginal. </w:t>
      </w:r>
      <w:r>
        <w:rPr>
          <w:rFonts w:ascii="Calibri" w:cs="Calibri" w:eastAsia="Calibri" w:hAnsi="Calibri"/>
          <w:sz w:val="20"/>
          <w:szCs w:val="20"/>
        </w:rPr>
        <w:t xml:space="preserve">En ajustes previos basados en pruebas de Wald aparecía con p = 0.007. La diferencia procede de los grados de libertad: con n = 12, cuatro bloques y tres parámetros quedan seis grados de libertad residuales. El mismo coeficiente aparece con p = 0.051 en las cinco expresiones de la misma medición isotópica, lo que confirma que es un único resultado. Además, la celda del tratamiento N de esa especie tiene n = 1.</w:t>
      </w:r>
    </w:p>
    <w:p>
      <w:r>
        <w:br w:type="page"/>
      </w:r>
    </w:p>
    <w:p>
      <w:pPr>
        <w:pStyle w:val="Heading1"/>
        <w:spacing w:after="130" w:before="260"/>
      </w:pPr>
      <w:r>
        <w:rPr>
          <w:rFonts w:ascii="Calibri" w:cs="Calibri" w:eastAsia="Calibri" w:hAnsi="Calibri"/>
        </w:rPr>
        <w:t xml:space="preserve">Tabla 2 · Variables morfológicas</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550"/>
        <w:gridCol w:w="620"/>
        <w:gridCol w:w="480"/>
        <w:gridCol w:w="640"/>
        <w:gridCol w:w="800"/>
        <w:gridCol w:w="2500"/>
        <w:gridCol w:w="2500"/>
        <w:gridCol w:w="2500"/>
        <w:gridCol w:w="570"/>
        <w:gridCol w:w="570"/>
        <w:gridCol w:w="770"/>
      </w:tblGrid>
      <w:tr>
        <w:trPr>
          <w:tblHeader/>
        </w:trPr>
        <w:tc>
          <w:tcPr>
            <w:tcW w:type="dxa" w:w="155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Especie</w:t>
            </w:r>
          </w:p>
        </w:tc>
        <w:tc>
          <w:tcPr>
            <w:tcW w:type="dxa" w:w="62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Elev.</w:t>
            </w:r>
          </w:p>
        </w:tc>
        <w:tc>
          <w:tcPr>
            <w:tcW w:type="dxa" w:w="48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n</w:t>
            </w:r>
          </w:p>
        </w:tc>
        <w:tc>
          <w:tcPr>
            <w:tcW w:type="dxa" w:w="64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Modelo</w:t>
            </w:r>
          </w:p>
        </w:tc>
        <w:tc>
          <w:tcPr>
            <w:tcW w:type="dxa" w:w="8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Control</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N (SE; p)</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P (SE; p)</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N×P (SE; p)</w:t>
            </w:r>
          </w:p>
        </w:tc>
        <w:tc>
          <w:tcPr>
            <w:tcW w:type="dxa" w:w="5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R²m</w:t>
            </w:r>
          </w:p>
        </w:tc>
        <w:tc>
          <w:tcPr>
            <w:tcW w:type="dxa" w:w="5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R²c</w:t>
            </w:r>
          </w:p>
        </w:tc>
        <w:tc>
          <w:tcPr>
            <w:tcW w:type="dxa" w:w="7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AIC</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SLA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81.07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-0.06 (4.11; p=0.989)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-0.74 (4.08; p=0.857)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241.9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92.05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+13.58* (5.18; p=0.034)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+1.51 (4.91; p=0.767)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77.9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35.67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-0.23 (1.23; p=0.855)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-0.82 (1.21; p=0.500)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237.3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36.24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+0.50 (0.97; p=0.604)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-0.67 (0.94; p=0.483)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260.8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68.88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-8.76 (5.78; p=0.150)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+6.52 (7.38; p=0.391)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154.1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70.10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-0.47 (3.19; p=0.884)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+2.54 (3.19; p=0.440)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0.04</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114.5</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Grosor</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0.20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(0.01; p=0.631)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(0.01; p=0.877)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-115.7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0.21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 (0.01; p=0.015)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(0.00; p=0.608)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 (0.01; p=0.015)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0.96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-38.0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0.54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(0.02; p=0.557)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(0.01; p=0.939)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-107.5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0.48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(0.01; p=0.410)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(0.01; p=0.830)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-185.0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0.46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(0.02; p=0.957)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(0.02; p=0.995)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-50.6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0.27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 (0.02; p=0.347)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(0.02; p=0.974)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-44.7</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Dureza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0.79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 (0.05; p=0.280)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(0.04; p=0.977)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0.95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 (0.10; p=0.775)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 (0.08; p=0.579)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1.75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 (0.04; p=0.285)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-0.07† (0.04; p=0.099)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0.08</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-22.1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1.50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(0.02; p=0.910)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(0.03; p=0.868)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0.44</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-70.6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0.85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+0.10 (0.07; p=0.169)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-0.08 (0.07; p=0.277)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0.81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(0.04; p=0.893)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 (0.04; p=0.151)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-16.9</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Área foliar</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75.94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-5.25† (2.70; p=0.063)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-4.91 (6.32; p=0.445)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272.1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39.46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-0.13 (3.84; p=0.973)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-4.24 (3.93; p=0.316)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0.08</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74.3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29.96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-5.87* (2.65; p=0.033)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+1.24 (2.63; p=0.638)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0.11</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295.9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20.01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+0.39 (1.44; p=0.789)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-2.13 (1.44; p=0.145)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297.2</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18.03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-3.77† (2.02; p=0.082)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+1.85 (2.04; p=0.379)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122.5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1.47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+0.22 (0.18; p=0.226)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+0.21 (0.19; p=0.281)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27.4</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DMC</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510.62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+5.42 (13.02; p=0.681)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-2.70 (13.26; p=0.840)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308.4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462.21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-28.00† (13.18; p=0.071)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-14.37 (13.94; p=0.337)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95.8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429.04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+10.66 (8.20; p=0.202)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-0.38 (8.07; p=0.963)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387.3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485.30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-0.88 (7.36; p=0.906)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-7.39 (7.18; p=0.309)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447.5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276.60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+20.11† (11.40; p=0.098)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-32.20* (11.53; p=0.014)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185.5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458.37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+15.45 (19.41; p=0.441)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-18.29 (19.34; p=0.362)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168.9</w:t>
            </w:r>
          </w:p>
        </w:tc>
      </w:tr>
    </w:tbl>
    <w:p>
      <w:pPr>
        <w:spacing w:after="200" w:before="70"/>
      </w:pPr>
      <w:r>
        <w:rPr>
          <w:rFonts w:ascii="Calibri" w:cs="Calibri" w:eastAsia="Calibri" w:hAnsi="Calibri"/>
          <w:i/>
          <w:iCs/>
          <w:color w:val="555555"/>
          <w:sz w:val="16"/>
          <w:szCs w:val="16"/>
        </w:rPr>
        <w:t xml:space="preserve">Tabla 2. Efectos sobre rasgos morfológicos foliares. SLA en cm² g⁻¹, grosor en mm, dureza en kN m⁻¹, área foliar en cm², DMC en mg g⁻¹.</w:t>
      </w:r>
    </w:p>
    <w:p>
      <w:pPr>
        <w:spacing w:after="120" w:line="276"/>
      </w:pPr>
      <w:r>
        <w:rPr>
          <w:rFonts w:ascii="Calibri" w:cs="Calibri" w:eastAsia="Calibri" w:hAnsi="Calibri"/>
          <w:sz w:val="20"/>
          <w:szCs w:val="20"/>
        </w:rPr>
        <w:t xml:space="preserve">Las respuestas morfológicas son escasas y sin patrón común. C. racemosa aumenta el SLA bajo N (+13.6 cm² g⁻¹, p = 0.034) y reduce el grosor foliar (−0.021 mm, p = 0.015), con interacción N×P significativa que compensa ese descenso. H. purpurascens reduce el contenido de materia seca bajo P (−32.2 mg g⁻¹, p = 0.014) y A. lojaensis el área foliar bajo N (−5.87 cm², p = 0.033). No hay respuestas en dureza foliar en ninguna especie.</w:t>
      </w:r>
    </w:p>
    <w:p>
      <w:r>
        <w:br w:type="page"/>
      </w:r>
    </w:p>
    <w:p>
      <w:pPr>
        <w:pStyle w:val="Heading1"/>
        <w:spacing w:after="130" w:before="260"/>
      </w:pPr>
      <w:r>
        <w:rPr>
          <w:rFonts w:ascii="Calibri" w:cs="Calibri" w:eastAsia="Calibri" w:hAnsi="Calibri"/>
        </w:rPr>
        <w:t xml:space="preserve">Tabla 3 · Nutrientes foliares</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550"/>
        <w:gridCol w:w="620"/>
        <w:gridCol w:w="480"/>
        <w:gridCol w:w="640"/>
        <w:gridCol w:w="800"/>
        <w:gridCol w:w="2500"/>
        <w:gridCol w:w="2500"/>
        <w:gridCol w:w="2500"/>
        <w:gridCol w:w="570"/>
        <w:gridCol w:w="570"/>
        <w:gridCol w:w="770"/>
      </w:tblGrid>
      <w:tr>
        <w:trPr>
          <w:tblHeader/>
        </w:trPr>
        <w:tc>
          <w:tcPr>
            <w:tcW w:type="dxa" w:w="155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Especie</w:t>
            </w:r>
          </w:p>
        </w:tc>
        <w:tc>
          <w:tcPr>
            <w:tcW w:type="dxa" w:w="62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Elev.</w:t>
            </w:r>
          </w:p>
        </w:tc>
        <w:tc>
          <w:tcPr>
            <w:tcW w:type="dxa" w:w="48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n</w:t>
            </w:r>
          </w:p>
        </w:tc>
        <w:tc>
          <w:tcPr>
            <w:tcW w:type="dxa" w:w="64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Modelo</w:t>
            </w:r>
          </w:p>
        </w:tc>
        <w:tc>
          <w:tcPr>
            <w:tcW w:type="dxa" w:w="8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Control</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N (SE; p)</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P (SE; p)</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Efecto N×P (SE; p)</w:t>
            </w:r>
          </w:p>
        </w:tc>
        <w:tc>
          <w:tcPr>
            <w:tcW w:type="dxa" w:w="5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R²m</w:t>
            </w:r>
          </w:p>
        </w:tc>
        <w:tc>
          <w:tcPr>
            <w:tcW w:type="dxa" w:w="5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R²c</w:t>
            </w:r>
          </w:p>
        </w:tc>
        <w:tc>
          <w:tcPr>
            <w:tcW w:type="dxa" w:w="770"/>
            <w:shd w:fill="D9D9D9" w:color="auto" w:val="clear"/>
            <w:tcMar>
              <w:top w:type="dxa" w:w="45"/>
              <w:left w:type="dxa" w:w="70"/>
              <w:bottom w:type="dxa" w:w="45"/>
              <w:right w:type="dxa" w:w="70"/>
            </w:tcMar>
          </w:tcPr>
          <w:p>
            <w:pPr>
              <w:spacing w:after="0"/>
              <w:jc w:val="center"/>
            </w:pPr>
            <w:r>
              <w:rPr>
                <w:rFonts w:ascii="Calibri" w:cs="Calibri" w:eastAsia="Calibri" w:hAnsi="Calibri"/>
                <w:b/>
                <w:bCs/>
                <w:sz w:val="15"/>
                <w:szCs w:val="15"/>
              </w:rPr>
              <w:t xml:space="preserve">AIC</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N masa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15.55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-0.08 (0.46; p=0.862)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+0.82† (0.44; p=0.072)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113.5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17.39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+3.62* (1.06; p=0.011)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+2.67† (1.35; p=0.088)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54.1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11.61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+1.27* (0.50; p=0.017)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-0.78 (0.55; p=0.163)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165.0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8.82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+1.41*** (0.27;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-0.42 (0.27; p=0.131)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141.1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14.31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+2.34* (0.92; p=0.023)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+0.63 (0.93; p=0.511)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95.6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10.43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+0.81 (0.89; p=0.380)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+0.10 (2.39; p=0.968)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70.9</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log N masa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2.741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-0.005 (0.028; p=0.862)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+0.051† (0.027; p=0.067)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-48.5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2.849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+0.181* (0.065; p=0.027)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+0.134 (0.073; p=0.107)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2.442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+0.106** (0.039; p=0.010)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-0.064† (0.034; p=0.065)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-26.0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2.168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+0.158*** (0.030;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-0.047 (0.030; p=0.128)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-56.2</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2.659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+0.140* (0.051; p=0.015)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+0.046 (0.052; p=0.391)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0.44</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2.338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+0.076 (0.070; p=0.299)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+0.011 (0.092; p=0.905)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-0.7</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N área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1.94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(0.10; p=0.984)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+0.12 (0.10; p=0.230)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24.3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1.89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+0.07 (0.11; p=0.554)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+0.23† (0.12; p=0.093)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10.3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3.27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+0.35* (0.17; p=0.046)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-0.12 (0.17; p=0.492)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82.1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2.43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+0.36*** (0.07;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-0.07 (0.07; p=0.325)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22.7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+0.59** (0.16; p=0.002)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-0.12 (0.16; p=0.482)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31.3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1.48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+0.14 (0.11; p=0.235)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-0.04 (0.13; p=0.771)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13.3</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P masa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0.64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(0.06; p=0.932)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+0.08 (0.05; p=0.119)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-10.7</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0.79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 (0.23; p=0.896)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+0.32* (0.10; p=0.015)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4.0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0.78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+0.04 (0.07; p=0.605)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+0.48*** (0.07;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15.3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0.43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(0.16; p=0.959)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+1.26*** (0.15;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-0.79** (0.22; p=0.001)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0.64</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64.3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0.84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(0.10; p=0.922)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+0.71*** (0.11;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-0.48** (0.16; p=0.009)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0.80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9.4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0.56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+0.05 (0.17; p=0.794)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+1.08*** (0.16;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-0.96** (0.28; p=0.005)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20.4</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log P masa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-0.468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-0.004 (0.079; p=0.962)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+0.135† (0.073; p=0.076)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-0.233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+0.042 (0.155; p=0.796)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+0.319** (0.083; p=0.006)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-0.261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+0.028 (0.070; p=0.690)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+0.452*** (0.069;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0.56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-0.883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+0.026 (0.144; p=0.859)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+1.315*** (0.136;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-0.630** (0.205; p=0.004)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0.71</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55.5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-0.183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-0.017 (0.060; p=0.783)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+0.602*** (0.066;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-0.340** (0.097; p=0.004)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0.78</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0.88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-0.585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+0.081 (0.116; p=0.499)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+1.043*** (0.115;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-0.869*** (0.196; p=0.001)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0.85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0.85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11.4</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P área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(0.01; p=0.939)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(0.00; p=0.019)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-148.4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(0.01; p=0.396)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 (0.01; p=0.009)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-35.4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0.22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(0.02; p=0.570)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+0.15*** (0.02;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-67.1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 (0.05; p=0.981)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+0.38*** (0.05;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-0.25** (0.07; p=0.001)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-36.0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(0.02; p=0.521)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+0.06** (0.02; p=0.003)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0.38</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-48.1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0.08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 (0.02; p=0.715)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+0.15*** (0.02;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-0.13** (0.04; p=0.004)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-35.7</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C masa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478.45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-0.18 (2.24; p=0.937)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-0.29 (2.24; p=0.897)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184.2</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421.37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+25.80 (15.75; p=0.152)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+16.90 (9.92; p=0.140)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-33.48 (17.66; p=0.107)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80.5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489.94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+0.39 (2.81; p=0.890)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-0.62 (2.79; p=0.825)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284.0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472.37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-3.19 (2.36; p=0.184)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-4.41† (2.40; p=0.073)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344.4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438.02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+0.22 (3.41; p=0.949)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+3.00 (3.46; p=0.400)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140.5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444.08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+8.15 (5.82; p=0.185)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+3.11 (6.23; p=0.626)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132.2</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log C masa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6.170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-0.000 (0.005; p=0.941)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-0.001 (0.005; p=0.901)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-136.8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6.043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+0.060 (0.037; p=0.153)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+0.039 (0.023; p=0.141)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-0.078 (0.042; p=0.112)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-16.5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6.194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+0.001 (0.006; p=0.901)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-0.001 (0.006; p=0.834)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-173.9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6.158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-0.007 (0.005; p=0.186)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-0.009† (0.005; p=0.071)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0.16</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-222.3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6.082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+0.000 (0.008; p=0.959)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+0.007 (0.008; p=0.400)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-78.3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6.096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+0.018 (0.013; p=0.195)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+0.007 (0.014; p=0.641)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-50.5</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C área</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59.15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+1.65 (1.49; p=0.278)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-0.75 (2.93; p=0.800)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0.01</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205.0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46.09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-4.79* (1.61; p=0.021)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-0.37 (1.58; p=0.821)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59.9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139.17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-0.16 (5.18; p=0.976)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+4.77 (5.17; p=0.362)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331.1</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131.99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-3.79 (3.99; p=0.348)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+1.21 (4.17; p=0.772)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391.3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66.58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+6.40 (4.92; p=0.213)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-6.39 (4.96; p=0.218)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0.18</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153.3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63.68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+2.01 (2.96; p=0.510)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-2.25 (2.98; p=0.464)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112.6</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N:P foliar</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32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25.34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-0.25 (1.81; p=0.891)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-2.21 (1.78; p=0.224)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193.2</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21.87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+2.17 (1.83; p=0.274)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-3.31† (1.75; p=0.100)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0.23</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59.5</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15.07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+1.18† (0.66; p=0.083)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-6.30*** (0.65;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0.64</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185.8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22.90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+0.67 (1.61; p=0.680)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-16.58*** (1.54;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+5.22* (2.28; p=0.027)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0.77</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0.78</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267.9</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17.17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+4.62** (1.14; p=0.001)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-5.98*** (1.17;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0.72</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0.73</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96.0</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18.65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+0.24 (1.58; p=0.884)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-11.34*** (1.49;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+8.04** (2.57; p=0.009)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0.81</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0.82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83.1</w:t>
            </w:r>
          </w:p>
        </w:tc>
      </w:tr>
      <w:tr>
        <w:tc>
          <w:tcPr>
            <w:tcW w:type="dxa" w:w="13500"/>
            <w:gridSpan w:val="11"/>
            <w:shd w:fill="EDEDED" w:color="auto" w:val="clear"/>
            <w:tcMar>
              <w:top w:type="dxa" w:w="55"/>
              <w:left w:type="dxa" w:w="70"/>
              <w:bottom w:type="dxa" w:w="55"/>
              <w:right w:type="dxa" w:w="70"/>
            </w:tcMar>
          </w:tcPr>
          <w:p>
            <w:pPr>
              <w:spacing w:after="0"/>
            </w:pPr>
            <w:r>
              <w:rPr>
                <w:rFonts w:ascii="Calibri" w:cs="Calibri" w:eastAsia="Calibri" w:hAnsi="Calibri"/>
                <w:b/>
                <w:bCs/>
                <w:sz w:val="17"/>
                <w:szCs w:val="17"/>
              </w:rPr>
              <w:t xml:space="preserve">C:N foliar</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P. torta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29</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30.27</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+0.49 (0.82; p=0.554)</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-1.39† (0.79; p=0.091)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0.10</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0.22</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131.8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C. racemosa</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1000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12</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24.51</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-3.75** (0.78; p=0.002)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-2.55 (1.56; p=0.145)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0.48</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0.49</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56.8</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A. lojaensis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40</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43.02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-4.25* (1.73; p=0.019)</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+1.38 (1.72; p=0.430)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248.4</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Myrcia sp. nov.</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2000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48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54.22</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-8.55*** (1.55; p=0.000)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+2.18 (1.58; p=0.175)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0.36</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299.6</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H. purpurascens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21</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30.78</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-3.67* (1.35; p=0.016)</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-1.29 (1.36; p=0.360)</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0.19</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0.47</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110.3</w:t>
            </w:r>
          </w:p>
        </w:tc>
      </w:tr>
      <w:tr>
        <w:tc>
          <w:tcPr>
            <w:tcW w:type="dxa" w:w="1550"/>
            <w:tcMar>
              <w:top w:type="dxa" w:w="45"/>
              <w:left w:type="dxa" w:w="70"/>
              <w:bottom w:type="dxa" w:w="45"/>
              <w:right w:type="dxa" w:w="70"/>
            </w:tcMar>
          </w:tcPr>
          <w:p>
            <w:pPr>
              <w:spacing w:after="0"/>
              <w:jc w:val="left"/>
            </w:pPr>
            <w:r>
              <w:rPr>
                <w:rFonts w:ascii="Calibri" w:cs="Calibri" w:eastAsia="Calibri" w:hAnsi="Calibri"/>
                <w:i/>
                <w:iCs/>
                <w:sz w:val="15"/>
                <w:szCs w:val="15"/>
              </w:rPr>
              <w:t xml:space="preserve">W. loxensis</w:t>
            </w:r>
          </w:p>
        </w:tc>
        <w:tc>
          <w:tcPr>
            <w:tcW w:type="dxa" w:w="620"/>
            <w:tcMar>
              <w:top w:type="dxa" w:w="45"/>
              <w:left w:type="dxa" w:w="70"/>
              <w:bottom w:type="dxa" w:w="45"/>
              <w:right w:type="dxa" w:w="70"/>
            </w:tcMar>
          </w:tcPr>
          <w:p>
            <w:pPr>
              <w:spacing w:after="0"/>
              <w:jc w:val="center"/>
            </w:pPr>
            <w:r>
              <w:rPr>
                <w:rFonts w:ascii="Calibri" w:cs="Calibri" w:eastAsia="Calibri" w:hAnsi="Calibri"/>
                <w:sz w:val="15"/>
                <w:szCs w:val="15"/>
              </w:rPr>
              <w:t xml:space="preserve">3000</w:t>
            </w:r>
          </w:p>
        </w:tc>
        <w:tc>
          <w:tcPr>
            <w:tcW w:type="dxa" w:w="480"/>
            <w:tcMar>
              <w:top w:type="dxa" w:w="45"/>
              <w:left w:type="dxa" w:w="70"/>
              <w:bottom w:type="dxa" w:w="45"/>
              <w:right w:type="dxa" w:w="70"/>
            </w:tcMar>
          </w:tcPr>
          <w:p>
            <w:pPr>
              <w:spacing w:after="0"/>
              <w:jc w:val="center"/>
            </w:pPr>
            <w:r>
              <w:rPr>
                <w:rFonts w:ascii="Calibri" w:cs="Calibri" w:eastAsia="Calibri" w:hAnsi="Calibri"/>
                <w:sz w:val="15"/>
                <w:szCs w:val="15"/>
              </w:rPr>
              <w:t xml:space="preserve">18</w:t>
            </w:r>
          </w:p>
        </w:tc>
        <w:tc>
          <w:tcPr>
            <w:tcW w:type="dxa" w:w="640"/>
            <w:tcMar>
              <w:top w:type="dxa" w:w="45"/>
              <w:left w:type="dxa" w:w="70"/>
              <w:bottom w:type="dxa" w:w="45"/>
              <w:right w:type="dxa" w:w="70"/>
            </w:tcMar>
          </w:tcPr>
          <w:p>
            <w:pPr>
              <w:spacing w:after="0"/>
              <w:jc w:val="center"/>
            </w:pPr>
            <w:r>
              <w:rPr>
                <w:rFonts w:ascii="Calibri" w:cs="Calibri" w:eastAsia="Calibri" w:hAnsi="Calibri"/>
                <w:sz w:val="15"/>
                <w:szCs w:val="15"/>
              </w:rPr>
              <w:t xml:space="preserve">N + P</w:t>
            </w:r>
          </w:p>
        </w:tc>
        <w:tc>
          <w:tcPr>
            <w:tcW w:type="dxa" w:w="800"/>
            <w:tcMar>
              <w:top w:type="dxa" w:w="45"/>
              <w:left w:type="dxa" w:w="70"/>
              <w:bottom w:type="dxa" w:w="45"/>
              <w:right w:type="dxa" w:w="70"/>
            </w:tcMar>
          </w:tcPr>
          <w:p>
            <w:pPr>
              <w:spacing w:after="0"/>
              <w:jc w:val="center"/>
            </w:pPr>
            <w:r>
              <w:rPr>
                <w:rFonts w:ascii="Calibri" w:cs="Calibri" w:eastAsia="Calibri" w:hAnsi="Calibri"/>
                <w:sz w:val="15"/>
                <w:szCs w:val="15"/>
              </w:rPr>
              <w:t xml:space="preserve">43.15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-2.50 (2.77; p=0.383)</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-0.36 (6.23; p=0.955)</w:t>
            </w:r>
          </w:p>
        </w:tc>
        <w:tc>
          <w:tcPr>
            <w:tcW w:type="dxa" w:w="2500"/>
            <w:tcMar>
              <w:top w:type="dxa" w:w="45"/>
              <w:left w:type="dxa" w:w="70"/>
              <w:bottom w:type="dxa" w:w="45"/>
              <w:right w:type="dxa" w:w="70"/>
            </w:tcMar>
          </w:tcPr>
          <w:p>
            <w:pPr>
              <w:spacing w:after="0"/>
              <w:jc w:val="center"/>
            </w:pPr>
            <w:r>
              <w:rPr>
                <w:rFonts w:ascii="Calibri" w:cs="Calibri" w:eastAsia="Calibri" w:hAnsi="Calibri"/>
                <w:sz w:val="15"/>
                <w:szCs w:val="15"/>
              </w:rPr>
              <w:t xml:space="preserve">—</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0.05</w:t>
            </w:r>
          </w:p>
        </w:tc>
        <w:tc>
          <w:tcPr>
            <w:tcW w:type="dxa" w:w="570"/>
            <w:tcMar>
              <w:top w:type="dxa" w:w="45"/>
              <w:left w:type="dxa" w:w="70"/>
              <w:bottom w:type="dxa" w:w="45"/>
              <w:right w:type="dxa" w:w="70"/>
            </w:tcMar>
          </w:tcPr>
          <w:p>
            <w:pPr>
              <w:spacing w:after="0"/>
              <w:jc w:val="center"/>
            </w:pPr>
            <w:r>
              <w:rPr>
                <w:rFonts w:ascii="Calibri" w:cs="Calibri" w:eastAsia="Calibri" w:hAnsi="Calibri"/>
                <w:sz w:val="15"/>
                <w:szCs w:val="15"/>
              </w:rPr>
              <w:t xml:space="preserve">0.05</w:t>
            </w:r>
          </w:p>
        </w:tc>
        <w:tc>
          <w:tcPr>
            <w:tcW w:type="dxa" w:w="770"/>
            <w:tcMar>
              <w:top w:type="dxa" w:w="45"/>
              <w:left w:type="dxa" w:w="70"/>
              <w:bottom w:type="dxa" w:w="45"/>
              <w:right w:type="dxa" w:w="70"/>
            </w:tcMar>
          </w:tcPr>
          <w:p>
            <w:pPr>
              <w:spacing w:after="0"/>
              <w:jc w:val="center"/>
            </w:pPr>
            <w:r>
              <w:rPr>
                <w:rFonts w:ascii="Calibri" w:cs="Calibri" w:eastAsia="Calibri" w:hAnsi="Calibri"/>
                <w:sz w:val="15"/>
                <w:szCs w:val="15"/>
              </w:rPr>
              <w:t xml:space="preserve">107.1</w:t>
            </w:r>
          </w:p>
        </w:tc>
      </w:tr>
    </w:tbl>
    <w:p>
      <w:pPr>
        <w:spacing w:after="200" w:before="70"/>
      </w:pPr>
      <w:r>
        <w:rPr>
          <w:rFonts w:ascii="Calibri" w:cs="Calibri" w:eastAsia="Calibri" w:hAnsi="Calibri"/>
          <w:i/>
          <w:iCs/>
          <w:color w:val="555555"/>
          <w:sz w:val="16"/>
          <w:szCs w:val="16"/>
        </w:rPr>
        <w:t xml:space="preserve">Tabla 3. Efectos sobre concentraciones foliares por masa y por área, y sobre las razones estequiométricas.</w:t>
      </w:r>
    </w:p>
    <w:p>
      <w:pPr>
        <w:spacing w:after="120" w:line="276"/>
      </w:pPr>
      <w:r>
        <w:rPr>
          <w:rFonts w:ascii="Calibri" w:cs="Calibri" w:eastAsia="Calibri" w:hAnsi="Calibri"/>
          <w:b/>
          <w:bCs/>
          <w:sz w:val="20"/>
          <w:szCs w:val="20"/>
        </w:rPr>
        <w:t xml:space="preserve">Éste es el bloque con la señal más fuerte y coherente. </w:t>
      </w:r>
      <w:r>
        <w:rPr>
          <w:rFonts w:ascii="Calibri" w:cs="Calibri" w:eastAsia="Calibri" w:hAnsi="Calibri"/>
          <w:sz w:val="20"/>
          <w:szCs w:val="20"/>
        </w:rPr>
        <w:t xml:space="preserve">La adición de N eleva el N foliar en cuatro de seis especies y la de P eleva el P foliar en las seis, por masa y por área. N:P baja con P y sube con N; C:N desciende con N en cuatro especies. Los R² marginales son aquí sustancialmente mayores que en el bloque fisiológico, lo que cuantifica el contraste central del trabajo.</w:t>
      </w:r>
    </w:p>
    <w:p>
      <w:pPr>
        <w:spacing w:after="120" w:line="276"/>
      </w:pPr>
      <w:r>
        <w:rPr>
          <w:rFonts w:ascii="Calibri" w:cs="Calibri" w:eastAsia="Calibri" w:hAnsi="Calibri"/>
          <w:sz w:val="20"/>
          <w:szCs w:val="20"/>
        </w:rPr>
        <w:t xml:space="preserve">La interacción N×P se selecciona sistemáticamente para las variables de fósforo en Myrcia sp. nov., H. purpurascens y W. loxensis, siempre con término negativo: el aumento de P foliar bajo adición de P es menor cuando también se añade N. Es consistente con una mayor demanda de P al aliviarse la limitación por N.</w:t>
      </w:r>
    </w:p>
    <w:p>
      <w:r>
        <w:br w:type="page"/>
      </w:r>
    </w:p>
    <w:p>
      <w:pPr>
        <w:pStyle w:val="Heading1"/>
        <w:spacing w:after="130" w:before="260"/>
      </w:pPr>
      <w:r>
        <w:rPr>
          <w:rFonts w:ascii="Calibri" w:cs="Calibri" w:eastAsia="Calibri" w:hAnsi="Calibri"/>
        </w:rPr>
        <w:t xml:space="preserve">Anexo · Casos en que se retuvo la interacción</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gridCol w:w="4500"/>
      </w:tblGrid>
      <w:tr>
        <w:trPr>
          <w:tblHeader/>
        </w:trPr>
        <w:tc>
          <w:tcPr>
            <w:tcW w:type="dxa" w:w="45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Variable</w:t>
            </w:r>
          </w:p>
        </w:tc>
        <w:tc>
          <w:tcPr>
            <w:tcW w:type="dxa" w:w="45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Especie</w:t>
            </w:r>
          </w:p>
        </w:tc>
        <w:tc>
          <w:tcPr>
            <w:tcW w:type="dxa" w:w="45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p del LRT</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iWUE original</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P. torta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0.024</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iWUE Bernacchi</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P. torta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0.024</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δ¹³C celulosa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P. torta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0.024</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Ci/Ca original</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P. torta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0.024</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Ci/Ca Bernacchi</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P. torta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0.024</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Grosor</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C. racemosa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0.002</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C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C. racemosa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0.042</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log C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C. racemosa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0.043</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P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Myrcia sp. nov.</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0.001</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P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H. purpurascens</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0.004</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P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W. loxensis</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0.001</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log P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Myrcia sp. nov.</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0.002</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log P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H. purpurascens</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0.002</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log P masa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W. loxensis</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0.0001</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P área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Myrcia sp. nov.</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0.001</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P área</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W. loxensis</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0.001</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N:P foliar</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Myrcia sp. nov.</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0.020</w:t>
            </w:r>
          </w:p>
        </w:tc>
      </w:tr>
      <w:tr>
        <w:tc>
          <w:tcPr>
            <w:tcW w:type="dxa" w:w="4500"/>
            <w:tcMar>
              <w:top w:type="dxa" w:w="45"/>
              <w:left w:type="dxa" w:w="70"/>
              <w:bottom w:type="dxa" w:w="45"/>
              <w:right w:type="dxa" w:w="70"/>
            </w:tcMar>
          </w:tcPr>
          <w:p>
            <w:pPr>
              <w:spacing w:after="0"/>
              <w:jc w:val="left"/>
            </w:pPr>
            <w:r>
              <w:rPr>
                <w:rFonts w:ascii="Calibri" w:cs="Calibri" w:eastAsia="Calibri" w:hAnsi="Calibri"/>
                <w:sz w:val="17"/>
                <w:szCs w:val="17"/>
              </w:rPr>
              <w:t xml:space="preserve">N:P foliar</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W. loxensis</w:t>
            </w:r>
          </w:p>
        </w:tc>
        <w:tc>
          <w:tcPr>
            <w:tcW w:type="dxa" w:w="4500"/>
            <w:tcMar>
              <w:top w:type="dxa" w:w="45"/>
              <w:left w:type="dxa" w:w="70"/>
              <w:bottom w:type="dxa" w:w="45"/>
              <w:right w:type="dxa" w:w="70"/>
            </w:tcMar>
          </w:tcPr>
          <w:p>
            <w:pPr>
              <w:spacing w:after="0"/>
              <w:jc w:val="center"/>
            </w:pPr>
            <w:r>
              <w:rPr>
                <w:rFonts w:ascii="Calibri" w:cs="Calibri" w:eastAsia="Calibri" w:hAnsi="Calibri"/>
                <w:sz w:val="17"/>
                <w:szCs w:val="17"/>
              </w:rPr>
              <w:t xml:space="preserve">0.002</w:t>
            </w:r>
          </w:p>
        </w:tc>
      </w:tr>
    </w:tbl>
    <w:p>
      <w:pPr>
        <w:spacing w:after="200" w:before="70"/>
      </w:pPr>
      <w:r>
        <w:rPr>
          <w:rFonts w:ascii="Calibri" w:cs="Calibri" w:eastAsia="Calibri" w:hAnsi="Calibri"/>
          <w:i/>
          <w:iCs/>
          <w:color w:val="555555"/>
          <w:sz w:val="16"/>
          <w:szCs w:val="16"/>
        </w:rPr>
        <w:t xml:space="preserve">Tabla A1. Las 18 combinaciones (de 132) en que el LRT favoreció el modelo con interacción.</w:t>
      </w:r>
    </w:p>
    <w:p>
      <w:pPr>
        <w:spacing w:after="120" w:line="276"/>
      </w:pPr>
      <w:r>
        <w:rPr>
          <w:rFonts w:ascii="Calibri" w:cs="Calibri" w:eastAsia="Calibri" w:hAnsi="Calibri"/>
          <w:sz w:val="20"/>
          <w:szCs w:val="20"/>
        </w:rPr>
        <w:t xml:space="preserve">El patrón no es aleatorio. Las cinco entradas de P. torta corresponden a la misma medición isotópica expresada de cinco maneras, de modo que son un único caso. Las nueve entradas de fósforo en Myrcia, H. purpurascens y W. loxensis reflejan un fenómeno consistente. Las demás son aisladas y conviene tratarlas con cautela.</w:t>
      </w:r>
    </w:p>
    <w:p>
      <w:pPr>
        <w:sectPr>
          <w:pgSz w:w="16838" w:h="11906" w:orient="landscape"/>
          <w:pgMar w:top="900" w:right="1000" w:bottom="900" w:left="1000" w:header="708" w:footer="708" w:gutter="0"/>
          <w:pgNumType/>
          <w:docGrid w:linePitch="360"/>
        </w:sectPr>
      </w:pPr>
    </w:p>
    <w:p>
      <w:pPr>
        <w:pStyle w:val="Heading1"/>
        <w:spacing w:after="130" w:before="260"/>
      </w:pPr>
      <w:r>
        <w:rPr>
          <w:rFonts w:ascii="Calibri" w:cs="Calibri" w:eastAsia="Calibri" w:hAnsi="Calibri"/>
        </w:rPr>
        <w:t xml:space="preserve">3. Código de color y criterios de presentación</w:t>
      </w:r>
    </w:p>
    <w:p>
      <w:pPr>
        <w:spacing w:after="120" w:line="276"/>
      </w:pPr>
      <w:r>
        <w:rPr>
          <w:rFonts w:ascii="Calibri" w:cs="Calibri" w:eastAsia="Calibri" w:hAnsi="Calibri"/>
          <w:sz w:val="20"/>
          <w:szCs w:val="20"/>
        </w:rPr>
        <w:t xml:space="preserve">Todas las figuras usan el mismo esquema, definido una sola vez en el Rmd (chunk «paleta»), de modo que cambiarlo allí lo propaga a todo el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500"/>
        <w:gridCol w:w="3700"/>
      </w:tblGrid>
      <w:tr>
        <w:trPr>
          <w:tblHeader/>
        </w:trPr>
        <w:tc>
          <w:tcPr>
            <w:tcW w:type="dxa" w:w="17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Tratamiento</w:t>
            </w:r>
          </w:p>
        </w:tc>
        <w:tc>
          <w:tcPr>
            <w:tcW w:type="dxa" w:w="21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Color</w:t>
            </w:r>
          </w:p>
        </w:tc>
        <w:tc>
          <w:tcPr>
            <w:tcW w:type="dxa" w:w="15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Hex</w:t>
            </w:r>
          </w:p>
        </w:tc>
        <w:tc>
          <w:tcPr>
            <w:tcW w:type="dxa" w:w="37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Uso</w:t>
            </w:r>
          </w:p>
        </w:tc>
      </w:tr>
      <w:tr>
        <w:tc>
          <w:tcPr>
            <w:tcW w:type="dxa" w:w="1700"/>
            <w:tcMar>
              <w:top w:type="dxa" w:w="45"/>
              <w:left w:type="dxa" w:w="70"/>
              <w:bottom w:type="dxa" w:w="45"/>
              <w:right w:type="dxa" w:w="70"/>
            </w:tcMar>
          </w:tcPr>
          <w:p>
            <w:pPr>
              <w:spacing w:after="0"/>
              <w:jc w:val="left"/>
            </w:pPr>
            <w:r>
              <w:rPr>
                <w:rFonts w:ascii="Calibri" w:cs="Calibri" w:eastAsia="Calibri" w:hAnsi="Calibri"/>
                <w:sz w:val="17"/>
                <w:szCs w:val="17"/>
              </w:rPr>
              <w:t xml:space="preserve">N</w:t>
            </w:r>
          </w:p>
        </w:tc>
        <w:tc>
          <w:tcPr>
            <w:tcW w:type="dxa" w:w="2100"/>
            <w:tcMar>
              <w:top w:type="dxa" w:w="45"/>
              <w:left w:type="dxa" w:w="70"/>
              <w:bottom w:type="dxa" w:w="45"/>
              <w:right w:type="dxa" w:w="70"/>
            </w:tcMar>
          </w:tcPr>
          <w:p>
            <w:pPr>
              <w:spacing w:after="0"/>
              <w:jc w:val="center"/>
            </w:pPr>
            <w:r>
              <w:rPr>
                <w:rFonts w:ascii="Calibri" w:cs="Calibri" w:eastAsia="Calibri" w:hAnsi="Calibri"/>
                <w:sz w:val="17"/>
                <w:szCs w:val="17"/>
              </w:rPr>
              <w:t xml:space="preserve">Azul</w:t>
            </w:r>
          </w:p>
        </w:tc>
        <w:tc>
          <w:tcPr>
            <w:tcW w:type="dxa" w:w="1500"/>
            <w:tcMar>
              <w:top w:type="dxa" w:w="45"/>
              <w:left w:type="dxa" w:w="70"/>
              <w:bottom w:type="dxa" w:w="45"/>
              <w:right w:type="dxa" w:w="70"/>
            </w:tcMar>
          </w:tcPr>
          <w:p>
            <w:pPr>
              <w:spacing w:after="0"/>
              <w:jc w:val="center"/>
            </w:pPr>
            <w:r>
              <w:rPr>
                <w:rFonts w:ascii="Calibri" w:cs="Calibri" w:eastAsia="Calibri" w:hAnsi="Calibri"/>
                <w:sz w:val="17"/>
                <w:szCs w:val="17"/>
              </w:rPr>
              <w:t xml:space="preserve">#2c6fbb</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Puntos, barras y coeficientes de adición de nitrógeno</w:t>
            </w:r>
          </w:p>
        </w:tc>
      </w:tr>
      <w:tr>
        <w:tc>
          <w:tcPr>
            <w:tcW w:type="dxa" w:w="1700"/>
            <w:tcMar>
              <w:top w:type="dxa" w:w="45"/>
              <w:left w:type="dxa" w:w="70"/>
              <w:bottom w:type="dxa" w:w="45"/>
              <w:right w:type="dxa" w:w="70"/>
            </w:tcMar>
          </w:tcPr>
          <w:p>
            <w:pPr>
              <w:spacing w:after="0"/>
              <w:jc w:val="left"/>
            </w:pPr>
            <w:r>
              <w:rPr>
                <w:rFonts w:ascii="Calibri" w:cs="Calibri" w:eastAsia="Calibri" w:hAnsi="Calibri"/>
                <w:sz w:val="17"/>
                <w:szCs w:val="17"/>
              </w:rPr>
              <w:t xml:space="preserve">P</w:t>
            </w:r>
          </w:p>
        </w:tc>
        <w:tc>
          <w:tcPr>
            <w:tcW w:type="dxa" w:w="2100"/>
            <w:tcMar>
              <w:top w:type="dxa" w:w="45"/>
              <w:left w:type="dxa" w:w="70"/>
              <w:bottom w:type="dxa" w:w="45"/>
              <w:right w:type="dxa" w:w="70"/>
            </w:tcMar>
          </w:tcPr>
          <w:p>
            <w:pPr>
              <w:spacing w:after="0"/>
              <w:jc w:val="center"/>
            </w:pPr>
            <w:r>
              <w:rPr>
                <w:rFonts w:ascii="Calibri" w:cs="Calibri" w:eastAsia="Calibri" w:hAnsi="Calibri"/>
                <w:sz w:val="17"/>
                <w:szCs w:val="17"/>
              </w:rPr>
              <w:t xml:space="preserve">Rojo</w:t>
            </w:r>
          </w:p>
        </w:tc>
        <w:tc>
          <w:tcPr>
            <w:tcW w:type="dxa" w:w="1500"/>
            <w:tcMar>
              <w:top w:type="dxa" w:w="45"/>
              <w:left w:type="dxa" w:w="70"/>
              <w:bottom w:type="dxa" w:w="45"/>
              <w:right w:type="dxa" w:w="70"/>
            </w:tcMar>
          </w:tcPr>
          <w:p>
            <w:pPr>
              <w:spacing w:after="0"/>
              <w:jc w:val="center"/>
            </w:pPr>
            <w:r>
              <w:rPr>
                <w:rFonts w:ascii="Calibri" w:cs="Calibri" w:eastAsia="Calibri" w:hAnsi="Calibri"/>
                <w:sz w:val="17"/>
                <w:szCs w:val="17"/>
              </w:rPr>
              <w:t xml:space="preserve">#c0392b</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Adición de fósforo</w:t>
            </w:r>
          </w:p>
        </w:tc>
      </w:tr>
      <w:tr>
        <w:tc>
          <w:tcPr>
            <w:tcW w:type="dxa" w:w="1700"/>
            <w:tcMar>
              <w:top w:type="dxa" w:w="45"/>
              <w:left w:type="dxa" w:w="70"/>
              <w:bottom w:type="dxa" w:w="45"/>
              <w:right w:type="dxa" w:w="70"/>
            </w:tcMar>
          </w:tcPr>
          <w:p>
            <w:pPr>
              <w:spacing w:after="0"/>
              <w:jc w:val="left"/>
            </w:pPr>
            <w:r>
              <w:rPr>
                <w:rFonts w:ascii="Calibri" w:cs="Calibri" w:eastAsia="Calibri" w:hAnsi="Calibri"/>
                <w:sz w:val="17"/>
                <w:szCs w:val="17"/>
              </w:rPr>
              <w:t xml:space="preserve">N+P / N×P</w:t>
            </w:r>
          </w:p>
        </w:tc>
        <w:tc>
          <w:tcPr>
            <w:tcW w:type="dxa" w:w="2100"/>
            <w:tcMar>
              <w:top w:type="dxa" w:w="45"/>
              <w:left w:type="dxa" w:w="70"/>
              <w:bottom w:type="dxa" w:w="45"/>
              <w:right w:type="dxa" w:w="70"/>
            </w:tcMar>
          </w:tcPr>
          <w:p>
            <w:pPr>
              <w:spacing w:after="0"/>
              <w:jc w:val="center"/>
            </w:pPr>
            <w:r>
              <w:rPr>
                <w:rFonts w:ascii="Calibri" w:cs="Calibri" w:eastAsia="Calibri" w:hAnsi="Calibri"/>
                <w:sz w:val="17"/>
                <w:szCs w:val="17"/>
              </w:rPr>
              <w:t xml:space="preserve">Gris</w:t>
            </w:r>
          </w:p>
        </w:tc>
        <w:tc>
          <w:tcPr>
            <w:tcW w:type="dxa" w:w="1500"/>
            <w:tcMar>
              <w:top w:type="dxa" w:w="45"/>
              <w:left w:type="dxa" w:w="70"/>
              <w:bottom w:type="dxa" w:w="45"/>
              <w:right w:type="dxa" w:w="70"/>
            </w:tcMar>
          </w:tcPr>
          <w:p>
            <w:pPr>
              <w:spacing w:after="0"/>
              <w:jc w:val="center"/>
            </w:pPr>
            <w:r>
              <w:rPr>
                <w:rFonts w:ascii="Calibri" w:cs="Calibri" w:eastAsia="Calibri" w:hAnsi="Calibri"/>
                <w:sz w:val="17"/>
                <w:szCs w:val="17"/>
              </w:rPr>
              <w:t xml:space="preserve">#7f7f7f</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Tratamiento combinado y término de interacción</w:t>
            </w:r>
          </w:p>
        </w:tc>
      </w:tr>
      <w:tr>
        <w:tc>
          <w:tcPr>
            <w:tcW w:type="dxa" w:w="1700"/>
            <w:tcMar>
              <w:top w:type="dxa" w:w="45"/>
              <w:left w:type="dxa" w:w="70"/>
              <w:bottom w:type="dxa" w:w="45"/>
              <w:right w:type="dxa" w:w="70"/>
            </w:tcMar>
          </w:tcPr>
          <w:p>
            <w:pPr>
              <w:spacing w:after="0"/>
              <w:jc w:val="left"/>
            </w:pPr>
            <w:r>
              <w:rPr>
                <w:rFonts w:ascii="Calibri" w:cs="Calibri" w:eastAsia="Calibri" w:hAnsi="Calibri"/>
                <w:sz w:val="17"/>
                <w:szCs w:val="17"/>
              </w:rPr>
              <w:t xml:space="preserve">Control</w:t>
            </w:r>
          </w:p>
        </w:tc>
        <w:tc>
          <w:tcPr>
            <w:tcW w:type="dxa" w:w="2100"/>
            <w:tcMar>
              <w:top w:type="dxa" w:w="45"/>
              <w:left w:type="dxa" w:w="70"/>
              <w:bottom w:type="dxa" w:w="45"/>
              <w:right w:type="dxa" w:w="70"/>
            </w:tcMar>
          </w:tcPr>
          <w:p>
            <w:pPr>
              <w:spacing w:after="0"/>
              <w:jc w:val="center"/>
            </w:pPr>
            <w:r>
              <w:rPr>
                <w:rFonts w:ascii="Calibri" w:cs="Calibri" w:eastAsia="Calibri" w:hAnsi="Calibri"/>
                <w:sz w:val="17"/>
                <w:szCs w:val="17"/>
              </w:rPr>
              <w:t xml:space="preserve">Blanco con borde negro</w:t>
            </w:r>
          </w:p>
        </w:tc>
        <w:tc>
          <w:tcPr>
            <w:tcW w:type="dxa" w:w="1500"/>
            <w:tcMar>
              <w:top w:type="dxa" w:w="45"/>
              <w:left w:type="dxa" w:w="70"/>
              <w:bottom w:type="dxa" w:w="45"/>
              <w:right w:type="dxa" w:w="70"/>
            </w:tcMar>
          </w:tcPr>
          <w:p>
            <w:pPr>
              <w:spacing w:after="0"/>
              <w:jc w:val="center"/>
            </w:pPr>
            <w:r>
              <w:rPr>
                <w:rFonts w:ascii="Calibri" w:cs="Calibri" w:eastAsia="Calibri" w:hAnsi="Calibri"/>
                <w:sz w:val="17"/>
                <w:szCs w:val="17"/>
              </w:rPr>
              <w:t xml:space="preserve">#ffffff</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Referencia; se acompaña de línea discontinua</w:t>
            </w:r>
          </w:p>
        </w:tc>
      </w:tr>
    </w:tbl>
    <w:p>
      <w:pPr>
        <w:spacing w:after="200" w:before="70"/>
      </w:pPr>
      <w:r>
        <w:rPr>
          <w:rFonts w:ascii="Calibri" w:cs="Calibri" w:eastAsia="Calibri" w:hAnsi="Calibri"/>
          <w:i/>
          <w:iCs/>
          <w:color w:val="555555"/>
          <w:sz w:val="16"/>
          <w:szCs w:val="16"/>
        </w:rPr>
        <w:t xml:space="preserve">Tabla B. Código de color del proyecto, aplicado de forma consistente.</w:t>
      </w:r>
    </w:p>
    <w:p>
      <w:pPr>
        <w:spacing w:after="120" w:line="276"/>
      </w:pPr>
      <w:r>
        <w:rPr>
          <w:rFonts w:ascii="Calibri" w:cs="Calibri" w:eastAsia="Calibri" w:hAnsi="Calibri"/>
          <w:b/>
          <w:bCs/>
          <w:sz w:val="20"/>
          <w:szCs w:val="20"/>
        </w:rPr>
        <w:t xml:space="preserve">Sugerencias sobre la paleta. </w:t>
      </w:r>
      <w:r>
        <w:rPr>
          <w:rFonts w:ascii="Calibri" w:cs="Calibri" w:eastAsia="Calibri" w:hAnsi="Calibri"/>
          <w:sz w:val="20"/>
          <w:szCs w:val="20"/>
        </w:rPr>
        <w:t xml:space="preserve">El par azul–rojo es el contraste más legible posible y funciona bien en pantalla. Tiene, sin embargo, dos limitaciones que conviene considerar antes de enviar.</w:t>
      </w:r>
    </w:p>
    <w:p>
      <w:pPr>
        <w:pStyle w:val="ListParagraph"/>
        <w:numPr>
          <w:ilvl w:val="0"/>
          <w:numId w:val="2"/>
        </w:numPr>
        <w:spacing w:after="70" w:line="270"/>
      </w:pPr>
      <w:r>
        <w:rPr>
          <w:rFonts w:ascii="Calibri" w:cs="Calibri" w:eastAsia="Calibri" w:hAnsi="Calibri"/>
          <w:sz w:val="20"/>
          <w:szCs w:val="20"/>
        </w:rPr>
        <w:t xml:space="preserve">Daltonismo. El azul #2c6fbb y el rojo #c0392b se distinguen bien en deuteranopia y protanopia, que son las formas más comunes, así que la elección es segura. El riesgo está en el gris intermedio: si se imprime en escala de grises, azul y rojo convergen. Por eso las figuras usan además forma distinta (círculo para N, cuadrado para P) en la figura del resultado nulo, y posición fija en el eje x en las demás. El color nunca es el único canal.</w:t>
      </w:r>
    </w:p>
    <w:p>
      <w:pPr>
        <w:pStyle w:val="ListParagraph"/>
        <w:numPr>
          <w:ilvl w:val="0"/>
          <w:numId w:val="2"/>
        </w:numPr>
        <w:spacing w:after="70" w:line="270"/>
      </w:pPr>
      <w:r>
        <w:rPr>
          <w:rFonts w:ascii="Calibri" w:cs="Calibri" w:eastAsia="Calibri" w:hAnsi="Calibri"/>
          <w:sz w:val="20"/>
          <w:szCs w:val="20"/>
        </w:rPr>
        <w:t xml:space="preserve">Convención cromática. En la literatura de fertilización el rojo suele asociarse a N y el azul a P, por analogía con los colores de las etiquetas de fertilizante NPK. Si se quisiera seguir esa convención bastaría intercambiar C_N y C_P en el chunk «paleta». La recomendación es mantener el esquema actual por consistencia con el resto del proyecto, y declararlo explícitamente en el pie de cada figura, que es lo que hacen las versiones adjuntas.</w:t>
      </w:r>
    </w:p>
    <w:p>
      <w:pPr>
        <w:pStyle w:val="ListParagraph"/>
        <w:numPr>
          <w:ilvl w:val="0"/>
          <w:numId w:val="2"/>
        </w:numPr>
        <w:spacing w:after="70" w:line="270"/>
      </w:pPr>
      <w:r>
        <w:rPr>
          <w:rFonts w:ascii="Calibri" w:cs="Calibri" w:eastAsia="Calibri" w:hAnsi="Calibri"/>
          <w:sz w:val="20"/>
          <w:szCs w:val="20"/>
        </w:rPr>
        <w:t xml:space="preserve">Alternativa segura si se quiere evitar la ambigüedad en gris: sustituir el rojo por el naranja #d95f02 y el azul por #1b9e77 (paleta Dark2 de ColorBrewer, diseñada para ser distinguible en impresión monocroma).</w:t>
      </w:r>
    </w:p>
    <w:p>
      <w:pPr>
        <w:pStyle w:val="Heading1"/>
        <w:spacing w:after="130" w:before="260"/>
      </w:pPr>
      <w:r>
        <w:rPr>
          <w:rFonts w:ascii="Calibri" w:cs="Calibri" w:eastAsia="Calibri" w:hAnsi="Calibri"/>
        </w:rPr>
        <w:t xml:space="preserve">4. Medias marginales frente a coeficientes</w:t>
      </w:r>
    </w:p>
    <w:p>
      <w:pPr>
        <w:spacing w:after="120" w:line="276"/>
      </w:pPr>
      <w:r>
        <w:rPr>
          <w:rFonts w:ascii="Calibri" w:cs="Calibri" w:eastAsia="Calibri" w:hAnsi="Calibri"/>
          <w:sz w:val="20"/>
          <w:szCs w:val="20"/>
        </w:rPr>
        <w:t xml:space="preserve">Ambas representaciones contienen la misma información. En un modelo aditivo, la media marginal del tratamiento N+P es exactamente intercepto + b_N + b_P: no es la media observada de esa celda, sino una predicción que el modelo aditivo impone. Conviene saberlo porque 114 de los 132 modelos son aditivos, y en ellos el cuarto punto no aporta información independiente.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00"/>
      </w:tblGrid>
      <w:tr>
        <w:trPr>
          <w:tblHeader/>
        </w:trPr>
        <w:tc>
          <w:tcPr>
            <w:tcW w:type="dxa" w:w="16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
            </w:r>
          </w:p>
        </w:tc>
        <w:tc>
          <w:tcPr>
            <w:tcW w:type="dxa" w:w="37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Medias marginales</w:t>
            </w:r>
          </w:p>
        </w:tc>
        <w:tc>
          <w:tcPr>
            <w:tcW w:type="dxa" w:w="37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Coeficientes</w:t>
            </w:r>
          </w:p>
        </w:tc>
      </w:tr>
      <w:tr>
        <w:tc>
          <w:tcPr>
            <w:tcW w:type="dxa" w:w="1600"/>
            <w:tcMar>
              <w:top w:type="dxa" w:w="45"/>
              <w:left w:type="dxa" w:w="70"/>
              <w:bottom w:type="dxa" w:w="45"/>
              <w:right w:type="dxa" w:w="70"/>
            </w:tcMar>
          </w:tcPr>
          <w:p>
            <w:pPr>
              <w:spacing w:after="0"/>
              <w:jc w:val="left"/>
            </w:pPr>
            <w:r>
              <w:rPr>
                <w:rFonts w:ascii="Calibri" w:cs="Calibri" w:eastAsia="Calibri" w:hAnsi="Calibri"/>
                <w:sz w:val="17"/>
                <w:szCs w:val="17"/>
              </w:rPr>
              <w:t xml:space="preserve">Ventaja</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Muestran magnitud y contexto; la estructura factorial se lee de un vistazo</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La posición del intervalo respecto al cero es el test; escala común entre especies</w:t>
            </w:r>
          </w:p>
        </w:tc>
      </w:tr>
      <w:tr>
        <w:tc>
          <w:tcPr>
            <w:tcW w:type="dxa" w:w="1600"/>
            <w:tcMar>
              <w:top w:type="dxa" w:w="45"/>
              <w:left w:type="dxa" w:w="70"/>
              <w:bottom w:type="dxa" w:w="45"/>
              <w:right w:type="dxa" w:w="70"/>
            </w:tcMar>
          </w:tcPr>
          <w:p>
            <w:pPr>
              <w:spacing w:after="0"/>
              <w:jc w:val="left"/>
            </w:pPr>
            <w:r>
              <w:rPr>
                <w:rFonts w:ascii="Calibri" w:cs="Calibri" w:eastAsia="Calibri" w:hAnsi="Calibri"/>
                <w:sz w:val="17"/>
                <w:szCs w:val="17"/>
              </w:rPr>
              <w:t xml:space="preserve">Inconveniente</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El solapamiento de intervalos NO equivale a no significación</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No dan idea de la magnitud relativa ni del nivel de partida</w:t>
            </w:r>
          </w:p>
        </w:tc>
      </w:tr>
      <w:tr>
        <w:tc>
          <w:tcPr>
            <w:tcW w:type="dxa" w:w="1600"/>
            <w:tcMar>
              <w:top w:type="dxa" w:w="45"/>
              <w:left w:type="dxa" w:w="70"/>
              <w:bottom w:type="dxa" w:w="45"/>
              <w:right w:type="dxa" w:w="70"/>
            </w:tcMar>
          </w:tcPr>
          <w:p>
            <w:pPr>
              <w:spacing w:after="0"/>
              <w:jc w:val="left"/>
            </w:pPr>
            <w:r>
              <w:rPr>
                <w:rFonts w:ascii="Calibri" w:cs="Calibri" w:eastAsia="Calibri" w:hAnsi="Calibri"/>
                <w:sz w:val="17"/>
                <w:szCs w:val="17"/>
              </w:rPr>
              <w:t xml:space="preserve">Cuándo usarlas</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Cuando hay efecto que mostrar, o interacción</w:t>
            </w:r>
          </w:p>
        </w:tc>
        <w:tc>
          <w:tcPr>
            <w:tcW w:type="dxa" w:w="3700"/>
            <w:tcMar>
              <w:top w:type="dxa" w:w="45"/>
              <w:left w:type="dxa" w:w="70"/>
              <w:bottom w:type="dxa" w:w="45"/>
              <w:right w:type="dxa" w:w="70"/>
            </w:tcMar>
          </w:tcPr>
          <w:p>
            <w:pPr>
              <w:spacing w:after="0"/>
              <w:jc w:val="center"/>
            </w:pPr>
            <w:r>
              <w:rPr>
                <w:rFonts w:ascii="Calibri" w:cs="Calibri" w:eastAsia="Calibri" w:hAnsi="Calibri"/>
                <w:sz w:val="17"/>
                <w:szCs w:val="17"/>
              </w:rPr>
              <w:t xml:space="preserve">Cuando el mensaje es un resultado nulo o se comparan especies</w:t>
            </w:r>
          </w:p>
        </w:tc>
      </w:tr>
    </w:tbl>
    <w:p>
      <w:pPr>
        <w:spacing w:after="200" w:before="70"/>
      </w:pPr>
      <w:r>
        <w:rPr>
          <w:rFonts w:ascii="Calibri" w:cs="Calibri" w:eastAsia="Calibri" w:hAnsi="Calibri"/>
          <w:i/>
          <w:iCs/>
          <w:color w:val="555555"/>
          <w:sz w:val="16"/>
          <w:szCs w:val="16"/>
        </w:rPr>
        <w:t xml:space="preserve">Tabla C. Comparación de las dos formas de presentación.</w:t>
      </w:r>
    </w:p>
    <w:p>
      <w:pPr>
        <w:spacing w:after="120" w:line="276"/>
      </w:pPr>
      <w:r>
        <w:rPr>
          <w:rFonts w:ascii="Calibri" w:cs="Calibri" w:eastAsia="Calibri" w:hAnsi="Calibri"/>
          <w:sz w:val="20"/>
          <w:szCs w:val="20"/>
        </w:rPr>
        <w:t xml:space="preserve">La solución adoptada aquí es híbrida y resuelve la objeción principal de cada una: la figura de medias marginales incorpora los datos crudos detrás y asteriscos derivados del contraste explícito frente al control, calculado con emmeans mediante trt.vs.ctrl, no del solapamiento visual de intervalos.</w:t>
      </w:r>
    </w:p>
    <w:p>
      <w:pPr>
        <w:spacing w:after="120" w:line="276"/>
      </w:pPr>
      <w:r>
        <w:rPr>
          <w:rFonts w:ascii="Calibri" w:cs="Calibri" w:eastAsia="Calibri" w:hAnsi="Calibri"/>
          <w:b/>
          <w:bCs/>
          <w:sz w:val="20"/>
          <w:szCs w:val="20"/>
        </w:rPr>
        <w:t xml:space="preserve">Propuesta para el manuscrito: </w:t>
      </w:r>
      <w:r>
        <w:rPr>
          <w:rFonts w:ascii="Calibri" w:cs="Calibri" w:eastAsia="Calibri" w:hAnsi="Calibri"/>
          <w:sz w:val="20"/>
          <w:szCs w:val="20"/>
        </w:rPr>
        <w:t xml:space="preserve">Figura 5 (híbrida) como figura principal, porque cuenta la historia completa en una imagen. Figura 6 (resultado nulo) como segunda figura principal o primera del suplementario, porque es la que sostiene formalmente el argumento central. Figuras de coeficientes al suplementario.</w:t>
      </w:r>
    </w:p>
    <w:p>
      <w:r>
        <w:br w:type="page"/>
      </w:r>
    </w:p>
    <w:p>
      <w:pPr>
        <w:pStyle w:val="Heading1"/>
        <w:spacing w:after="130" w:before="260"/>
      </w:pPr>
      <w:r>
        <w:rPr>
          <w:rFonts w:ascii="Calibri" w:cs="Calibri" w:eastAsia="Calibri" w:hAnsi="Calibri"/>
        </w:rPr>
        <w:t xml:space="preserve">Figura 5 · Síntesis: medias marginales con observaciones individuales</w:t>
      </w:r>
    </w:p>
    <w:p>
      <w:pPr>
        <w:spacing w:after="120" w:line="276"/>
      </w:pPr>
      <w:r>
        <w:rPr>
          <w:rFonts w:ascii="Calibri" w:cs="Calibri" w:eastAsia="Calibri" w:hAnsi="Calibri"/>
          <w:sz w:val="19"/>
          <w:szCs w:val="19"/>
        </w:rPr>
        <w:t xml:space="preserve">Tres capas superpuestas: observaciones individuales en pálido, media marginal del modelo seleccionado con intervalo de confianza al 95 %, y asteriscos del contraste frente al control. Se anota el tamaño de celda cuando n &lt; 3 y se marca «N×P» el panel cuyo modelo retuvo la interacción. Exportada a 12 × 15 in y 300 dpi.</w:t>
      </w:r>
    </w:p>
    <w:p>
      <w:pPr>
        <w:spacing w:after="40" w:before="120"/>
        <w:jc w:val="center"/>
      </w:pPr>
      <w:r>
        <w:drawing>
          <wp:inline distT="0" distB="0" distL="0" distR="0">
            <wp:extent cx="4714875"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14875" cy="5895975"/>
                    </a:xfrm>
                    <a:prstGeom prst="rect">
                      <a:avLst/>
                    </a:prstGeom>
                  </pic:spPr>
                </pic:pic>
              </a:graphicData>
            </a:graphic>
          </wp:inline>
        </w:drawing>
      </w:r>
    </w:p>
    <w:p>
      <w:pPr>
        <w:spacing w:after="200" w:before="70"/>
      </w:pPr>
      <w:r>
        <w:rPr>
          <w:rFonts w:ascii="Calibri" w:cs="Calibri" w:eastAsia="Calibri" w:hAnsi="Calibri"/>
          <w:i/>
          <w:iCs/>
          <w:color w:val="555555"/>
          <w:sz w:val="16"/>
          <w:szCs w:val="16"/>
        </w:rPr>
        <w:t xml:space="preserve">Figura 5. La primera fila (iWUE) está prácticamente muda mientras que las filas de N y P foliar están llenas de asteriscos. Ese contraste visual es el argumento central del trabajo.</w:t>
      </w:r>
    </w:p>
    <w:p>
      <w:r>
        <w:br w:type="page"/>
      </w:r>
    </w:p>
    <w:p>
      <w:pPr>
        <w:pStyle w:val="Heading1"/>
        <w:spacing w:after="130" w:before="260"/>
      </w:pPr>
      <w:r>
        <w:rPr>
          <w:rFonts w:ascii="Calibri" w:cs="Calibri" w:eastAsia="Calibri" w:hAnsi="Calibri"/>
        </w:rPr>
        <w:t xml:space="preserve">Figura 6 · El resultado nulo en iWUE</w:t>
      </w:r>
    </w:p>
    <w:p>
      <w:pPr>
        <w:spacing w:after="40" w:before="120"/>
        <w:jc w:val="center"/>
      </w:pPr>
      <w:r>
        <w:drawing>
          <wp:inline distT="0" distB="0" distL="0" distR="0">
            <wp:extent cx="47148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14875" cy="2895600"/>
                    </a:xfrm>
                    <a:prstGeom prst="rect">
                      <a:avLst/>
                    </a:prstGeom>
                  </pic:spPr>
                </pic:pic>
              </a:graphicData>
            </a:graphic>
          </wp:inline>
        </w:drawing>
      </w:r>
    </w:p>
    <w:p>
      <w:pPr>
        <w:spacing w:after="200" w:before="70"/>
      </w:pPr>
      <w:r>
        <w:rPr>
          <w:rFonts w:ascii="Calibri" w:cs="Calibri" w:eastAsia="Calibri" w:hAnsi="Calibri"/>
          <w:i/>
          <w:iCs/>
          <w:color w:val="555555"/>
          <w:sz w:val="16"/>
          <w:szCs w:val="16"/>
        </w:rPr>
        <w:t xml:space="preserve">Figura 6. Los doce contrastes de iWUE en escala común. Los intervalos usan la distribución t con los grados de libertad del modelo, de modo que son consistentes con los p-valores de la Tabla 1.</w:t>
      </w:r>
    </w:p>
    <w:p>
      <w:pPr>
        <w:spacing w:after="120" w:line="276"/>
      </w:pPr>
      <w:r>
        <w:rPr>
          <w:rFonts w:ascii="Calibri" w:cs="Calibri" w:eastAsia="Calibri" w:hAnsi="Calibri"/>
          <w:b/>
          <w:bCs/>
          <w:sz w:val="20"/>
          <w:szCs w:val="20"/>
        </w:rPr>
        <w:t xml:space="preserve">Advertencia sobre la banda de equivalencia. </w:t>
      </w:r>
      <w:r>
        <w:rPr>
          <w:rFonts w:ascii="Calibri" w:cs="Calibri" w:eastAsia="Calibri" w:hAnsi="Calibri"/>
          <w:sz w:val="20"/>
          <w:szCs w:val="20"/>
        </w:rPr>
        <w:t xml:space="preserve">La banda gris de ± 5 μmol mol⁻¹ es una referencia visual editable, no una prueba. Varios intervalos se extienden bastante más allá de ese umbral, de modo que con estos datos NO puede afirmarse equivalencia. Si se quisiera hacer esa afirmación formalmente haría falta una prueba TOST, que es un análisis aparte. Tal como está, la figura sostiene «no detectamos efecto», no «demostramos ausencia de efecto», y el pie debe redactarse en consecuencia.</w:t>
      </w:r>
    </w:p>
    <w:p>
      <w:r>
        <w:br w:type="page"/>
      </w:r>
    </w:p>
    <w:p>
      <w:pPr>
        <w:pStyle w:val="Heading1"/>
        <w:spacing w:after="130" w:before="260"/>
      </w:pPr>
      <w:r>
        <w:rPr>
          <w:rFonts w:ascii="Calibri" w:cs="Calibri" w:eastAsia="Calibri" w:hAnsi="Calibri"/>
        </w:rPr>
        <w:t xml:space="preserve">Figura 7 · Coeficientes, variables fisiológicas</w:t>
      </w:r>
    </w:p>
    <w:p>
      <w:pPr>
        <w:spacing w:after="40" w:before="120"/>
        <w:jc w:val="center"/>
      </w:pPr>
      <w:r>
        <w:drawing>
          <wp:inline distT="0" distB="0" distL="0" distR="0">
            <wp:extent cx="471487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14875" cy="4324350"/>
                    </a:xfrm>
                    <a:prstGeom prst="rect">
                      <a:avLst/>
                    </a:prstGeom>
                  </pic:spPr>
                </pic:pic>
              </a:graphicData>
            </a:graphic>
          </wp:inline>
        </w:drawing>
      </w:r>
    </w:p>
    <w:p>
      <w:pPr>
        <w:spacing w:after="200" w:before="70"/>
      </w:pPr>
      <w:r>
        <w:rPr>
          <w:rFonts w:ascii="Calibri" w:cs="Calibri" w:eastAsia="Calibri" w:hAnsi="Calibri"/>
          <w:i/>
          <w:iCs/>
          <w:color w:val="555555"/>
          <w:sz w:val="16"/>
          <w:szCs w:val="16"/>
        </w:rPr>
        <w:t xml:space="preserve">Figura 7. Estimado ± 95 % IC. Ningún intervalo de iWUE, δ¹³C ni Ci/Ca excluye el cero.</w:t>
      </w:r>
    </w:p>
    <w:p>
      <w:r>
        <w:br w:type="page"/>
      </w:r>
    </w:p>
    <w:p>
      <w:pPr>
        <w:pStyle w:val="Heading1"/>
        <w:spacing w:after="130" w:before="260"/>
      </w:pPr>
      <w:r>
        <w:rPr>
          <w:rFonts w:ascii="Calibri" w:cs="Calibri" w:eastAsia="Calibri" w:hAnsi="Calibri"/>
        </w:rPr>
        <w:t xml:space="preserve">Figura 8 · Coeficientes, nutrientes foliares</w:t>
      </w:r>
    </w:p>
    <w:p>
      <w:pPr>
        <w:spacing w:after="40" w:before="120"/>
        <w:jc w:val="center"/>
      </w:pPr>
      <w:r>
        <w:drawing>
          <wp:inline distT="0" distB="0" distL="0" distR="0">
            <wp:extent cx="4714875"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14875" cy="5105400"/>
                    </a:xfrm>
                    <a:prstGeom prst="rect">
                      <a:avLst/>
                    </a:prstGeom>
                  </pic:spPr>
                </pic:pic>
              </a:graphicData>
            </a:graphic>
          </wp:inline>
        </w:drawing>
      </w:r>
    </w:p>
    <w:p>
      <w:pPr>
        <w:spacing w:after="200" w:before="70"/>
      </w:pPr>
      <w:r>
        <w:rPr>
          <w:rFonts w:ascii="Calibri" w:cs="Calibri" w:eastAsia="Calibri" w:hAnsi="Calibri"/>
          <w:i/>
          <w:iCs/>
          <w:color w:val="555555"/>
          <w:sz w:val="16"/>
          <w:szCs w:val="16"/>
        </w:rPr>
        <w:t xml:space="preserve">Figura 8. Contraste con la figura anterior: aquí los intervalos sí se separan del cero de forma sistemática.</w:t>
      </w:r>
    </w:p>
    <w:p>
      <w:r>
        <w:br w:type="page"/>
      </w:r>
    </w:p>
    <w:p>
      <w:pPr>
        <w:pStyle w:val="Heading1"/>
        <w:spacing w:after="130" w:before="260"/>
      </w:pPr>
      <w:r>
        <w:rPr>
          <w:rFonts w:ascii="Calibri" w:cs="Calibri" w:eastAsia="Calibri" w:hAnsi="Calibri"/>
        </w:rPr>
        <w:t xml:space="preserve">Figura 9 · Coeficientes, variables morfológicas</w:t>
      </w:r>
    </w:p>
    <w:p>
      <w:pPr>
        <w:spacing w:after="40" w:before="120"/>
        <w:jc w:val="center"/>
      </w:pPr>
      <w:r>
        <w:drawing>
          <wp:inline distT="0" distB="0" distL="0" distR="0">
            <wp:extent cx="471487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14875" cy="4324350"/>
                    </a:xfrm>
                    <a:prstGeom prst="rect">
                      <a:avLst/>
                    </a:prstGeom>
                  </pic:spPr>
                </pic:pic>
              </a:graphicData>
            </a:graphic>
          </wp:inline>
        </w:drawing>
      </w:r>
    </w:p>
    <w:p>
      <w:pPr>
        <w:spacing w:after="200" w:before="70"/>
      </w:pPr>
      <w:r>
        <w:rPr>
          <w:rFonts w:ascii="Calibri" w:cs="Calibri" w:eastAsia="Calibri" w:hAnsi="Calibri"/>
          <w:i/>
          <w:iCs/>
          <w:color w:val="555555"/>
          <w:sz w:val="16"/>
          <w:szCs w:val="16"/>
        </w:rPr>
        <w:t xml:space="preserve">Figura 9. Respuestas escasas y sin patrón común entre especies.</w:t>
      </w:r>
    </w:p>
    <w:p>
      <w:pPr>
        <w:pStyle w:val="Heading1"/>
        <w:spacing w:after="130" w:before="260"/>
      </w:pPr>
      <w:r>
        <w:rPr>
          <w:rFonts w:ascii="Calibri" w:cs="Calibri" w:eastAsia="Calibri" w:hAnsi="Calibri"/>
        </w:rPr>
        <w:t xml:space="preserve">Figura 10 · iWUE original frente a Bernacchi</w:t>
      </w:r>
    </w:p>
    <w:p>
      <w:pPr>
        <w:spacing w:after="40" w:before="120"/>
        <w:jc w:val="center"/>
      </w:pPr>
      <w:r>
        <w:drawing>
          <wp:inline distT="0" distB="0" distL="0" distR="0">
            <wp:extent cx="471487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14875" cy="2171700"/>
                    </a:xfrm>
                    <a:prstGeom prst="rect">
                      <a:avLst/>
                    </a:prstGeom>
                  </pic:spPr>
                </pic:pic>
              </a:graphicData>
            </a:graphic>
          </wp:inline>
        </w:drawing>
      </w:r>
    </w:p>
    <w:p>
      <w:pPr>
        <w:spacing w:after="200" w:before="70"/>
      </w:pPr>
      <w:r>
        <w:rPr>
          <w:rFonts w:ascii="Calibri" w:cs="Calibri" w:eastAsia="Calibri" w:hAnsi="Calibri"/>
          <w:i/>
          <w:iCs/>
          <w:color w:val="555555"/>
          <w:sz w:val="16"/>
          <w:szCs w:val="16"/>
        </w:rPr>
        <w:t xml:space="preserve">Figura 10. Izquierda: el desplazamiento respecto a la diagonal es la corrección de Γ*, mayor en altura. Derecha: el efecto estimado de N es idéntico en ambas versiones, como debe ser.</w:t>
      </w:r>
    </w:p>
    <w:p>
      <w:r>
        <w:br w:type="page"/>
      </w:r>
    </w:p>
    <w:p>
      <w:pPr>
        <w:pStyle w:val="Heading1"/>
        <w:spacing w:after="130" w:before="260"/>
      </w:pPr>
      <w:r>
        <w:rPr>
          <w:rFonts w:ascii="Calibri" w:cs="Calibri" w:eastAsia="Calibri" w:hAnsi="Calibri"/>
        </w:rPr>
        <w:t xml:space="preserve">5. Especificaciones de exportación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900"/>
        <w:gridCol w:w="1700"/>
        <w:gridCol w:w="2500"/>
      </w:tblGrid>
      <w:tr>
        <w:trPr>
          <w:tblHeader/>
        </w:trPr>
        <w:tc>
          <w:tcPr>
            <w:tcW w:type="dxa" w:w="23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Figura</w:t>
            </w:r>
          </w:p>
        </w:tc>
        <w:tc>
          <w:tcPr>
            <w:tcW w:type="dxa" w:w="16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Tamaño (in)</w:t>
            </w:r>
          </w:p>
        </w:tc>
        <w:tc>
          <w:tcPr>
            <w:tcW w:type="dxa" w:w="9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dpi</w:t>
            </w:r>
          </w:p>
        </w:tc>
        <w:tc>
          <w:tcPr>
            <w:tcW w:type="dxa" w:w="17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Píxeles</w:t>
            </w:r>
          </w:p>
        </w:tc>
        <w:tc>
          <w:tcPr>
            <w:tcW w:type="dxa" w:w="2500"/>
            <w:shd w:fill="D9D9D9" w:color="auto" w:val="clear"/>
            <w:tcMar>
              <w:top w:type="dxa" w:w="45"/>
              <w:left w:type="dxa" w:w="70"/>
              <w:bottom w:type="dxa" w:w="45"/>
              <w:right w:type="dxa" w:w="70"/>
            </w:tcMar>
          </w:tcPr>
          <w:p>
            <w:pPr>
              <w:spacing w:after="0"/>
              <w:jc w:val="center"/>
            </w:pPr>
            <w:r>
              <w:rPr>
                <w:rFonts w:ascii="Calibri" w:cs="Calibri" w:eastAsia="Calibri" w:hAnsi="Calibri"/>
                <w:b/>
                <w:bCs/>
                <w:sz w:val="17"/>
                <w:szCs w:val="17"/>
              </w:rPr>
              <w:t xml:space="preserve">En A4 vertical</w:t>
            </w:r>
          </w:p>
        </w:tc>
      </w:tr>
      <w:tr>
        <w:tc>
          <w:tcPr>
            <w:tcW w:type="dxa" w:w="2300"/>
            <w:tcMar>
              <w:top w:type="dxa" w:w="45"/>
              <w:left w:type="dxa" w:w="70"/>
              <w:bottom w:type="dxa" w:w="45"/>
              <w:right w:type="dxa" w:w="70"/>
            </w:tcMar>
          </w:tcPr>
          <w:p>
            <w:pPr>
              <w:spacing w:after="0"/>
              <w:jc w:val="left"/>
            </w:pPr>
            <w:r>
              <w:rPr>
                <w:rFonts w:ascii="Calibri" w:cs="Calibri" w:eastAsia="Calibri" w:hAnsi="Calibri"/>
                <w:sz w:val="17"/>
                <w:szCs w:val="17"/>
              </w:rPr>
              <w:t xml:space="preserve">Híbrida (Fig. 5)</w:t>
            </w:r>
          </w:p>
        </w:tc>
        <w:tc>
          <w:tcPr>
            <w:tcW w:type="dxa" w:w="1600"/>
            <w:tcMar>
              <w:top w:type="dxa" w:w="45"/>
              <w:left w:type="dxa" w:w="70"/>
              <w:bottom w:type="dxa" w:w="45"/>
              <w:right w:type="dxa" w:w="70"/>
            </w:tcMar>
          </w:tcPr>
          <w:p>
            <w:pPr>
              <w:spacing w:after="0"/>
              <w:jc w:val="center"/>
            </w:pPr>
            <w:r>
              <w:rPr>
                <w:rFonts w:ascii="Calibri" w:cs="Calibri" w:eastAsia="Calibri" w:hAnsi="Calibri"/>
                <w:sz w:val="17"/>
                <w:szCs w:val="17"/>
              </w:rPr>
              <w:t xml:space="preserve">12 × 15</w:t>
            </w:r>
          </w:p>
        </w:tc>
        <w:tc>
          <w:tcPr>
            <w:tcW w:type="dxa" w:w="900"/>
            <w:tcMar>
              <w:top w:type="dxa" w:w="45"/>
              <w:left w:type="dxa" w:w="70"/>
              <w:bottom w:type="dxa" w:w="45"/>
              <w:right w:type="dxa" w:w="70"/>
            </w:tcMar>
          </w:tcPr>
          <w:p>
            <w:pPr>
              <w:spacing w:after="0"/>
              <w:jc w:val="center"/>
            </w:pPr>
            <w:r>
              <w:rPr>
                <w:rFonts w:ascii="Calibri" w:cs="Calibri" w:eastAsia="Calibri" w:hAnsi="Calibri"/>
                <w:sz w:val="17"/>
                <w:szCs w:val="17"/>
              </w:rPr>
              <w:t xml:space="preserve">300</w:t>
            </w:r>
          </w:p>
        </w:tc>
        <w:tc>
          <w:tcPr>
            <w:tcW w:type="dxa" w:w="1700"/>
            <w:tcMar>
              <w:top w:type="dxa" w:w="45"/>
              <w:left w:type="dxa" w:w="70"/>
              <w:bottom w:type="dxa" w:w="45"/>
              <w:right w:type="dxa" w:w="70"/>
            </w:tcMar>
          </w:tcPr>
          <w:p>
            <w:pPr>
              <w:spacing w:after="0"/>
              <w:jc w:val="center"/>
            </w:pPr>
            <w:r>
              <w:rPr>
                <w:rFonts w:ascii="Calibri" w:cs="Calibri" w:eastAsia="Calibri" w:hAnsi="Calibri"/>
                <w:sz w:val="17"/>
                <w:szCs w:val="17"/>
              </w:rPr>
              <w:t xml:space="preserve">3600 × 4500</w:t>
            </w:r>
          </w:p>
        </w:tc>
        <w:tc>
          <w:tcPr>
            <w:tcW w:type="dxa" w:w="2500"/>
            <w:tcMar>
              <w:top w:type="dxa" w:w="45"/>
              <w:left w:type="dxa" w:w="70"/>
              <w:bottom w:type="dxa" w:w="45"/>
              <w:right w:type="dxa" w:w="70"/>
            </w:tcMar>
          </w:tcPr>
          <w:p>
            <w:pPr>
              <w:spacing w:after="0"/>
              <w:jc w:val="center"/>
            </w:pPr>
            <w:r>
              <w:rPr>
                <w:rFonts w:ascii="Calibri" w:cs="Calibri" w:eastAsia="Calibri" w:hAnsi="Calibri"/>
                <w:sz w:val="17"/>
                <w:szCs w:val="17"/>
              </w:rPr>
              <w:t xml:space="preserve">escalada al 57 %, ocupa página completa</w:t>
            </w:r>
          </w:p>
        </w:tc>
      </w:tr>
      <w:tr>
        <w:tc>
          <w:tcPr>
            <w:tcW w:type="dxa" w:w="2300"/>
            <w:tcMar>
              <w:top w:type="dxa" w:w="45"/>
              <w:left w:type="dxa" w:w="70"/>
              <w:bottom w:type="dxa" w:w="45"/>
              <w:right w:type="dxa" w:w="70"/>
            </w:tcMar>
          </w:tcPr>
          <w:p>
            <w:pPr>
              <w:spacing w:after="0"/>
              <w:jc w:val="left"/>
            </w:pPr>
            <w:r>
              <w:rPr>
                <w:rFonts w:ascii="Calibri" w:cs="Calibri" w:eastAsia="Calibri" w:hAnsi="Calibri"/>
                <w:sz w:val="17"/>
                <w:szCs w:val="17"/>
              </w:rPr>
              <w:t xml:space="preserve">Resultado nulo (Fig. 6)</w:t>
            </w:r>
          </w:p>
        </w:tc>
        <w:tc>
          <w:tcPr>
            <w:tcW w:type="dxa" w:w="1600"/>
            <w:tcMar>
              <w:top w:type="dxa" w:w="45"/>
              <w:left w:type="dxa" w:w="70"/>
              <w:bottom w:type="dxa" w:w="45"/>
              <w:right w:type="dxa" w:w="70"/>
            </w:tcMar>
          </w:tcPr>
          <w:p>
            <w:pPr>
              <w:spacing w:after="0"/>
              <w:jc w:val="center"/>
            </w:pPr>
            <w:r>
              <w:rPr>
                <w:rFonts w:ascii="Calibri" w:cs="Calibri" w:eastAsia="Calibri" w:hAnsi="Calibri"/>
                <w:sz w:val="17"/>
                <w:szCs w:val="17"/>
              </w:rPr>
              <w:t xml:space="preserve">7.5 × 4.6</w:t>
            </w:r>
          </w:p>
        </w:tc>
        <w:tc>
          <w:tcPr>
            <w:tcW w:type="dxa" w:w="900"/>
            <w:tcMar>
              <w:top w:type="dxa" w:w="45"/>
              <w:left w:type="dxa" w:w="70"/>
              <w:bottom w:type="dxa" w:w="45"/>
              <w:right w:type="dxa" w:w="70"/>
            </w:tcMar>
          </w:tcPr>
          <w:p>
            <w:pPr>
              <w:spacing w:after="0"/>
              <w:jc w:val="center"/>
            </w:pPr>
            <w:r>
              <w:rPr>
                <w:rFonts w:ascii="Calibri" w:cs="Calibri" w:eastAsia="Calibri" w:hAnsi="Calibri"/>
                <w:sz w:val="17"/>
                <w:szCs w:val="17"/>
              </w:rPr>
              <w:t xml:space="preserve">300</w:t>
            </w:r>
          </w:p>
        </w:tc>
        <w:tc>
          <w:tcPr>
            <w:tcW w:type="dxa" w:w="1700"/>
            <w:tcMar>
              <w:top w:type="dxa" w:w="45"/>
              <w:left w:type="dxa" w:w="70"/>
              <w:bottom w:type="dxa" w:w="45"/>
              <w:right w:type="dxa" w:w="70"/>
            </w:tcMar>
          </w:tcPr>
          <w:p>
            <w:pPr>
              <w:spacing w:after="0"/>
              <w:jc w:val="center"/>
            </w:pPr>
            <w:r>
              <w:rPr>
                <w:rFonts w:ascii="Calibri" w:cs="Calibri" w:eastAsia="Calibri" w:hAnsi="Calibri"/>
                <w:sz w:val="17"/>
                <w:szCs w:val="17"/>
              </w:rPr>
              <w:t xml:space="preserve">2250 × 1380</w:t>
            </w:r>
          </w:p>
        </w:tc>
        <w:tc>
          <w:tcPr>
            <w:tcW w:type="dxa" w:w="2500"/>
            <w:tcMar>
              <w:top w:type="dxa" w:w="45"/>
              <w:left w:type="dxa" w:w="70"/>
              <w:bottom w:type="dxa" w:w="45"/>
              <w:right w:type="dxa" w:w="70"/>
            </w:tcMar>
          </w:tcPr>
          <w:p>
            <w:pPr>
              <w:spacing w:after="0"/>
              <w:jc w:val="center"/>
            </w:pPr>
            <w:r>
              <w:rPr>
                <w:rFonts w:ascii="Calibri" w:cs="Calibri" w:eastAsia="Calibri" w:hAnsi="Calibri"/>
                <w:sz w:val="17"/>
                <w:szCs w:val="17"/>
              </w:rPr>
              <w:t xml:space="preserve">media página</w:t>
            </w:r>
          </w:p>
        </w:tc>
      </w:tr>
      <w:tr>
        <w:tc>
          <w:tcPr>
            <w:tcW w:type="dxa" w:w="2300"/>
            <w:tcMar>
              <w:top w:type="dxa" w:w="45"/>
              <w:left w:type="dxa" w:w="70"/>
              <w:bottom w:type="dxa" w:w="45"/>
              <w:right w:type="dxa" w:w="70"/>
            </w:tcMar>
          </w:tcPr>
          <w:p>
            <w:pPr>
              <w:spacing w:after="0"/>
              <w:jc w:val="left"/>
            </w:pPr>
            <w:r>
              <w:rPr>
                <w:rFonts w:ascii="Calibri" w:cs="Calibri" w:eastAsia="Calibri" w:hAnsi="Calibri"/>
                <w:sz w:val="17"/>
                <w:szCs w:val="17"/>
              </w:rPr>
              <w:t xml:space="preserve">Coeficientes fisio / morfo</w:t>
            </w:r>
          </w:p>
        </w:tc>
        <w:tc>
          <w:tcPr>
            <w:tcW w:type="dxa" w:w="1600"/>
            <w:tcMar>
              <w:top w:type="dxa" w:w="45"/>
              <w:left w:type="dxa" w:w="70"/>
              <w:bottom w:type="dxa" w:w="45"/>
              <w:right w:type="dxa" w:w="70"/>
            </w:tcMar>
          </w:tcPr>
          <w:p>
            <w:pPr>
              <w:spacing w:after="0"/>
              <w:jc w:val="center"/>
            </w:pPr>
            <w:r>
              <w:rPr>
                <w:rFonts w:ascii="Calibri" w:cs="Calibri" w:eastAsia="Calibri" w:hAnsi="Calibri"/>
                <w:sz w:val="17"/>
                <w:szCs w:val="17"/>
              </w:rPr>
              <w:t xml:space="preserve">12 × 11</w:t>
            </w:r>
          </w:p>
        </w:tc>
        <w:tc>
          <w:tcPr>
            <w:tcW w:type="dxa" w:w="900"/>
            <w:tcMar>
              <w:top w:type="dxa" w:w="45"/>
              <w:left w:type="dxa" w:w="70"/>
              <w:bottom w:type="dxa" w:w="45"/>
              <w:right w:type="dxa" w:w="70"/>
            </w:tcMar>
          </w:tcPr>
          <w:p>
            <w:pPr>
              <w:spacing w:after="0"/>
              <w:jc w:val="center"/>
            </w:pPr>
            <w:r>
              <w:rPr>
                <w:rFonts w:ascii="Calibri" w:cs="Calibri" w:eastAsia="Calibri" w:hAnsi="Calibri"/>
                <w:sz w:val="17"/>
                <w:szCs w:val="17"/>
              </w:rPr>
              <w:t xml:space="preserve">300</w:t>
            </w:r>
          </w:p>
        </w:tc>
        <w:tc>
          <w:tcPr>
            <w:tcW w:type="dxa" w:w="1700"/>
            <w:tcMar>
              <w:top w:type="dxa" w:w="45"/>
              <w:left w:type="dxa" w:w="70"/>
              <w:bottom w:type="dxa" w:w="45"/>
              <w:right w:type="dxa" w:w="70"/>
            </w:tcMar>
          </w:tcPr>
          <w:p>
            <w:pPr>
              <w:spacing w:after="0"/>
              <w:jc w:val="center"/>
            </w:pPr>
            <w:r>
              <w:rPr>
                <w:rFonts w:ascii="Calibri" w:cs="Calibri" w:eastAsia="Calibri" w:hAnsi="Calibri"/>
                <w:sz w:val="17"/>
                <w:szCs w:val="17"/>
              </w:rPr>
              <w:t xml:space="preserve">3600 × 3300</w:t>
            </w:r>
          </w:p>
        </w:tc>
        <w:tc>
          <w:tcPr>
            <w:tcW w:type="dxa" w:w="2500"/>
            <w:tcMar>
              <w:top w:type="dxa" w:w="45"/>
              <w:left w:type="dxa" w:w="70"/>
              <w:bottom w:type="dxa" w:w="45"/>
              <w:right w:type="dxa" w:w="70"/>
            </w:tcMar>
          </w:tcPr>
          <w:p>
            <w:pPr>
              <w:spacing w:after="0"/>
              <w:jc w:val="center"/>
            </w:pPr>
            <w:r>
              <w:rPr>
                <w:rFonts w:ascii="Calibri" w:cs="Calibri" w:eastAsia="Calibri" w:hAnsi="Calibri"/>
                <w:sz w:val="17"/>
                <w:szCs w:val="17"/>
              </w:rPr>
              <w:t xml:space="preserve">escalada al 57 %</w:t>
            </w:r>
          </w:p>
        </w:tc>
      </w:tr>
      <w:tr>
        <w:tc>
          <w:tcPr>
            <w:tcW w:type="dxa" w:w="2300"/>
            <w:tcMar>
              <w:top w:type="dxa" w:w="45"/>
              <w:left w:type="dxa" w:w="70"/>
              <w:bottom w:type="dxa" w:w="45"/>
              <w:right w:type="dxa" w:w="70"/>
            </w:tcMar>
          </w:tcPr>
          <w:p>
            <w:pPr>
              <w:spacing w:after="0"/>
              <w:jc w:val="left"/>
            </w:pPr>
            <w:r>
              <w:rPr>
                <w:rFonts w:ascii="Calibri" w:cs="Calibri" w:eastAsia="Calibri" w:hAnsi="Calibri"/>
                <w:sz w:val="17"/>
                <w:szCs w:val="17"/>
              </w:rPr>
              <w:t xml:space="preserve">Coeficientes nutrientes</w:t>
            </w:r>
          </w:p>
        </w:tc>
        <w:tc>
          <w:tcPr>
            <w:tcW w:type="dxa" w:w="1600"/>
            <w:tcMar>
              <w:top w:type="dxa" w:w="45"/>
              <w:left w:type="dxa" w:w="70"/>
              <w:bottom w:type="dxa" w:w="45"/>
              <w:right w:type="dxa" w:w="70"/>
            </w:tcMar>
          </w:tcPr>
          <w:p>
            <w:pPr>
              <w:spacing w:after="0"/>
              <w:jc w:val="center"/>
            </w:pPr>
            <w:r>
              <w:rPr>
                <w:rFonts w:ascii="Calibri" w:cs="Calibri" w:eastAsia="Calibri" w:hAnsi="Calibri"/>
                <w:sz w:val="17"/>
                <w:szCs w:val="17"/>
              </w:rPr>
              <w:t xml:space="preserve">12 × 13</w:t>
            </w:r>
          </w:p>
        </w:tc>
        <w:tc>
          <w:tcPr>
            <w:tcW w:type="dxa" w:w="900"/>
            <w:tcMar>
              <w:top w:type="dxa" w:w="45"/>
              <w:left w:type="dxa" w:w="70"/>
              <w:bottom w:type="dxa" w:w="45"/>
              <w:right w:type="dxa" w:w="70"/>
            </w:tcMar>
          </w:tcPr>
          <w:p>
            <w:pPr>
              <w:spacing w:after="0"/>
              <w:jc w:val="center"/>
            </w:pPr>
            <w:r>
              <w:rPr>
                <w:rFonts w:ascii="Calibri" w:cs="Calibri" w:eastAsia="Calibri" w:hAnsi="Calibri"/>
                <w:sz w:val="17"/>
                <w:szCs w:val="17"/>
              </w:rPr>
              <w:t xml:space="preserve">300</w:t>
            </w:r>
          </w:p>
        </w:tc>
        <w:tc>
          <w:tcPr>
            <w:tcW w:type="dxa" w:w="1700"/>
            <w:tcMar>
              <w:top w:type="dxa" w:w="45"/>
              <w:left w:type="dxa" w:w="70"/>
              <w:bottom w:type="dxa" w:w="45"/>
              <w:right w:type="dxa" w:w="70"/>
            </w:tcMar>
          </w:tcPr>
          <w:p>
            <w:pPr>
              <w:spacing w:after="0"/>
              <w:jc w:val="center"/>
            </w:pPr>
            <w:r>
              <w:rPr>
                <w:rFonts w:ascii="Calibri" w:cs="Calibri" w:eastAsia="Calibri" w:hAnsi="Calibri"/>
                <w:sz w:val="17"/>
                <w:szCs w:val="17"/>
              </w:rPr>
              <w:t xml:space="preserve">3600 × 3900</w:t>
            </w:r>
          </w:p>
        </w:tc>
        <w:tc>
          <w:tcPr>
            <w:tcW w:type="dxa" w:w="2500"/>
            <w:tcMar>
              <w:top w:type="dxa" w:w="45"/>
              <w:left w:type="dxa" w:w="70"/>
              <w:bottom w:type="dxa" w:w="45"/>
              <w:right w:type="dxa" w:w="70"/>
            </w:tcMar>
          </w:tcPr>
          <w:p>
            <w:pPr>
              <w:spacing w:after="0"/>
              <w:jc w:val="center"/>
            </w:pPr>
            <w:r>
              <w:rPr>
                <w:rFonts w:ascii="Calibri" w:cs="Calibri" w:eastAsia="Calibri" w:hAnsi="Calibri"/>
                <w:sz w:val="17"/>
                <w:szCs w:val="17"/>
              </w:rPr>
              <w:t xml:space="preserve">escalada al 57 %</w:t>
            </w:r>
          </w:p>
        </w:tc>
      </w:tr>
      <w:tr>
        <w:tc>
          <w:tcPr>
            <w:tcW w:type="dxa" w:w="2300"/>
            <w:tcMar>
              <w:top w:type="dxa" w:w="45"/>
              <w:left w:type="dxa" w:w="70"/>
              <w:bottom w:type="dxa" w:w="45"/>
              <w:right w:type="dxa" w:w="70"/>
            </w:tcMar>
          </w:tcPr>
          <w:p>
            <w:pPr>
              <w:spacing w:after="0"/>
              <w:jc w:val="left"/>
            </w:pPr>
            <w:r>
              <w:rPr>
                <w:rFonts w:ascii="Calibri" w:cs="Calibri" w:eastAsia="Calibri" w:hAnsi="Calibri"/>
                <w:sz w:val="17"/>
                <w:szCs w:val="17"/>
              </w:rPr>
              <w:t xml:space="preserve">Comparación iWUE</w:t>
            </w:r>
          </w:p>
        </w:tc>
        <w:tc>
          <w:tcPr>
            <w:tcW w:type="dxa" w:w="1600"/>
            <w:tcMar>
              <w:top w:type="dxa" w:w="45"/>
              <w:left w:type="dxa" w:w="70"/>
              <w:bottom w:type="dxa" w:w="45"/>
              <w:right w:type="dxa" w:w="70"/>
            </w:tcMar>
          </w:tcPr>
          <w:p>
            <w:pPr>
              <w:spacing w:after="0"/>
              <w:jc w:val="center"/>
            </w:pPr>
            <w:r>
              <w:rPr>
                <w:rFonts w:ascii="Calibri" w:cs="Calibri" w:eastAsia="Calibri" w:hAnsi="Calibri"/>
                <w:sz w:val="17"/>
                <w:szCs w:val="17"/>
              </w:rPr>
              <w:t xml:space="preserve">10 × 4.6</w:t>
            </w:r>
          </w:p>
        </w:tc>
        <w:tc>
          <w:tcPr>
            <w:tcW w:type="dxa" w:w="900"/>
            <w:tcMar>
              <w:top w:type="dxa" w:w="45"/>
              <w:left w:type="dxa" w:w="70"/>
              <w:bottom w:type="dxa" w:w="45"/>
              <w:right w:type="dxa" w:w="70"/>
            </w:tcMar>
          </w:tcPr>
          <w:p>
            <w:pPr>
              <w:spacing w:after="0"/>
              <w:jc w:val="center"/>
            </w:pPr>
            <w:r>
              <w:rPr>
                <w:rFonts w:ascii="Calibri" w:cs="Calibri" w:eastAsia="Calibri" w:hAnsi="Calibri"/>
                <w:sz w:val="17"/>
                <w:szCs w:val="17"/>
              </w:rPr>
              <w:t xml:space="preserve">300</w:t>
            </w:r>
          </w:p>
        </w:tc>
        <w:tc>
          <w:tcPr>
            <w:tcW w:type="dxa" w:w="1700"/>
            <w:tcMar>
              <w:top w:type="dxa" w:w="45"/>
              <w:left w:type="dxa" w:w="70"/>
              <w:bottom w:type="dxa" w:w="45"/>
              <w:right w:type="dxa" w:w="70"/>
            </w:tcMar>
          </w:tcPr>
          <w:p>
            <w:pPr>
              <w:spacing w:after="0"/>
              <w:jc w:val="center"/>
            </w:pPr>
            <w:r>
              <w:rPr>
                <w:rFonts w:ascii="Calibri" w:cs="Calibri" w:eastAsia="Calibri" w:hAnsi="Calibri"/>
                <w:sz w:val="17"/>
                <w:szCs w:val="17"/>
              </w:rPr>
              <w:t xml:space="preserve">3000 × 1380</w:t>
            </w:r>
          </w:p>
        </w:tc>
        <w:tc>
          <w:tcPr>
            <w:tcW w:type="dxa" w:w="2500"/>
            <w:tcMar>
              <w:top w:type="dxa" w:w="45"/>
              <w:left w:type="dxa" w:w="70"/>
              <w:bottom w:type="dxa" w:w="45"/>
              <w:right w:type="dxa" w:w="70"/>
            </w:tcMar>
          </w:tcPr>
          <w:p>
            <w:pPr>
              <w:spacing w:after="0"/>
              <w:jc w:val="center"/>
            </w:pPr>
            <w:r>
              <w:rPr>
                <w:rFonts w:ascii="Calibri" w:cs="Calibri" w:eastAsia="Calibri" w:hAnsi="Calibri"/>
                <w:sz w:val="17"/>
                <w:szCs w:val="17"/>
              </w:rPr>
              <w:t xml:space="preserve">media página</w:t>
            </w:r>
          </w:p>
        </w:tc>
      </w:tr>
    </w:tbl>
    <w:p>
      <w:pPr>
        <w:spacing w:after="200" w:before="70"/>
      </w:pPr>
      <w:r>
        <w:rPr>
          <w:rFonts w:ascii="Calibri" w:cs="Calibri" w:eastAsia="Calibri" w:hAnsi="Calibri"/>
          <w:i/>
          <w:iCs/>
          <w:color w:val="555555"/>
          <w:sz w:val="16"/>
          <w:szCs w:val="16"/>
        </w:rPr>
        <w:t xml:space="preserve">Tabla D. Todas las figuras se exportan a 300 dpi, por encima del mínimo habitual de las revistas. Los paneles individuales son cuadrados (aspect.ratio = 1).</w:t>
      </w:r>
    </w:p>
    <w:p>
      <w:pPr>
        <w:spacing w:after="120" w:line="276"/>
      </w:pPr>
      <w:r>
        <w:rPr>
          <w:rFonts w:ascii="Calibri" w:cs="Calibri" w:eastAsia="Calibri" w:hAnsi="Calibri"/>
          <w:sz w:val="20"/>
          <w:szCs w:val="20"/>
        </w:rPr>
        <w:t xml:space="preserve">El ancho útil de una A4 vertical con márgenes de 2 cm es de 17 cm, es decir 6.7 pulgadas. Una figura de 12 pulgadas de ancho se reduce al 56 %, lo que equivale a 535 dpi efectivos: sobra resolución. Si alguna revista pide ancho de columna simple (unos 8.5 cm), conviene regenerar esas figuras con menos paneles por fila en lugar de reducir el tamaño, porque a esa escala el texto de 7 pt quedaría por debajo del mínimo legible.</w:t>
      </w:r>
    </w:p>
    <w:p>
      <w:pPr>
        <w:pStyle w:val="Heading2"/>
        <w:spacing w:after="130" w:before="260"/>
      </w:pPr>
      <w:r>
        <w:rPr>
          <w:rFonts w:ascii="Calibri" w:cs="Calibri" w:eastAsia="Calibri" w:hAnsi="Calibri"/>
        </w:rPr>
        <w:t xml:space="preserve">Archivos generados</w:t>
      </w:r>
    </w:p>
    <w:p>
      <w:pPr>
        <w:pStyle w:val="ListParagraph"/>
        <w:numPr>
          <w:ilvl w:val="0"/>
          <w:numId w:val="2"/>
        </w:numPr>
        <w:spacing w:after="70" w:line="270"/>
      </w:pPr>
      <w:r>
        <w:rPr>
          <w:rFonts w:ascii="Calibri" w:cs="Calibri" w:eastAsia="Calibri" w:hAnsi="Calibri"/>
          <w:sz w:val="20"/>
          <w:szCs w:val="20"/>
        </w:rPr>
        <w:t xml:space="preserve">02_Species-analysis-dummies_Bernacchi.Rmd — script adaptado, con la sección 5 de figuras</w:t>
      </w:r>
    </w:p>
    <w:p>
      <w:pPr>
        <w:pStyle w:val="ListParagraph"/>
        <w:numPr>
          <w:ilvl w:val="0"/>
          <w:numId w:val="2"/>
        </w:numPr>
        <w:spacing w:after="70" w:line="270"/>
      </w:pPr>
      <w:r>
        <w:rPr>
          <w:rFonts w:ascii="Calibri" w:cs="Calibri" w:eastAsia="Calibri" w:hAnsi="Calibri"/>
          <w:sz w:val="20"/>
          <w:szCs w:val="20"/>
        </w:rPr>
        <w:t xml:space="preserve">resultados_modelos.xlsx — coeficientes, R², AIC, BIC y selección de modelos</w:t>
      </w:r>
    </w:p>
    <w:p>
      <w:pPr>
        <w:pStyle w:val="ListParagraph"/>
        <w:numPr>
          <w:ilvl w:val="0"/>
          <w:numId w:val="2"/>
        </w:numPr>
        <w:spacing w:after="70" w:line="270"/>
      </w:pPr>
      <w:r>
        <w:rPr>
          <w:rFonts w:ascii="Calibri" w:cs="Calibri" w:eastAsia="Calibri" w:hAnsi="Calibri"/>
          <w:sz w:val="20"/>
          <w:szCs w:val="20"/>
        </w:rPr>
        <w:t xml:space="preserve">fig_emm_hibrida.png — figura 5, 12 × 15 in a 300 dpi</w:t>
      </w:r>
    </w:p>
    <w:p>
      <w:pPr>
        <w:pStyle w:val="ListParagraph"/>
        <w:numPr>
          <w:ilvl w:val="0"/>
          <w:numId w:val="2"/>
        </w:numPr>
        <w:spacing w:after="70" w:line="270"/>
      </w:pPr>
      <w:r>
        <w:rPr>
          <w:rFonts w:ascii="Calibri" w:cs="Calibri" w:eastAsia="Calibri" w:hAnsi="Calibri"/>
          <w:sz w:val="20"/>
          <w:szCs w:val="20"/>
        </w:rPr>
        <w:t xml:space="preserve">fig_iwue_nulo.png — figura 6</w:t>
      </w:r>
    </w:p>
    <w:p>
      <w:pPr>
        <w:pStyle w:val="ListParagraph"/>
        <w:numPr>
          <w:ilvl w:val="0"/>
          <w:numId w:val="2"/>
        </w:numPr>
        <w:spacing w:after="70" w:line="270"/>
      </w:pPr>
      <w:r>
        <w:rPr>
          <w:rFonts w:ascii="Calibri" w:cs="Calibri" w:eastAsia="Calibri" w:hAnsi="Calibri"/>
          <w:sz w:val="20"/>
          <w:szCs w:val="20"/>
        </w:rPr>
        <w:t xml:space="preserve">fig_coef_{fisio, morfo, nutrientes}.png — figuras 7 a 9</w:t>
      </w:r>
    </w:p>
    <w:p>
      <w:pPr>
        <w:pStyle w:val="ListParagraph"/>
        <w:numPr>
          <w:ilvl w:val="0"/>
          <w:numId w:val="2"/>
        </w:numPr>
        <w:spacing w:after="70" w:line="270"/>
      </w:pPr>
      <w:r>
        <w:rPr>
          <w:rFonts w:ascii="Calibri" w:cs="Calibri" w:eastAsia="Calibri" w:hAnsi="Calibri"/>
          <w:sz w:val="20"/>
          <w:szCs w:val="20"/>
        </w:rPr>
        <w:t xml:space="preserve">fig_iwue_comparacion.png — figura 10</w:t>
      </w:r>
    </w:p>
    <w:sectPr>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6"/>
      <w:szCs w:val="26"/>
    </w:rPr>
  </w:style>
  <w:style w:type="paragraph" w:styleId="Heading2">
    <w:name w:val="Heading 2"/>
    <w:basedOn w:val="Normal"/>
    <w:next w:val="Normal"/>
    <w:qFormat/>
    <w:rPr>
      <w:rFonts w:ascii="Calibri" w:cs="Calibri" w:eastAsia="Calibri" w:hAnsi="Calibri"/>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8b434823794c74a4a59693074ba48b6fbdd3ab.png"/><Relationship Id="rId8" Type="http://schemas.openxmlformats.org/officeDocument/2006/relationships/image" Target="media/6da9237c2602ddf2fb7c70b1e123dabaa47967f7.png"/><Relationship Id="rId9" Type="http://schemas.openxmlformats.org/officeDocument/2006/relationships/image" Target="media/f91c38a420c69d85149379fe00c4e47eaf7f3331.png"/><Relationship Id="rId10" Type="http://schemas.openxmlformats.org/officeDocument/2006/relationships/image" Target="media/9f01641993a37af0deef5413fdd9a1e146301e15.png"/><Relationship Id="rId11" Type="http://schemas.openxmlformats.org/officeDocument/2006/relationships/image" Target="media/aa8105ed3ba0ef4b8c0c4c070c85e0277a932eef.png"/><Relationship Id="rId12" Type="http://schemas.openxmlformats.org/officeDocument/2006/relationships/image" Target="media/8d1093abb658f6b6626a49fa53ded326b787f59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2026-09-01T03:18:38.304Z</dcterms:created>
  <dcterms:modified xsi:type="dcterms:W3CDTF">2026-09-01T03:18:38.304Z</dcterms:modified>
</cp:coreProperties>
</file>

<file path=docProps/custom.xml><?xml version="1.0" encoding="utf-8"?>
<Properties xmlns="http://schemas.openxmlformats.org/officeDocument/2006/custom-properties" xmlns:vt="http://schemas.openxmlformats.org/officeDocument/2006/docPropsVTypes"/>
</file>