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32"/>
          <w:szCs w:val="32"/>
        </w:rPr>
        <w:t xml:space="preserve">Métodos y redacción de resultados: emmeans con p-valores sin ajustar</w:t>
      </w:r>
    </w:p>
    <w:p>
      <w:pPr>
        <w:pBdr>
          <w:bottom w:val="single" w:color="1F4E79" w:sz="8" w:space="6"/>
        </w:pBdr>
        <w:spacing w:after="300"/>
      </w:pPr>
      <w:r>
        <w:rPr>
          <w:color w:val="595959"/>
          <w:sz w:val="19"/>
          <w:szCs w:val="19"/>
        </w:rPr>
        <w:t xml:space="preserve">NUMEX · dataset Bernacchi · Andrea Chávez · 10 de septiembre de 2026</w:t>
      </w:r>
    </w:p>
    <w:p>
      <w:pPr>
        <w:spacing w:after="140" w:line="276"/>
      </w:pPr>
      <w:r>
        <w:rPr>
          <w:sz w:val="21"/>
          <w:szCs w:val="21"/>
        </w:rPr>
        <w:t xml:space="preserve">Todos los números de este documento se re-calcularon el 10-09-2026 sobre </w:t>
      </w:r>
      <w:r>
        <w:rPr>
          <w:rFonts w:ascii="Consolas" w:cs="Consolas" w:eastAsia="Consolas" w:hAnsi="Consolas"/>
          <w:sz w:val="18"/>
          <w:szCs w:val="18"/>
        </w:rPr>
        <w:t xml:space="preserve">data_for_R_Bernacchi.xlsx</w:t>
      </w:r>
      <w:r>
        <w:rPr>
          <w:sz w:val="21"/>
          <w:szCs w:val="21"/>
        </w:rPr>
        <w:t xml:space="preserve"> con R 4.3.3, lme4 1.1-35.1, lmerTest 3.1-3 y emmeans 1.10.0 — las mismas versiones con las que se generaron las figuras. Se pueden copiar directamente al manuscrito.</w:t>
      </w:r>
    </w:p>
    <w:p>
      <w:pPr>
        <w:pStyle w:val="Heading1"/>
        <w:spacing w:after="160" w:before="340"/>
      </w:pPr>
      <w:r>
        <w:rPr>
          <w:b/>
          <w:bCs/>
          <w:color w:val="1F4E79"/>
          <w:sz w:val="28"/>
          <w:szCs w:val="28"/>
        </w:rPr>
        <w:t xml:space="preserve">1. Párrafo de métodos, listo para pegar</w:t>
      </w:r>
    </w:p>
    <w:p>
      <w:pPr>
        <w:spacing w:after="140" w:line="276"/>
      </w:pPr>
      <w:r>
        <w:rPr>
          <w:sz w:val="21"/>
          <w:szCs w:val="21"/>
        </w:rPr>
        <w:t xml:space="preserve">Son tres párrafos: ajuste y selección de modelos, medias marginales y contrastes, y la declaración explícita sobre los p-valores. El tercero es el que responde a tu pregunta, pero los otros dos hacen falta para que se entienda de dónde salen los contrastes.</w:t>
      </w:r>
    </w:p>
    <w:p>
      <w:pPr>
        <w:pStyle w:val="Heading2"/>
        <w:spacing w:after="120" w:before="260"/>
      </w:pPr>
      <w:r>
        <w:rPr>
          <w:b/>
          <w:bCs/>
          <w:color w:val="1F4E79"/>
          <w:sz w:val="23"/>
          <w:szCs w:val="23"/>
        </w:rPr>
        <w:t xml:space="preserve">Statistical analysis (texto en inglés)</w:t>
      </w:r>
    </w:p>
    <w:p>
      <w:pPr>
        <w:pBdr>
          <w:left w:val="single" w:color="1F4E79" w:sz="18" w:space="10"/>
        </w:pBdr>
        <w:shd w:fill="F7F9FC" w:val="clear"/>
        <w:spacing w:after="160" w:line="300"/>
        <w:ind w:left="260" w:right="120"/>
      </w:pPr>
      <w:r>
        <w:rPr>
          <w:sz w:val="21"/>
          <w:szCs w:val="21"/>
        </w:rPr>
        <w:t xml:space="preserve">Trait responses to fertilization were analysed separately for each species. For each trait we fitted a linear mixed model with nitrogen (N) and phosphorus (P) addition as dummy-coded fixed factors (0 = not added, 1 = added) and block as a random intercept (lme4 v1.1-35.1; Bates et al. 2015). For every species × trait combination we compared an additive model (N + P) against a model including the interaction (N × P) with a likelihood-ratio test on maximum-likelihood fits, and retained the interaction only when it improved the fit at p &lt; 0.05; the selected model was then refitted by restricted maximum likelihood for inference. Degrees of freedom and p-values for the fixed effects were obtained with the Satterthwaite approximation (lmerTest v3.1-3; Kuznetsova et al. 2017).</w:t>
      </w:r>
    </w:p>
    <w:p>
      <w:pPr>
        <w:pBdr>
          <w:left w:val="single" w:color="1F4E79" w:sz="18" w:space="10"/>
        </w:pBdr>
        <w:shd w:fill="F7F9FC" w:val="clear"/>
        <w:spacing w:after="160" w:line="300"/>
        <w:ind w:left="260" w:right="120"/>
      </w:pPr>
      <w:r>
        <w:rPr>
          <w:sz w:val="21"/>
          <w:szCs w:val="21"/>
        </w:rPr>
        <w:t xml:space="preserve">From each selected model we estimated the marginal means of the four treatment combinations (control, +N, +P, +N+P) and their 95% confidence intervals with the emmeans package (v1.10.0; Lenth 2024), using the same Satterthwaite degrees of freedom as the model summaries. Treatment effects were quantified as explicit contrasts of each fertilized combination against the unfertilized control of the same species. Because N and P are dummy-coded, the N and P contrasts are by construction identical to the corresponding model coefficients; the N+P contrast is the only one with no single coefficient, being bN + bP in the additive model and bN + bP + bN×P when the interaction was retained. For traits modelled on the log scale, contrasts were back-transformed to percentage change relative to the control as (exp(d) − 1) × 100, which makes the magnitude of the response comparable among species with contrasting baseline concentrations.</w:t>
      </w:r>
    </w:p>
    <w:p>
      <w:pPr>
        <w:pBdr>
          <w:left w:val="single" w:color="1F4E79" w:sz="18" w:space="10"/>
        </w:pBdr>
        <w:shd w:fill="F7F9FC" w:val="clear"/>
        <w:spacing w:after="160" w:line="300"/>
        <w:ind w:left="260" w:right="120"/>
      </w:pPr>
      <w:r>
        <w:rPr>
          <w:sz w:val="21"/>
          <w:szCs w:val="21"/>
        </w:rPr>
        <w:t xml:space="preserve">P-values reported in the main text and in Fig. X are unadjusted for multiple comparisons. We regard the species-level analyses as exploratory: the relevant multiplicity is not the three contrasts within a panel but the full set of 42 species × trait models, which a correction over three comparisons would not address. Reporting unadjusted p-values keeps the figure numerically identical to the coefficient tables (Table SX) and lets readers apply their own correction; for transparency, the same contrasts with a Dunnett adjustment for the three comparisons against the control are provided in Table SX. Inference is therefore based on effect sizes and confidence intervals rather than on significance thresholds alone, and no conclusion is drawn from cells containing fewer than three trees (Clarisia racemosa +N, n = 1; Weinmannia loxensis +N+P, n = 2).</w:t>
      </w:r>
    </w:p>
    <w:p>
      <w:pPr>
        <w:spacing w:after="100" w:line="276"/>
      </w:pPr>
      <w:r>
        <w:rPr>
          <w:sz w:val="21"/>
          <w:szCs w:val="21"/>
        </w:rPr>
        <w:t xml:space="preserve">En español, por si lo necesitas para la tesis o para una versión en castellano:</w:t>
      </w:r>
    </w:p>
    <w:p>
      <w:pPr>
        <w:pBdr>
          <w:left w:val="single" w:color="1F4E79" w:sz="18" w:space="10"/>
        </w:pBdr>
        <w:shd w:fill="F7F9FC" w:val="clear"/>
        <w:spacing w:after="160" w:line="300"/>
        <w:ind w:left="260" w:right="120"/>
      </w:pPr>
      <w:r>
        <w:rPr>
          <w:sz w:val="21"/>
          <w:szCs w:val="21"/>
        </w:rPr>
        <w:t xml:space="preserve">Los p-valores del texto principal y de la Fig. X no están corregidos por comparaciones múltiples. El análisis por especie se plantea como exploratorio: la multiplicidad relevante no son los tres contrastes de un panel, sino el conjunto de 42 modelos especie × rasgo, que una corrección sobre tres comparaciones no resolvería. Presentar los p sin ajustar mantiene la figura numéricamente idéntica a las tablas de coeficientes y permite a quien lea aplicar su propia corrección; los mismos contrastes con corrección de Dunnett se incluyen en el material suplementario. La interpretación se apoya en los tamaños de efecto y sus intervalos de confianza, no solo en los umbrales de significancia.</w:t>
      </w:r>
    </w:p>
    <w:p>
      <w:pPr>
        <w:spacing w:after="140" w:line="276"/>
      </w:pPr>
      <w:r>
        <w:rPr>
          <w:b/>
          <w:bCs/>
          <w:sz w:val="21"/>
          <w:szCs w:val="21"/>
        </w:rPr>
        <w:t xml:space="preserve">Nota sobre las referencias: </w:t>
      </w:r>
      <w:r>
        <w:rPr>
          <w:sz w:val="21"/>
          <w:szCs w:val="21"/>
        </w:rPr>
        <w:t xml:space="preserve">cita emmeans como Lenth, R. V. (2024). emmeans: Estimated Marginal Means, aka Least-Squares Means. R package version 1.10.0. Y comprueba el año en tu propia sesión con </w:t>
      </w:r>
      <w:r>
        <w:rPr>
          <w:rFonts w:ascii="Consolas" w:cs="Consolas" w:eastAsia="Consolas" w:hAnsi="Consolas"/>
          <w:sz w:val="18"/>
          <w:szCs w:val="18"/>
        </w:rPr>
        <w:t xml:space="preserve">citation("emmeans")</w:t>
      </w:r>
      <w:r>
        <w:rPr>
          <w:sz w:val="21"/>
          <w:szCs w:val="21"/>
        </w:rPr>
        <w:t xml:space="preserve">.</w:t>
      </w:r>
    </w:p>
    <w:p>
      <w:pPr>
        <w:pStyle w:val="Heading1"/>
        <w:spacing w:after="160" w:before="340"/>
      </w:pPr>
      <w:r>
        <w:rPr>
          <w:b/>
          <w:bCs/>
          <w:color w:val="1F4E79"/>
          <w:sz w:val="28"/>
          <w:szCs w:val="28"/>
        </w:rPr>
        <w:t xml:space="preserve">2. Las tablas que tienes y en qué se diferencian</w:t>
      </w:r>
    </w:p>
    <w:p>
      <w:pPr>
        <w:spacing w:after="140" w:line="276"/>
      </w:pPr>
      <w:r>
        <w:rPr>
          <w:sz w:val="21"/>
          <w:szCs w:val="21"/>
        </w:rPr>
        <w:t xml:space="preserve">Hay tres salidas distintas y es fácil confundirlas porque comparten números. Esto es lo que hay en cada una: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50"/>
        <w:gridCol w:w="1500"/>
        <w:gridCol w:w="4550"/>
      </w:tblGrid>
      <w:tr>
        <w:trPr>
          <w:tblHeader/>
        </w:trPr>
        <w:tc>
          <w:tcPr>
            <w:tcW w:type="dxa" w:w="2950"/>
            <w:shd w:fill="F2F2F2" w:val="clear"/>
            <w:tcMar>
              <w:top w:type="dxa" w:w="70"/>
              <w:left w:type="dxa" w:w="100"/>
              <w:bottom w:type="dxa" w:w="70"/>
              <w:right w:type="dxa" w:w="100"/>
            </w:tcMar>
          </w:tcPr>
          <w:p>
            <w:pPr>
              <w:spacing w:after="0" w:line="240"/>
              <w:jc w:val="left"/>
            </w:pPr>
            <w:r>
              <w:rPr>
                <w:b/>
                <w:bCs/>
                <w:sz w:val="18"/>
                <w:szCs w:val="18"/>
              </w:rPr>
              <w:t xml:space="preserve">Salida</w:t>
            </w:r>
          </w:p>
        </w:tc>
        <w:tc>
          <w:tcPr>
            <w:tcW w:type="dxa" w:w="1500"/>
            <w:shd w:fill="F2F2F2" w:val="clear"/>
            <w:tcMar>
              <w:top w:type="dxa" w:w="70"/>
              <w:left w:type="dxa" w:w="100"/>
              <w:bottom w:type="dxa" w:w="70"/>
              <w:right w:type="dxa" w:w="100"/>
            </w:tcMar>
          </w:tcPr>
          <w:p>
            <w:pPr>
              <w:spacing w:after="0" w:line="240"/>
              <w:jc w:val="left"/>
            </w:pPr>
            <w:r>
              <w:rPr>
                <w:b/>
                <w:bCs/>
                <w:sz w:val="18"/>
                <w:szCs w:val="18"/>
              </w:rPr>
              <w:t xml:space="preserve">Viene de</w:t>
            </w:r>
          </w:p>
        </w:tc>
        <w:tc>
          <w:tcPr>
            <w:tcW w:type="dxa" w:w="4550"/>
            <w:shd w:fill="F2F2F2" w:val="clear"/>
            <w:tcMar>
              <w:top w:type="dxa" w:w="70"/>
              <w:left w:type="dxa" w:w="100"/>
              <w:bottom w:type="dxa" w:w="70"/>
              <w:right w:type="dxa" w:w="100"/>
            </w:tcMar>
          </w:tcPr>
          <w:p>
            <w:pPr>
              <w:spacing w:after="0" w:line="240"/>
              <w:jc w:val="left"/>
            </w:pPr>
            <w:r>
              <w:rPr>
                <w:b/>
                <w:bCs/>
                <w:sz w:val="18"/>
                <w:szCs w:val="18"/>
              </w:rPr>
              <w:t xml:space="preserve">Qué contiene</w:t>
            </w:r>
          </w:p>
        </w:tc>
      </w:tr>
      <w:tr>
        <w:tc>
          <w:tcPr>
            <w:tcW w:type="dxa" w:w="2950"/>
            <w:tcMar>
              <w:top w:type="dxa" w:w="70"/>
              <w:left w:type="dxa" w:w="100"/>
              <w:bottom w:type="dxa" w:w="70"/>
              <w:right w:type="dxa" w:w="100"/>
            </w:tcMar>
          </w:tcPr>
          <w:p>
            <w:pPr>
              <w:spacing w:after="0" w:line="240"/>
              <w:jc w:val="left"/>
            </w:pPr>
            <w:r>
              <w:rPr>
                <w:rFonts w:ascii="Consolas" w:cs="Consolas" w:eastAsia="Consolas" w:hAnsi="Consolas"/>
                <w:sz w:val="17"/>
                <w:szCs w:val="17"/>
              </w:rPr>
              <w:t xml:space="preserve">resultados_modelos_Bernacchi.xlsx</w:t>
            </w:r>
          </w:p>
        </w:tc>
        <w:tc>
          <w:tcPr>
            <w:tcW w:type="dxa" w:w="1500"/>
            <w:tcMar>
              <w:top w:type="dxa" w:w="70"/>
              <w:left w:type="dxa" w:w="100"/>
              <w:bottom w:type="dxa" w:w="70"/>
              <w:right w:type="dxa" w:w="100"/>
            </w:tcMar>
          </w:tcPr>
          <w:p>
            <w:pPr>
              <w:spacing w:after="0" w:line="240"/>
              <w:jc w:val="left"/>
            </w:pPr>
            <w:r>
              <w:rPr>
                <w:sz w:val="18"/>
                <w:szCs w:val="18"/>
              </w:rPr>
              <w:t xml:space="preserve">02_...Rmd</w:t>
            </w:r>
          </w:p>
        </w:tc>
        <w:tc>
          <w:tcPr>
            <w:tcW w:type="dxa" w:w="4550"/>
            <w:tcMar>
              <w:top w:type="dxa" w:w="70"/>
              <w:left w:type="dxa" w:w="100"/>
              <w:bottom w:type="dxa" w:w="70"/>
              <w:right w:type="dxa" w:w="100"/>
            </w:tcMar>
          </w:tcPr>
          <w:p>
            <w:pPr>
              <w:spacing w:after="0" w:line="240"/>
              <w:jc w:val="left"/>
            </w:pPr>
            <w:r>
              <w:rPr>
                <w:sz w:val="18"/>
                <w:szCs w:val="18"/>
              </w:rPr>
              <w:t xml:space="preserve">Coeficientes del modelo: términos N, P y N:P, con estimado, SE, IC 95 %, p sin ajustar, R²m, R²c, AIC, BIC, n. </w:t>
            </w:r>
            <w:r>
              <w:rPr>
                <w:b/>
                <w:bCs/>
                <w:sz w:val="18"/>
                <w:szCs w:val="18"/>
              </w:rPr>
              <w:t xml:space="preserve">No tiene fila N+P.</w:t>
            </w:r>
          </w:p>
        </w:tc>
      </w:tr>
      <w:tr>
        <w:tc>
          <w:tcPr>
            <w:tcW w:type="dxa" w:w="2950"/>
            <w:tcMar>
              <w:top w:type="dxa" w:w="70"/>
              <w:left w:type="dxa" w:w="100"/>
              <w:bottom w:type="dxa" w:w="70"/>
              <w:right w:type="dxa" w:w="100"/>
            </w:tcMar>
          </w:tcPr>
          <w:p>
            <w:pPr>
              <w:spacing w:after="0" w:line="240"/>
              <w:jc w:val="left"/>
            </w:pPr>
            <w:r>
              <w:rPr>
                <w:rFonts w:ascii="Consolas" w:cs="Consolas" w:eastAsia="Consolas" w:hAnsi="Consolas"/>
                <w:sz w:val="17"/>
                <w:szCs w:val="17"/>
              </w:rPr>
              <w:t xml:space="preserve">contrasts_vs_control_Bernacchi_EN.csv</w:t>
            </w:r>
          </w:p>
        </w:tc>
        <w:tc>
          <w:tcPr>
            <w:tcW w:type="dxa" w:w="1500"/>
            <w:tcMar>
              <w:top w:type="dxa" w:w="70"/>
              <w:left w:type="dxa" w:w="100"/>
              <w:bottom w:type="dxa" w:w="70"/>
              <w:right w:type="dxa" w:w="100"/>
            </w:tcMar>
          </w:tcPr>
          <w:p>
            <w:pPr>
              <w:spacing w:after="0" w:line="240"/>
              <w:jc w:val="left"/>
            </w:pPr>
            <w:r>
              <w:rPr>
                <w:sz w:val="18"/>
                <w:szCs w:val="18"/>
              </w:rPr>
              <w:t xml:space="preserve">03_...Rmd</w:t>
            </w:r>
          </w:p>
        </w:tc>
        <w:tc>
          <w:tcPr>
            <w:tcW w:type="dxa" w:w="4550"/>
            <w:tcMar>
              <w:top w:type="dxa" w:w="70"/>
              <w:left w:type="dxa" w:w="100"/>
              <w:bottom w:type="dxa" w:w="70"/>
              <w:right w:type="dxa" w:w="100"/>
            </w:tcMar>
          </w:tcPr>
          <w:p>
            <w:pPr>
              <w:spacing w:after="0" w:line="240"/>
              <w:jc w:val="left"/>
            </w:pPr>
            <w:r>
              <w:rPr>
                <w:sz w:val="18"/>
                <w:szCs w:val="18"/>
              </w:rPr>
              <w:t xml:space="preserve">Los tres contrastes contra el control (N, P y N+P) por especie × variable, con el p sin ajustar </w:t>
            </w:r>
            <w:r>
              <w:rPr>
                <w:i/>
                <w:iCs/>
                <w:sz w:val="18"/>
                <w:szCs w:val="18"/>
              </w:rPr>
              <w:t xml:space="preserve">y</w:t>
            </w:r>
            <w:r>
              <w:rPr>
                <w:sz w:val="18"/>
                <w:szCs w:val="18"/>
              </w:rPr>
              <w:t xml:space="preserve"> el p de Dunnett del mismo contraste.</w:t>
            </w:r>
          </w:p>
        </w:tc>
      </w:tr>
      <w:tr>
        <w:tc>
          <w:tcPr>
            <w:tcW w:type="dxa" w:w="2950"/>
            <w:tcMar>
              <w:top w:type="dxa" w:w="70"/>
              <w:left w:type="dxa" w:w="100"/>
              <w:bottom w:type="dxa" w:w="70"/>
              <w:right w:type="dxa" w:w="100"/>
            </w:tcMar>
          </w:tcPr>
          <w:p>
            <w:pPr>
              <w:spacing w:after="0" w:line="240"/>
              <w:jc w:val="left"/>
            </w:pPr>
            <w:r>
              <w:rPr>
                <w:rFonts w:ascii="Consolas" w:cs="Consolas" w:eastAsia="Consolas" w:hAnsi="Consolas"/>
                <w:sz w:val="17"/>
                <w:szCs w:val="17"/>
              </w:rPr>
              <w:t xml:space="preserve">percent_change_vs_control_Bernacchi_EN.csv</w:t>
            </w:r>
          </w:p>
        </w:tc>
        <w:tc>
          <w:tcPr>
            <w:tcW w:type="dxa" w:w="1500"/>
            <w:tcMar>
              <w:top w:type="dxa" w:w="70"/>
              <w:left w:type="dxa" w:w="100"/>
              <w:bottom w:type="dxa" w:w="70"/>
              <w:right w:type="dxa" w:w="100"/>
            </w:tcMar>
          </w:tcPr>
          <w:p>
            <w:pPr>
              <w:spacing w:after="0" w:line="240"/>
              <w:jc w:val="left"/>
            </w:pPr>
            <w:r>
              <w:rPr>
                <w:sz w:val="18"/>
                <w:szCs w:val="18"/>
              </w:rPr>
              <w:t xml:space="preserve">03_...Rmd</w:t>
            </w:r>
          </w:p>
        </w:tc>
        <w:tc>
          <w:tcPr>
            <w:tcW w:type="dxa" w:w="4550"/>
            <w:tcMar>
              <w:top w:type="dxa" w:w="70"/>
              <w:left w:type="dxa" w:w="100"/>
              <w:bottom w:type="dxa" w:w="70"/>
              <w:right w:type="dxa" w:w="100"/>
            </w:tcMar>
          </w:tcPr>
          <w:p>
            <w:pPr>
              <w:spacing w:after="0" w:line="240"/>
              <w:jc w:val="left"/>
            </w:pPr>
            <w:r>
              <w:rPr>
                <w:sz w:val="18"/>
                <w:szCs w:val="18"/>
              </w:rPr>
              <w:t xml:space="preserve">Solo las variables log (ln N, ln P): el mismo contraste expresado como % de cambio respecto al control, con su IC.</w:t>
            </w:r>
          </w:p>
        </w:tc>
      </w:tr>
      <w:tr>
        <w:tc>
          <w:tcPr>
            <w:tcW w:type="dxa" w:w="2950"/>
            <w:tcMar>
              <w:top w:type="dxa" w:w="70"/>
              <w:left w:type="dxa" w:w="100"/>
              <w:bottom w:type="dxa" w:w="70"/>
              <w:right w:type="dxa" w:w="100"/>
            </w:tcMar>
          </w:tcPr>
          <w:p>
            <w:pPr>
              <w:spacing w:after="0" w:line="240"/>
              <w:jc w:val="left"/>
            </w:pPr>
            <w:r>
              <w:rPr>
                <w:rFonts w:ascii="Consolas" w:cs="Consolas" w:eastAsia="Consolas" w:hAnsi="Consolas"/>
                <w:sz w:val="17"/>
                <w:szCs w:val="17"/>
              </w:rPr>
              <w:t xml:space="preserve">seleccion_modelos_*_Bernacchi.csv</w:t>
            </w:r>
          </w:p>
        </w:tc>
        <w:tc>
          <w:tcPr>
            <w:tcW w:type="dxa" w:w="1500"/>
            <w:tcMar>
              <w:top w:type="dxa" w:w="70"/>
              <w:left w:type="dxa" w:w="100"/>
              <w:bottom w:type="dxa" w:w="70"/>
              <w:right w:type="dxa" w:w="100"/>
            </w:tcMar>
          </w:tcPr>
          <w:p>
            <w:pPr>
              <w:spacing w:after="0" w:line="240"/>
              <w:jc w:val="left"/>
            </w:pPr>
            <w:r>
              <w:rPr>
                <w:sz w:val="18"/>
                <w:szCs w:val="18"/>
              </w:rPr>
              <w:t xml:space="preserve">02_...Rmd</w:t>
            </w:r>
          </w:p>
        </w:tc>
        <w:tc>
          <w:tcPr>
            <w:tcW w:type="dxa" w:w="4550"/>
            <w:tcMar>
              <w:top w:type="dxa" w:w="70"/>
              <w:left w:type="dxa" w:w="100"/>
              <w:bottom w:type="dxa" w:w="70"/>
              <w:right w:type="dxa" w:w="100"/>
            </w:tcMar>
          </w:tcPr>
          <w:p>
            <w:pPr>
              <w:spacing w:after="0" w:line="240"/>
              <w:jc w:val="left"/>
            </w:pPr>
            <w:r>
              <w:rPr>
                <w:sz w:val="18"/>
                <w:szCs w:val="18"/>
              </w:rPr>
              <w:t xml:space="preserve">El LRT que decide entre N + P y N × P: χ², p, AIC y BIC de las dos versiones, y el modelo sugerido.</w:t>
            </w:r>
          </w:p>
        </w:tc>
      </w:tr>
    </w:tbl>
    <w:p>
      <w:pPr>
        <w:spacing w:after="220" w:before="80"/>
      </w:pPr>
      <w:r>
        <w:rPr>
          <w:i/>
          <w:iCs/>
          <w:color w:val="595959"/>
          <w:sz w:val="17"/>
          <w:szCs w:val="17"/>
        </w:rPr>
        <w:t xml:space="preserve">Las cuatro salidas de números que alimentan el manuscrito.</w:t>
      </w:r>
    </w:p>
    <w:p>
      <w:pPr>
        <w:pStyle w:val="Heading2"/>
        <w:spacing w:after="120" w:before="260"/>
      </w:pPr>
      <w:r>
        <w:rPr>
          <w:b/>
          <w:bCs/>
          <w:color w:val="1F4E79"/>
          <w:sz w:val="23"/>
          <w:szCs w:val="23"/>
        </w:rPr>
        <w:t xml:space="preserve">Las cuatro diferencias que importan</w:t>
      </w:r>
    </w:p>
    <w:p>
      <w:pPr>
        <w:pStyle w:val="ListParagraph"/>
        <w:numPr>
          <w:ilvl w:val="0"/>
          <w:numId w:val="2"/>
        </w:numPr>
        <w:spacing w:after="90" w:line="276"/>
      </w:pPr>
      <w:r>
        <w:rPr>
          <w:b/>
          <w:bCs/>
          <w:sz w:val="21"/>
          <w:szCs w:val="21"/>
        </w:rPr>
        <w:t xml:space="preserve">N y P: el mismo número en las dos tablas. </w:t>
      </w:r>
      <w:r>
        <w:rPr>
          <w:sz w:val="21"/>
          <w:szCs w:val="21"/>
        </w:rPr>
        <w:t xml:space="preserve">Con codificación dummy, el coeficiente de P </w:t>
      </w:r>
      <w:r>
        <w:rPr>
          <w:i/>
          <w:iCs/>
          <w:sz w:val="21"/>
          <w:szCs w:val="21"/>
        </w:rPr>
        <w:t xml:space="preserve">es</w:t>
      </w:r>
      <w:r>
        <w:rPr>
          <w:sz w:val="21"/>
          <w:szCs w:val="21"/>
        </w:rPr>
        <w:t xml:space="preserve"> el contraste «P menos control». Estimado, SE y p coinciden dígito a dígito — comprobado en los 84 contrastes comprobables, discrepancia máxima 0. No tienes que elegir cuál citar.</w:t>
      </w:r>
    </w:p>
    <w:p>
      <w:pPr>
        <w:pStyle w:val="ListParagraph"/>
        <w:numPr>
          <w:ilvl w:val="0"/>
          <w:numId w:val="2"/>
        </w:numPr>
        <w:spacing w:after="90" w:line="276"/>
      </w:pPr>
      <w:r>
        <w:rPr>
          <w:b/>
          <w:bCs/>
          <w:sz w:val="21"/>
          <w:szCs w:val="21"/>
        </w:rPr>
        <w:t xml:space="preserve">N+P solo existe en la tabla de contrastes. </w:t>
      </w:r>
      <w:r>
        <w:rPr>
          <w:sz w:val="21"/>
          <w:szCs w:val="21"/>
        </w:rPr>
        <w:t xml:space="preserve">No corresponde a ningún coeficiente único: vale bN + bP en el modelo aditivo y bN + bP + bN×P cuando se retuvo la interacción. Si quieres hablar del tratamiento combinado, el número sale del CSV de contrastes, nunca de la tabla de coeficientes.</w:t>
      </w:r>
    </w:p>
    <w:p>
      <w:pPr>
        <w:pStyle w:val="ListParagraph"/>
        <w:numPr>
          <w:ilvl w:val="0"/>
          <w:numId w:val="2"/>
        </w:numPr>
        <w:spacing w:after="90" w:line="276"/>
      </w:pPr>
      <w:r>
        <w:rPr>
          <w:b/>
          <w:bCs/>
          <w:sz w:val="21"/>
          <w:szCs w:val="21"/>
        </w:rPr>
        <w:t xml:space="preserve">Los IC 95 % no son idénticos. </w:t>
      </w:r>
      <w:r>
        <w:rPr>
          <w:sz w:val="21"/>
          <w:szCs w:val="21"/>
        </w:rPr>
        <w:t xml:space="preserve">Es la única diferencia numérica real entre las dos tablas y conviene que la sepas antes de que la vea un revisor. La tabla de coeficientes usa IC de Wald (cuantil normal, ±1,96·SE, que es lo que devuelve </w:t>
      </w:r>
      <w:r>
        <w:rPr>
          <w:rFonts w:ascii="Consolas" w:cs="Consolas" w:eastAsia="Consolas" w:hAnsi="Consolas"/>
          <w:sz w:val="18"/>
          <w:szCs w:val="18"/>
        </w:rPr>
        <w:t xml:space="preserve">broom.mixed::tidy(conf.int = TRUE)</w:t>
      </w:r>
      <w:r>
        <w:rPr>
          <w:sz w:val="21"/>
          <w:szCs w:val="21"/>
        </w:rPr>
        <w:t xml:space="preserve">); emmeans usa el cuantil t con los grados de libertad de Satterthwaite, que son pocos. Mismo estimado, mismo SE, mismo p, intervalo ligeramente más ancho en emmeans. Ejemplo real (P. torta, ln P content, término P): Wald [−0,009 – 0,279] frente a emmeans [−0,016 – 0,286]. </w:t>
      </w:r>
      <w:r>
        <w:rPr>
          <w:b/>
          <w:bCs/>
          <w:sz w:val="21"/>
          <w:szCs w:val="21"/>
        </w:rPr>
        <w:t xml:space="preserve">Recomendación: toma los IC de la tabla de emmeans para todo, así coinciden con los de la figura.</w:t>
      </w:r>
    </w:p>
    <w:p>
      <w:pPr>
        <w:pStyle w:val="ListParagraph"/>
        <w:numPr>
          <w:ilvl w:val="0"/>
          <w:numId w:val="2"/>
        </w:numPr>
        <w:spacing w:after="90" w:line="276"/>
      </w:pPr>
      <w:r>
        <w:rPr>
          <w:b/>
          <w:bCs/>
          <w:sz w:val="21"/>
          <w:szCs w:val="21"/>
        </w:rPr>
        <w:t xml:space="preserve">Dunnett cambia el p, nunca el estimado. </w:t>
      </w:r>
      <w:r>
        <w:rPr>
          <w:sz w:val="21"/>
          <w:szCs w:val="21"/>
        </w:rPr>
        <w:t xml:space="preserve">La columna </w:t>
      </w:r>
      <w:r>
        <w:rPr>
          <w:rFonts w:ascii="Consolas" w:cs="Consolas" w:eastAsia="Consolas" w:hAnsi="Consolas"/>
          <w:sz w:val="18"/>
          <w:szCs w:val="18"/>
        </w:rPr>
        <w:t xml:space="preserve">p_dunnett</w:t>
      </w:r>
      <w:r>
        <w:rPr>
          <w:sz w:val="21"/>
          <w:szCs w:val="21"/>
        </w:rPr>
        <w:t xml:space="preserve"> del CSV de contrastes sale del mismo modelo y del mismo contraste; solo se corrige el p por las tres comparaciones contra el control. Por eso puedes publicar la versión sin ajustar y poner la corregida en el suplementario sin reajustar nada.</w:t>
      </w:r>
    </w:p>
    <w:p>
      <w:pPr>
        <w:spacing w:after="140" w:line="276"/>
      </w:pPr>
      <w:r>
        <w:rPr>
          <w:b/>
          <w:bCs/>
          <w:sz w:val="21"/>
          <w:szCs w:val="21"/>
        </w:rPr>
        <w:t xml:space="preserve">Pendiente de limpieza: </w:t>
      </w:r>
      <w:r>
        <w:rPr>
          <w:sz w:val="21"/>
          <w:szCs w:val="21"/>
        </w:rPr>
        <w:t xml:space="preserve">la figura híbrida del chunk </w:t>
      </w:r>
      <w:r>
        <w:rPr>
          <w:rFonts w:ascii="Consolas" w:cs="Consolas" w:eastAsia="Consolas" w:hAnsi="Consolas"/>
          <w:sz w:val="18"/>
          <w:szCs w:val="18"/>
        </w:rPr>
        <w:t xml:space="preserve">figura hibrida</w:t>
      </w:r>
      <w:r>
        <w:rPr>
          <w:sz w:val="21"/>
          <w:szCs w:val="21"/>
        </w:rPr>
        <w:t xml:space="preserve"> de </w:t>
      </w:r>
      <w:r>
        <w:rPr>
          <w:rFonts w:ascii="Consolas" w:cs="Consolas" w:eastAsia="Consolas" w:hAnsi="Consolas"/>
          <w:sz w:val="18"/>
          <w:szCs w:val="18"/>
        </w:rPr>
        <w:t xml:space="preserve">02_...Rmd</w:t>
      </w:r>
      <w:r>
        <w:rPr>
          <w:sz w:val="21"/>
          <w:szCs w:val="21"/>
        </w:rPr>
        <w:t xml:space="preserve"> sigue usando </w:t>
      </w:r>
      <w:r>
        <w:rPr>
          <w:rFonts w:ascii="Consolas" w:cs="Consolas" w:eastAsia="Consolas" w:hAnsi="Consolas"/>
          <w:sz w:val="18"/>
          <w:szCs w:val="18"/>
        </w:rPr>
        <w:t xml:space="preserve">contrast(emm, method = "trt.vs.ctrl", ref = 1)</w:t>
      </w:r>
      <w:r>
        <w:rPr>
          <w:sz w:val="21"/>
          <w:szCs w:val="21"/>
        </w:rPr>
        <w:t xml:space="preserve">, que aplica Dunnett por defecto y además usa Kenward-Roger en vez de Satterthwaite. Es el bug original. Esa figura debe salir del documento: la sustituye </w:t>
      </w:r>
      <w:r>
        <w:rPr>
          <w:rFonts w:ascii="Consolas" w:cs="Consolas" w:eastAsia="Consolas" w:hAnsi="Consolas"/>
          <w:sz w:val="18"/>
          <w:szCs w:val="18"/>
        </w:rPr>
        <w:t xml:space="preserve">fig_MAIN_emmeans_Bernacchi_EN.png</w:t>
      </w:r>
      <w:r>
        <w:rPr>
          <w:sz w:val="21"/>
          <w:szCs w:val="21"/>
        </w:rPr>
        <w:t xml:space="preserve"> del 03. Las tablas del 02 están bien; es solo esa figura.</w:t>
      </w:r>
    </w:p>
    <w:p>
      <w:pPr>
        <w:spacing w:after="140" w:line="276"/>
      </w:pPr>
      <w:r>
        <w:rPr>
          <w:b/>
          <w:bCs/>
          <w:sz w:val="21"/>
          <w:szCs w:val="21"/>
        </w:rPr>
        <w:t xml:space="preserve">Segunda cosa pendiente: </w:t>
      </w:r>
      <w:r>
        <w:rPr>
          <w:sz w:val="21"/>
          <w:szCs w:val="21"/>
        </w:rPr>
        <w:t xml:space="preserve">en </w:t>
      </w:r>
      <w:r>
        <w:rPr>
          <w:rFonts w:ascii="Consolas" w:cs="Consolas" w:eastAsia="Consolas" w:hAnsi="Consolas"/>
          <w:sz w:val="18"/>
          <w:szCs w:val="18"/>
        </w:rPr>
        <w:t xml:space="preserve">vars_morfo</w:t>
      </w:r>
      <w:r>
        <w:rPr>
          <w:sz w:val="21"/>
          <w:szCs w:val="21"/>
        </w:rPr>
        <w:t xml:space="preserve"> del 02, la etiqueta de la columna </w:t>
      </w:r>
      <w:r>
        <w:rPr>
          <w:rFonts w:ascii="Consolas" w:cs="Consolas" w:eastAsia="Consolas" w:hAnsi="Consolas"/>
          <w:sz w:val="18"/>
          <w:szCs w:val="18"/>
        </w:rPr>
        <w:t xml:space="preserve">LA</w:t>
      </w:r>
      <w:r>
        <w:rPr>
          <w:sz w:val="21"/>
          <w:szCs w:val="21"/>
        </w:rPr>
        <w:t xml:space="preserve"> sigue siendo «Area foliar». Es el área de </w:t>
      </w:r>
      <w:r>
        <w:rPr>
          <w:i/>
          <w:iCs/>
          <w:sz w:val="21"/>
          <w:szCs w:val="21"/>
        </w:rPr>
        <w:t xml:space="preserve">una</w:t>
      </w:r>
      <w:r>
        <w:rPr>
          <w:sz w:val="21"/>
          <w:szCs w:val="21"/>
        </w:rPr>
        <w:t xml:space="preserve"> hoja (área total ÷ nº de hojas), así que debe decir «Individual leaf area (cm²)».</w:t>
      </w:r>
    </w:p>
    <w:p>
      <w:pPr>
        <w:pStyle w:val="Heading1"/>
        <w:spacing w:after="160" w:before="340"/>
      </w:pPr>
      <w:r>
        <w:rPr>
          <w:b/>
          <w:bCs/>
          <w:color w:val="1F4E79"/>
          <w:sz w:val="28"/>
          <w:szCs w:val="28"/>
        </w:rPr>
        <w:t xml:space="preserve">3. Ejemplo trabajado: Pouteria torta</w:t>
      </w:r>
    </w:p>
    <w:p>
      <w:pPr>
        <w:spacing w:after="140" w:line="276"/>
      </w:pPr>
      <w:r>
        <w:rPr>
          <w:sz w:val="21"/>
          <w:szCs w:val="21"/>
        </w:rPr>
        <w:t xml:space="preserve">Las cuatro celdas de P. torta tienen n = 9 (control), 9 (+N), 8 (+P) y 6 (+N+P); n total = 32. Que la celda combinada sea la más pequeña explica buena parte de lo que sigue.</w:t>
      </w:r>
    </w:p>
    <w:p>
      <w:pPr>
        <w:pStyle w:val="Heading2"/>
        <w:spacing w:after="120" w:before="260"/>
      </w:pPr>
      <w:r>
        <w:rPr>
          <w:b/>
          <w:bCs/>
          <w:color w:val="1F4E79"/>
          <w:sz w:val="23"/>
          <w:szCs w:val="23"/>
        </w:rPr>
        <w:t xml:space="preserve">3.1 ln P content — modelo aditivo, efecto marginal de P</w:t>
      </w:r>
    </w:p>
    <w:p>
      <w:pPr>
        <w:spacing w:after="140" w:line="276"/>
      </w:pPr>
      <w:r>
        <w:rPr>
          <w:sz w:val="21"/>
          <w:szCs w:val="21"/>
        </w:rPr>
        <w:t xml:space="preserve">LRT de la interacción: χ²(1) = 0,644, p = 0,422 → se queda el modelo aditivo (N + P). R²m = 0,095, R²c = 0,133, sd(Bloque) = 0,043, n = 32.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1150"/>
        <w:gridCol w:w="1900"/>
        <w:gridCol w:w="1100"/>
        <w:gridCol w:w="1100"/>
        <w:gridCol w:w="1000"/>
      </w:tblGrid>
      <w:tr>
        <w:trPr>
          <w:tblHeader/>
        </w:trPr>
        <w:tc>
          <w:tcPr>
            <w:tcW w:type="dxa" w:w="1500"/>
            <w:shd w:fill="F2F2F2" w:val="clear"/>
            <w:tcMar>
              <w:top w:type="dxa" w:w="70"/>
              <w:left w:type="dxa" w:w="100"/>
              <w:bottom w:type="dxa" w:w="70"/>
              <w:right w:type="dxa" w:w="100"/>
            </w:tcMar>
          </w:tcPr>
          <w:p>
            <w:pPr>
              <w:spacing w:after="0" w:line="240"/>
              <w:jc w:val="left"/>
            </w:pPr>
            <w:r>
              <w:rPr>
                <w:b/>
                <w:bCs/>
                <w:sz w:val="18"/>
                <w:szCs w:val="18"/>
              </w:rPr>
              <w:t xml:space="preserve">Fuente</w:t>
            </w:r>
          </w:p>
        </w:tc>
        <w:tc>
          <w:tcPr>
            <w:tcW w:type="dxa" w:w="1250"/>
            <w:shd w:fill="F2F2F2" w:val="clear"/>
            <w:tcMar>
              <w:top w:type="dxa" w:w="70"/>
              <w:left w:type="dxa" w:w="100"/>
              <w:bottom w:type="dxa" w:w="70"/>
              <w:right w:type="dxa" w:w="100"/>
            </w:tcMar>
          </w:tcPr>
          <w:p>
            <w:pPr>
              <w:spacing w:after="0" w:line="240"/>
              <w:jc w:val="left"/>
            </w:pPr>
            <w:r>
              <w:rPr>
                <w:b/>
                <w:bCs/>
                <w:sz w:val="18"/>
                <w:szCs w:val="18"/>
              </w:rPr>
              <w:t xml:space="preserve">Término</w:t>
            </w:r>
          </w:p>
        </w:tc>
        <w:tc>
          <w:tcPr>
            <w:tcW w:type="dxa" w:w="1150"/>
            <w:shd w:fill="F2F2F2" w:val="clear"/>
            <w:tcMar>
              <w:top w:type="dxa" w:w="70"/>
              <w:left w:type="dxa" w:w="100"/>
              <w:bottom w:type="dxa" w:w="70"/>
              <w:right w:type="dxa" w:w="100"/>
            </w:tcMar>
          </w:tcPr>
          <w:p>
            <w:pPr>
              <w:spacing w:after="0" w:line="240"/>
              <w:jc w:val="right"/>
            </w:pPr>
            <w:r>
              <w:rPr>
                <w:b/>
                <w:bCs/>
                <w:sz w:val="18"/>
                <w:szCs w:val="18"/>
              </w:rPr>
              <w:t xml:space="preserve">Estimado</w:t>
            </w:r>
          </w:p>
        </w:tc>
        <w:tc>
          <w:tcPr>
            <w:tcW w:type="dxa" w:w="1900"/>
            <w:shd w:fill="F2F2F2" w:val="clear"/>
            <w:tcMar>
              <w:top w:type="dxa" w:w="70"/>
              <w:left w:type="dxa" w:w="100"/>
              <w:bottom w:type="dxa" w:w="70"/>
              <w:right w:type="dxa" w:w="100"/>
            </w:tcMar>
          </w:tcPr>
          <w:p>
            <w:pPr>
              <w:spacing w:after="0" w:line="240"/>
              <w:jc w:val="center"/>
            </w:pPr>
            <w:r>
              <w:rPr>
                <w:b/>
                <w:bCs/>
                <w:sz w:val="18"/>
                <w:szCs w:val="18"/>
              </w:rPr>
              <w:t xml:space="preserve">IC 95 %</w:t>
            </w:r>
          </w:p>
        </w:tc>
        <w:tc>
          <w:tcPr>
            <w:tcW w:type="dxa" w:w="1100"/>
            <w:shd w:fill="F2F2F2" w:val="clear"/>
            <w:tcMar>
              <w:top w:type="dxa" w:w="70"/>
              <w:left w:type="dxa" w:w="100"/>
              <w:bottom w:type="dxa" w:w="70"/>
              <w:right w:type="dxa" w:w="100"/>
            </w:tcMar>
          </w:tcPr>
          <w:p>
            <w:pPr>
              <w:spacing w:after="0" w:line="240"/>
              <w:jc w:val="right"/>
            </w:pPr>
            <w:r>
              <w:rPr>
                <w:b/>
                <w:bCs/>
                <w:sz w:val="18"/>
                <w:szCs w:val="18"/>
              </w:rPr>
              <w:t xml:space="preserve">SE</w:t>
            </w:r>
          </w:p>
        </w:tc>
        <w:tc>
          <w:tcPr>
            <w:tcW w:type="dxa" w:w="1100"/>
            <w:shd w:fill="F2F2F2" w:val="clear"/>
            <w:tcMar>
              <w:top w:type="dxa" w:w="70"/>
              <w:left w:type="dxa" w:w="100"/>
              <w:bottom w:type="dxa" w:w="70"/>
              <w:right w:type="dxa" w:w="100"/>
            </w:tcMar>
          </w:tcPr>
          <w:p>
            <w:pPr>
              <w:spacing w:after="0" w:line="240"/>
              <w:jc w:val="right"/>
            </w:pPr>
            <w:r>
              <w:rPr>
                <w:b/>
                <w:bCs/>
                <w:sz w:val="18"/>
                <w:szCs w:val="18"/>
              </w:rPr>
              <w:t xml:space="preserve">p</w:t>
            </w:r>
          </w:p>
        </w:tc>
        <w:tc>
          <w:tcPr>
            <w:tcW w:type="dxa" w:w="1000"/>
            <w:shd w:fill="F2F2F2" w:val="clear"/>
            <w:tcMar>
              <w:top w:type="dxa" w:w="70"/>
              <w:left w:type="dxa" w:w="100"/>
              <w:bottom w:type="dxa" w:w="70"/>
              <w:right w:type="dxa" w:w="100"/>
            </w:tcMar>
          </w:tcPr>
          <w:p>
            <w:pPr>
              <w:spacing w:after="0" w:line="240"/>
              <w:jc w:val="right"/>
            </w:pPr>
            <w:r>
              <w:rPr>
                <w:b/>
                <w:bCs/>
                <w:sz w:val="18"/>
                <w:szCs w:val="18"/>
              </w:rPr>
              <w:t xml:space="preserve">p Dunnett</w:t>
            </w:r>
          </w:p>
        </w:tc>
      </w:tr>
      <w:tr>
        <w:tc>
          <w:tcPr>
            <w:tcW w:type="dxa" w:w="1500"/>
            <w:tcMar>
              <w:top w:type="dxa" w:w="70"/>
              <w:left w:type="dxa" w:w="100"/>
              <w:bottom w:type="dxa" w:w="70"/>
              <w:right w:type="dxa" w:w="100"/>
            </w:tcMar>
          </w:tcPr>
          <w:p>
            <w:pPr>
              <w:spacing w:after="0" w:line="240"/>
              <w:jc w:val="left"/>
            </w:pPr>
            <w:r>
              <w:rPr>
                <w:sz w:val="18"/>
                <w:szCs w:val="18"/>
              </w:rPr>
              <w:t xml:space="preserve">Coeficiente</w:t>
            </w:r>
          </w:p>
        </w:tc>
        <w:tc>
          <w:tcPr>
            <w:tcW w:type="dxa" w:w="1250"/>
            <w:tcMar>
              <w:top w:type="dxa" w:w="70"/>
              <w:left w:type="dxa" w:w="100"/>
              <w:bottom w:type="dxa" w:w="70"/>
              <w:right w:type="dxa" w:w="100"/>
            </w:tcMar>
          </w:tcPr>
          <w:p>
            <w:pPr>
              <w:spacing w:after="0" w:line="240"/>
              <w:jc w:val="left"/>
            </w:pPr>
            <w:r>
              <w:rPr>
                <w:sz w:val="18"/>
                <w:szCs w:val="18"/>
              </w:rPr>
              <w:t xml:space="preserve">N</w:t>
            </w:r>
          </w:p>
        </w:tc>
        <w:tc>
          <w:tcPr>
            <w:tcW w:type="dxa" w:w="1150"/>
            <w:tcMar>
              <w:top w:type="dxa" w:w="70"/>
              <w:left w:type="dxa" w:w="100"/>
              <w:bottom w:type="dxa" w:w="70"/>
              <w:right w:type="dxa" w:w="100"/>
            </w:tcMar>
          </w:tcPr>
          <w:p>
            <w:pPr>
              <w:spacing w:after="0" w:line="240"/>
              <w:jc w:val="right"/>
            </w:pPr>
            <w:r>
              <w:rPr>
                <w:sz w:val="18"/>
                <w:szCs w:val="18"/>
              </w:rPr>
              <w:t xml:space="preserve">0,0022</w:t>
            </w:r>
          </w:p>
        </w:tc>
        <w:tc>
          <w:tcPr>
            <w:tcW w:type="dxa" w:w="1900"/>
            <w:tcMar>
              <w:top w:type="dxa" w:w="70"/>
              <w:left w:type="dxa" w:w="100"/>
              <w:bottom w:type="dxa" w:w="70"/>
              <w:right w:type="dxa" w:w="100"/>
            </w:tcMar>
          </w:tcPr>
          <w:p>
            <w:pPr>
              <w:spacing w:after="0" w:line="240"/>
              <w:jc w:val="center"/>
            </w:pPr>
            <w:r>
              <w:rPr>
                <w:sz w:val="18"/>
                <w:szCs w:val="18"/>
              </w:rPr>
              <w:t xml:space="preserve">−0,143 – 0,148</w:t>
            </w:r>
          </w:p>
        </w:tc>
        <w:tc>
          <w:tcPr>
            <w:tcW w:type="dxa" w:w="1100"/>
            <w:tcMar>
              <w:top w:type="dxa" w:w="70"/>
              <w:left w:type="dxa" w:w="100"/>
              <w:bottom w:type="dxa" w:w="70"/>
              <w:right w:type="dxa" w:w="100"/>
            </w:tcMar>
          </w:tcPr>
          <w:p>
            <w:pPr>
              <w:spacing w:after="0" w:line="240"/>
              <w:jc w:val="right"/>
            </w:pPr>
            <w:r>
              <w:rPr>
                <w:sz w:val="18"/>
                <w:szCs w:val="18"/>
              </w:rPr>
              <w:t xml:space="preserve">0,0742</w:t>
            </w:r>
          </w:p>
        </w:tc>
        <w:tc>
          <w:tcPr>
            <w:tcW w:type="dxa" w:w="1100"/>
            <w:tcMar>
              <w:top w:type="dxa" w:w="70"/>
              <w:left w:type="dxa" w:w="100"/>
              <w:bottom w:type="dxa" w:w="70"/>
              <w:right w:type="dxa" w:w="100"/>
            </w:tcMar>
          </w:tcPr>
          <w:p>
            <w:pPr>
              <w:spacing w:after="0" w:line="240"/>
              <w:jc w:val="right"/>
            </w:pPr>
            <w:r>
              <w:rPr>
                <w:sz w:val="18"/>
                <w:szCs w:val="18"/>
              </w:rPr>
              <w:t xml:space="preserve">0,976</w:t>
            </w:r>
          </w:p>
        </w:tc>
        <w:tc>
          <w:tcPr>
            <w:tcW w:type="dxa" w:w="1000"/>
            <w:tcMar>
              <w:top w:type="dxa" w:w="70"/>
              <w:left w:type="dxa" w:w="100"/>
              <w:bottom w:type="dxa" w:w="70"/>
              <w:right w:type="dxa" w:w="100"/>
            </w:tcMar>
          </w:tcPr>
          <w:p>
            <w:pPr>
              <w:spacing w:after="0" w:line="240"/>
              <w:jc w:val="right"/>
            </w:pPr>
            <w:r>
              <w:rPr>
                <w:sz w:val="18"/>
                <w:szCs w:val="18"/>
              </w:rPr>
              <w:t xml:space="preserve">—</w:t>
            </w:r>
          </w:p>
        </w:tc>
      </w:tr>
      <w:tr>
        <w:tc>
          <w:tcPr>
            <w:tcW w:type="dxa" w:w="1500"/>
            <w:tcMar>
              <w:top w:type="dxa" w:w="70"/>
              <w:left w:type="dxa" w:w="100"/>
              <w:bottom w:type="dxa" w:w="70"/>
              <w:right w:type="dxa" w:w="100"/>
            </w:tcMar>
          </w:tcPr>
          <w:p>
            <w:pPr>
              <w:spacing w:after="0" w:line="240"/>
              <w:jc w:val="left"/>
            </w:pPr>
            <w:r>
              <w:rPr>
                <w:sz w:val="18"/>
                <w:szCs w:val="18"/>
              </w:rPr>
              <w:t xml:space="preserve">Coeficiente</w:t>
            </w:r>
          </w:p>
        </w:tc>
        <w:tc>
          <w:tcPr>
            <w:tcW w:type="dxa" w:w="1250"/>
            <w:tcMar>
              <w:top w:type="dxa" w:w="70"/>
              <w:left w:type="dxa" w:w="100"/>
              <w:bottom w:type="dxa" w:w="70"/>
              <w:right w:type="dxa" w:w="100"/>
            </w:tcMar>
          </w:tcPr>
          <w:p>
            <w:pPr>
              <w:spacing w:after="0" w:line="240"/>
              <w:jc w:val="left"/>
            </w:pPr>
            <w:r>
              <w:rPr>
                <w:sz w:val="18"/>
                <w:szCs w:val="18"/>
              </w:rPr>
              <w:t xml:space="preserve">P</w:t>
            </w:r>
          </w:p>
        </w:tc>
        <w:tc>
          <w:tcPr>
            <w:tcW w:type="dxa" w:w="1150"/>
            <w:tcMar>
              <w:top w:type="dxa" w:w="70"/>
              <w:left w:type="dxa" w:w="100"/>
              <w:bottom w:type="dxa" w:w="70"/>
              <w:right w:type="dxa" w:w="100"/>
            </w:tcMar>
          </w:tcPr>
          <w:p>
            <w:pPr>
              <w:spacing w:after="0" w:line="240"/>
              <w:jc w:val="right"/>
            </w:pPr>
            <w:r>
              <w:rPr>
                <w:sz w:val="18"/>
                <w:szCs w:val="18"/>
              </w:rPr>
              <w:t xml:space="preserve">0,1349</w:t>
            </w:r>
          </w:p>
        </w:tc>
        <w:tc>
          <w:tcPr>
            <w:tcW w:type="dxa" w:w="1900"/>
            <w:tcMar>
              <w:top w:type="dxa" w:w="70"/>
              <w:left w:type="dxa" w:w="100"/>
              <w:bottom w:type="dxa" w:w="70"/>
              <w:right w:type="dxa" w:w="100"/>
            </w:tcMar>
          </w:tcPr>
          <w:p>
            <w:pPr>
              <w:spacing w:after="0" w:line="240"/>
              <w:jc w:val="center"/>
            </w:pPr>
            <w:r>
              <w:rPr>
                <w:sz w:val="18"/>
                <w:szCs w:val="18"/>
              </w:rPr>
              <w:t xml:space="preserve">−0,009 – 0,279</w:t>
            </w:r>
          </w:p>
        </w:tc>
        <w:tc>
          <w:tcPr>
            <w:tcW w:type="dxa" w:w="1100"/>
            <w:tcMar>
              <w:top w:type="dxa" w:w="70"/>
              <w:left w:type="dxa" w:w="100"/>
              <w:bottom w:type="dxa" w:w="70"/>
              <w:right w:type="dxa" w:w="100"/>
            </w:tcMar>
          </w:tcPr>
          <w:p>
            <w:pPr>
              <w:spacing w:after="0" w:line="240"/>
              <w:jc w:val="right"/>
            </w:pPr>
            <w:r>
              <w:rPr>
                <w:sz w:val="18"/>
                <w:szCs w:val="18"/>
              </w:rPr>
              <w:t xml:space="preserve">0,0735</w:t>
            </w:r>
          </w:p>
        </w:tc>
        <w:tc>
          <w:tcPr>
            <w:tcW w:type="dxa" w:w="1100"/>
            <w:tcMar>
              <w:top w:type="dxa" w:w="70"/>
              <w:left w:type="dxa" w:w="100"/>
              <w:bottom w:type="dxa" w:w="70"/>
              <w:right w:type="dxa" w:w="100"/>
            </w:tcMar>
          </w:tcPr>
          <w:p>
            <w:pPr>
              <w:spacing w:after="0" w:line="240"/>
              <w:jc w:val="right"/>
            </w:pPr>
            <w:r>
              <w:rPr>
                <w:b/>
                <w:bCs/>
                <w:sz w:val="18"/>
                <w:szCs w:val="18"/>
              </w:rPr>
              <w:t xml:space="preserve">0,078 †</w:t>
            </w:r>
          </w:p>
        </w:tc>
        <w:tc>
          <w:tcPr>
            <w:tcW w:type="dxa" w:w="1000"/>
            <w:tcMar>
              <w:top w:type="dxa" w:w="70"/>
              <w:left w:type="dxa" w:w="100"/>
              <w:bottom w:type="dxa" w:w="70"/>
              <w:right w:type="dxa" w:w="100"/>
            </w:tcMar>
          </w:tcPr>
          <w:p>
            <w:pPr>
              <w:spacing w:after="0" w:line="240"/>
              <w:jc w:val="right"/>
            </w:pPr>
            <w:r>
              <w:rPr>
                <w:sz w:val="18"/>
                <w:szCs w:val="18"/>
              </w:rPr>
              <w:t xml:space="preserve">—</w:t>
            </w:r>
          </w:p>
        </w:tc>
      </w:tr>
      <w:tr>
        <w:tc>
          <w:tcPr>
            <w:tcW w:type="dxa" w:w="1500"/>
            <w:tcMar>
              <w:top w:type="dxa" w:w="70"/>
              <w:left w:type="dxa" w:w="100"/>
              <w:bottom w:type="dxa" w:w="70"/>
              <w:right w:type="dxa" w:w="100"/>
            </w:tcMar>
          </w:tcPr>
          <w:p>
            <w:pPr>
              <w:spacing w:after="0" w:line="240"/>
              <w:jc w:val="left"/>
            </w:pPr>
            <w:r>
              <w:rPr>
                <w:sz w:val="18"/>
                <w:szCs w:val="18"/>
              </w:rPr>
              <w:t xml:space="preserve">Contraste</w:t>
            </w:r>
          </w:p>
        </w:tc>
        <w:tc>
          <w:tcPr>
            <w:tcW w:type="dxa" w:w="1250"/>
            <w:tcMar>
              <w:top w:type="dxa" w:w="70"/>
              <w:left w:type="dxa" w:w="100"/>
              <w:bottom w:type="dxa" w:w="70"/>
              <w:right w:type="dxa" w:w="100"/>
            </w:tcMar>
          </w:tcPr>
          <w:p>
            <w:pPr>
              <w:spacing w:after="0" w:line="240"/>
              <w:jc w:val="left"/>
            </w:pPr>
            <w:r>
              <w:rPr>
                <w:sz w:val="18"/>
                <w:szCs w:val="18"/>
              </w:rPr>
              <w:t xml:space="preserve">N vs C</w:t>
            </w:r>
          </w:p>
        </w:tc>
        <w:tc>
          <w:tcPr>
            <w:tcW w:type="dxa" w:w="1150"/>
            <w:tcMar>
              <w:top w:type="dxa" w:w="70"/>
              <w:left w:type="dxa" w:w="100"/>
              <w:bottom w:type="dxa" w:w="70"/>
              <w:right w:type="dxa" w:w="100"/>
            </w:tcMar>
          </w:tcPr>
          <w:p>
            <w:pPr>
              <w:spacing w:after="0" w:line="240"/>
              <w:jc w:val="right"/>
            </w:pPr>
            <w:r>
              <w:rPr>
                <w:sz w:val="18"/>
                <w:szCs w:val="18"/>
              </w:rPr>
              <w:t xml:space="preserve">0,0022</w:t>
            </w:r>
          </w:p>
        </w:tc>
        <w:tc>
          <w:tcPr>
            <w:tcW w:type="dxa" w:w="1900"/>
            <w:tcMar>
              <w:top w:type="dxa" w:w="70"/>
              <w:left w:type="dxa" w:w="100"/>
              <w:bottom w:type="dxa" w:w="70"/>
              <w:right w:type="dxa" w:w="100"/>
            </w:tcMar>
          </w:tcPr>
          <w:p>
            <w:pPr>
              <w:spacing w:after="0" w:line="240"/>
              <w:jc w:val="center"/>
            </w:pPr>
            <w:r>
              <w:rPr>
                <w:sz w:val="18"/>
                <w:szCs w:val="18"/>
              </w:rPr>
              <w:t xml:space="preserve">−0,150 – 0,154</w:t>
            </w:r>
          </w:p>
        </w:tc>
        <w:tc>
          <w:tcPr>
            <w:tcW w:type="dxa" w:w="1100"/>
            <w:tcMar>
              <w:top w:type="dxa" w:w="70"/>
              <w:left w:type="dxa" w:w="100"/>
              <w:bottom w:type="dxa" w:w="70"/>
              <w:right w:type="dxa" w:w="100"/>
            </w:tcMar>
          </w:tcPr>
          <w:p>
            <w:pPr>
              <w:spacing w:after="0" w:line="240"/>
              <w:jc w:val="right"/>
            </w:pPr>
            <w:r>
              <w:rPr>
                <w:sz w:val="18"/>
                <w:szCs w:val="18"/>
              </w:rPr>
              <w:t xml:space="preserve">0,0742</w:t>
            </w:r>
          </w:p>
        </w:tc>
        <w:tc>
          <w:tcPr>
            <w:tcW w:type="dxa" w:w="1100"/>
            <w:tcMar>
              <w:top w:type="dxa" w:w="70"/>
              <w:left w:type="dxa" w:w="100"/>
              <w:bottom w:type="dxa" w:w="70"/>
              <w:right w:type="dxa" w:w="100"/>
            </w:tcMar>
          </w:tcPr>
          <w:p>
            <w:pPr>
              <w:spacing w:after="0" w:line="240"/>
              <w:jc w:val="right"/>
            </w:pPr>
            <w:r>
              <w:rPr>
                <w:sz w:val="18"/>
                <w:szCs w:val="18"/>
              </w:rPr>
              <w:t xml:space="preserve">0,976</w:t>
            </w:r>
          </w:p>
        </w:tc>
        <w:tc>
          <w:tcPr>
            <w:tcW w:type="dxa" w:w="1000"/>
            <w:tcMar>
              <w:top w:type="dxa" w:w="70"/>
              <w:left w:type="dxa" w:w="100"/>
              <w:bottom w:type="dxa" w:w="70"/>
              <w:right w:type="dxa" w:w="100"/>
            </w:tcMar>
          </w:tcPr>
          <w:p>
            <w:pPr>
              <w:spacing w:after="0" w:line="240"/>
              <w:jc w:val="right"/>
            </w:pPr>
            <w:r>
              <w:rPr>
                <w:sz w:val="18"/>
                <w:szCs w:val="18"/>
              </w:rPr>
              <w:t xml:space="preserve">1,000</w:t>
            </w:r>
          </w:p>
        </w:tc>
      </w:tr>
      <w:tr>
        <w:tc>
          <w:tcPr>
            <w:tcW w:type="dxa" w:w="1500"/>
            <w:tcMar>
              <w:top w:type="dxa" w:w="70"/>
              <w:left w:type="dxa" w:w="100"/>
              <w:bottom w:type="dxa" w:w="70"/>
              <w:right w:type="dxa" w:w="100"/>
            </w:tcMar>
          </w:tcPr>
          <w:p>
            <w:pPr>
              <w:spacing w:after="0" w:line="240"/>
              <w:jc w:val="left"/>
            </w:pPr>
            <w:r>
              <w:rPr>
                <w:sz w:val="18"/>
                <w:szCs w:val="18"/>
              </w:rPr>
              <w:t xml:space="preserve">Contraste</w:t>
            </w:r>
          </w:p>
        </w:tc>
        <w:tc>
          <w:tcPr>
            <w:tcW w:type="dxa" w:w="1250"/>
            <w:tcMar>
              <w:top w:type="dxa" w:w="70"/>
              <w:left w:type="dxa" w:w="100"/>
              <w:bottom w:type="dxa" w:w="70"/>
              <w:right w:type="dxa" w:w="100"/>
            </w:tcMar>
          </w:tcPr>
          <w:p>
            <w:pPr>
              <w:spacing w:after="0" w:line="240"/>
              <w:jc w:val="left"/>
            </w:pPr>
            <w:r>
              <w:rPr>
                <w:sz w:val="18"/>
                <w:szCs w:val="18"/>
              </w:rPr>
              <w:t xml:space="preserve">P vs C</w:t>
            </w:r>
          </w:p>
        </w:tc>
        <w:tc>
          <w:tcPr>
            <w:tcW w:type="dxa" w:w="1150"/>
            <w:tcMar>
              <w:top w:type="dxa" w:w="70"/>
              <w:left w:type="dxa" w:w="100"/>
              <w:bottom w:type="dxa" w:w="70"/>
              <w:right w:type="dxa" w:w="100"/>
            </w:tcMar>
          </w:tcPr>
          <w:p>
            <w:pPr>
              <w:spacing w:after="0" w:line="240"/>
              <w:jc w:val="right"/>
            </w:pPr>
            <w:r>
              <w:rPr>
                <w:sz w:val="18"/>
                <w:szCs w:val="18"/>
              </w:rPr>
              <w:t xml:space="preserve">0,1349</w:t>
            </w:r>
          </w:p>
        </w:tc>
        <w:tc>
          <w:tcPr>
            <w:tcW w:type="dxa" w:w="1900"/>
            <w:tcMar>
              <w:top w:type="dxa" w:w="70"/>
              <w:left w:type="dxa" w:w="100"/>
              <w:bottom w:type="dxa" w:w="70"/>
              <w:right w:type="dxa" w:w="100"/>
            </w:tcMar>
          </w:tcPr>
          <w:p>
            <w:pPr>
              <w:spacing w:after="0" w:line="240"/>
              <w:jc w:val="center"/>
            </w:pPr>
            <w:r>
              <w:rPr>
                <w:sz w:val="18"/>
                <w:szCs w:val="18"/>
              </w:rPr>
              <w:t xml:space="preserve">−0,016 – 0,286</w:t>
            </w:r>
          </w:p>
        </w:tc>
        <w:tc>
          <w:tcPr>
            <w:tcW w:type="dxa" w:w="1100"/>
            <w:tcMar>
              <w:top w:type="dxa" w:w="70"/>
              <w:left w:type="dxa" w:w="100"/>
              <w:bottom w:type="dxa" w:w="70"/>
              <w:right w:type="dxa" w:w="100"/>
            </w:tcMar>
          </w:tcPr>
          <w:p>
            <w:pPr>
              <w:spacing w:after="0" w:line="240"/>
              <w:jc w:val="right"/>
            </w:pPr>
            <w:r>
              <w:rPr>
                <w:sz w:val="18"/>
                <w:szCs w:val="18"/>
              </w:rPr>
              <w:t xml:space="preserve">0,0735</w:t>
            </w:r>
          </w:p>
        </w:tc>
        <w:tc>
          <w:tcPr>
            <w:tcW w:type="dxa" w:w="1100"/>
            <w:tcMar>
              <w:top w:type="dxa" w:w="70"/>
              <w:left w:type="dxa" w:w="100"/>
              <w:bottom w:type="dxa" w:w="70"/>
              <w:right w:type="dxa" w:w="100"/>
            </w:tcMar>
          </w:tcPr>
          <w:p>
            <w:pPr>
              <w:spacing w:after="0" w:line="240"/>
              <w:jc w:val="right"/>
            </w:pPr>
            <w:r>
              <w:rPr>
                <w:b/>
                <w:bCs/>
                <w:sz w:val="18"/>
                <w:szCs w:val="18"/>
              </w:rPr>
              <w:t xml:space="preserve">0,078 †</w:t>
            </w:r>
          </w:p>
        </w:tc>
        <w:tc>
          <w:tcPr>
            <w:tcW w:type="dxa" w:w="1000"/>
            <w:tcMar>
              <w:top w:type="dxa" w:w="70"/>
              <w:left w:type="dxa" w:w="100"/>
              <w:bottom w:type="dxa" w:w="70"/>
              <w:right w:type="dxa" w:w="100"/>
            </w:tcMar>
          </w:tcPr>
          <w:p>
            <w:pPr>
              <w:spacing w:after="0" w:line="240"/>
              <w:jc w:val="right"/>
            </w:pPr>
            <w:r>
              <w:rPr>
                <w:sz w:val="18"/>
                <w:szCs w:val="18"/>
              </w:rPr>
              <w:t xml:space="preserve">0,191</w:t>
            </w:r>
          </w:p>
        </w:tc>
      </w:tr>
      <w:tr>
        <w:tc>
          <w:tcPr>
            <w:tcW w:type="dxa" w:w="1500"/>
            <w:tcMar>
              <w:top w:type="dxa" w:w="70"/>
              <w:left w:type="dxa" w:w="100"/>
              <w:bottom w:type="dxa" w:w="70"/>
              <w:right w:type="dxa" w:w="100"/>
            </w:tcMar>
          </w:tcPr>
          <w:p>
            <w:pPr>
              <w:spacing w:after="0" w:line="240"/>
              <w:jc w:val="left"/>
            </w:pPr>
            <w:r>
              <w:rPr>
                <w:sz w:val="18"/>
                <w:szCs w:val="18"/>
              </w:rPr>
              <w:t xml:space="preserve">Contraste</w:t>
            </w:r>
          </w:p>
        </w:tc>
        <w:tc>
          <w:tcPr>
            <w:tcW w:type="dxa" w:w="1250"/>
            <w:tcMar>
              <w:top w:type="dxa" w:w="70"/>
              <w:left w:type="dxa" w:w="100"/>
              <w:bottom w:type="dxa" w:w="70"/>
              <w:right w:type="dxa" w:w="100"/>
            </w:tcMar>
          </w:tcPr>
          <w:p>
            <w:pPr>
              <w:spacing w:after="0" w:line="240"/>
              <w:jc w:val="left"/>
            </w:pPr>
            <w:r>
              <w:rPr>
                <w:sz w:val="18"/>
                <w:szCs w:val="18"/>
              </w:rPr>
              <w:t xml:space="preserve">N+P vs C</w:t>
            </w:r>
          </w:p>
        </w:tc>
        <w:tc>
          <w:tcPr>
            <w:tcW w:type="dxa" w:w="1150"/>
            <w:tcMar>
              <w:top w:type="dxa" w:w="70"/>
              <w:left w:type="dxa" w:w="100"/>
              <w:bottom w:type="dxa" w:w="70"/>
              <w:right w:type="dxa" w:w="100"/>
            </w:tcMar>
          </w:tcPr>
          <w:p>
            <w:pPr>
              <w:spacing w:after="0" w:line="240"/>
              <w:jc w:val="right"/>
            </w:pPr>
            <w:r>
              <w:rPr>
                <w:sz w:val="18"/>
                <w:szCs w:val="18"/>
              </w:rPr>
              <w:t xml:space="preserve">0,1372</w:t>
            </w:r>
          </w:p>
        </w:tc>
        <w:tc>
          <w:tcPr>
            <w:tcW w:type="dxa" w:w="1900"/>
            <w:tcMar>
              <w:top w:type="dxa" w:w="70"/>
              <w:left w:type="dxa" w:w="100"/>
              <w:bottom w:type="dxa" w:w="70"/>
              <w:right w:type="dxa" w:w="100"/>
            </w:tcMar>
          </w:tcPr>
          <w:p>
            <w:pPr>
              <w:spacing w:after="0" w:line="240"/>
              <w:jc w:val="center"/>
            </w:pPr>
            <w:r>
              <w:rPr>
                <w:sz w:val="18"/>
                <w:szCs w:val="18"/>
              </w:rPr>
              <w:t xml:space="preserve">−0,084 – 0,358</w:t>
            </w:r>
          </w:p>
        </w:tc>
        <w:tc>
          <w:tcPr>
            <w:tcW w:type="dxa" w:w="1100"/>
            <w:tcMar>
              <w:top w:type="dxa" w:w="70"/>
              <w:left w:type="dxa" w:w="100"/>
              <w:bottom w:type="dxa" w:w="70"/>
              <w:right w:type="dxa" w:w="100"/>
            </w:tcMar>
          </w:tcPr>
          <w:p>
            <w:pPr>
              <w:spacing w:after="0" w:line="240"/>
              <w:jc w:val="right"/>
            </w:pPr>
            <w:r>
              <w:rPr>
                <w:sz w:val="18"/>
                <w:szCs w:val="18"/>
              </w:rPr>
              <w:t xml:space="preserve">0,1078</w:t>
            </w:r>
          </w:p>
        </w:tc>
        <w:tc>
          <w:tcPr>
            <w:tcW w:type="dxa" w:w="1100"/>
            <w:tcMar>
              <w:top w:type="dxa" w:w="70"/>
              <w:left w:type="dxa" w:w="100"/>
              <w:bottom w:type="dxa" w:w="70"/>
              <w:right w:type="dxa" w:w="100"/>
            </w:tcMar>
          </w:tcPr>
          <w:p>
            <w:pPr>
              <w:spacing w:after="0" w:line="240"/>
              <w:jc w:val="right"/>
            </w:pPr>
            <w:r>
              <w:rPr>
                <w:sz w:val="18"/>
                <w:szCs w:val="18"/>
              </w:rPr>
              <w:t xml:space="preserve">0,214</w:t>
            </w:r>
          </w:p>
        </w:tc>
        <w:tc>
          <w:tcPr>
            <w:tcW w:type="dxa" w:w="1000"/>
            <w:tcMar>
              <w:top w:type="dxa" w:w="70"/>
              <w:left w:type="dxa" w:w="100"/>
              <w:bottom w:type="dxa" w:w="70"/>
              <w:right w:type="dxa" w:w="100"/>
            </w:tcMar>
          </w:tcPr>
          <w:p>
            <w:pPr>
              <w:spacing w:after="0" w:line="240"/>
              <w:jc w:val="right"/>
            </w:pPr>
            <w:r>
              <w:rPr>
                <w:sz w:val="18"/>
                <w:szCs w:val="18"/>
              </w:rPr>
              <w:t xml:space="preserve">0,453</w:t>
            </w:r>
          </w:p>
        </w:tc>
      </w:tr>
    </w:tbl>
    <w:p>
      <w:pPr>
        <w:spacing w:after="220" w:before="80"/>
      </w:pPr>
      <w:r>
        <w:rPr>
          <w:i/>
          <w:iCs/>
          <w:color w:val="595959"/>
          <w:sz w:val="17"/>
          <w:szCs w:val="17"/>
        </w:rPr>
        <w:t xml:space="preserve">Coeficientes (tabla del 02) y contrastes (CSV del 03) del mismo modelo. Estimados y p idénticos donde ambos existen; los IC difieren solo por el método (Wald vs. Satterthwaite).</w:t>
      </w:r>
    </w:p>
    <w:p>
      <w:pPr>
        <w:spacing w:after="140" w:line="276"/>
      </w:pPr>
      <w:r>
        <w:rPr>
          <w:sz w:val="21"/>
          <w:szCs w:val="21"/>
        </w:rPr>
        <w:t xml:space="preserve">Retro-transformado a % de cambio respecto al control: N +0,2 % (IC −13,9 – +16,7), P </w:t>
      </w:r>
      <w:r>
        <w:rPr>
          <w:b/>
          <w:bCs/>
          <w:sz w:val="21"/>
          <w:szCs w:val="21"/>
        </w:rPr>
        <w:t xml:space="preserve">+14,4 %</w:t>
      </w:r>
      <w:r>
        <w:rPr>
          <w:sz w:val="21"/>
          <w:szCs w:val="21"/>
        </w:rPr>
        <w:t xml:space="preserve"> (IC −1,6 – +33,1), N+P +14,7 % (IC −8,0 – +43,1). En concentración cruda, las medias de LPC son 0,639 (C), 0,687 (+N), 0,766 (+P) y 0,717 (+N+P) mg g⁻¹.</w:t>
      </w:r>
    </w:p>
    <w:p>
      <w:pPr>
        <w:pStyle w:val="Heading2"/>
        <w:spacing w:after="120" w:before="260"/>
      </w:pPr>
      <w:r>
        <w:rPr>
          <w:b/>
          <w:bCs/>
          <w:color w:val="1F4E79"/>
          <w:sz w:val="23"/>
          <w:szCs w:val="23"/>
        </w:rPr>
        <w:t xml:space="preserve">3.2 iWUE — interacción significativa, ningún contraste significativo</w:t>
      </w:r>
    </w:p>
    <w:p>
      <w:pPr>
        <w:spacing w:after="140" w:line="276"/>
      </w:pPr>
      <w:r>
        <w:rPr>
          <w:sz w:val="21"/>
          <w:szCs w:val="21"/>
        </w:rPr>
        <w:t xml:space="preserve">LRT de la interacción: χ²(1) = 5,078, p = 0,024 → se retiene N × P (por eso el panel lleva la etiqueta «N×P»). Medias crudas: C = 28,4; +N = 35,6; +P = 31,8; +N+P = 21,0 µmol mol⁻¹, con sd ≈ 11 dentro de cada celda.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350"/>
        <w:gridCol w:w="1250"/>
        <w:gridCol w:w="2000"/>
        <w:gridCol w:w="1050"/>
        <w:gridCol w:w="950"/>
        <w:gridCol w:w="900"/>
      </w:tblGrid>
      <w:tr>
        <w:trPr>
          <w:tblHeader/>
        </w:trPr>
        <w:tc>
          <w:tcPr>
            <w:tcW w:type="dxa" w:w="1500"/>
            <w:shd w:fill="F2F2F2" w:val="clear"/>
            <w:tcMar>
              <w:top w:type="dxa" w:w="70"/>
              <w:left w:type="dxa" w:w="100"/>
              <w:bottom w:type="dxa" w:w="70"/>
              <w:right w:type="dxa" w:w="100"/>
            </w:tcMar>
          </w:tcPr>
          <w:p>
            <w:pPr>
              <w:spacing w:after="0" w:line="240"/>
              <w:jc w:val="left"/>
            </w:pPr>
            <w:r>
              <w:rPr>
                <w:b/>
                <w:bCs/>
                <w:sz w:val="18"/>
                <w:szCs w:val="18"/>
              </w:rPr>
              <w:t xml:space="preserve">Fuente</w:t>
            </w:r>
          </w:p>
        </w:tc>
        <w:tc>
          <w:tcPr>
            <w:tcW w:type="dxa" w:w="1350"/>
            <w:shd w:fill="F2F2F2" w:val="clear"/>
            <w:tcMar>
              <w:top w:type="dxa" w:w="70"/>
              <w:left w:type="dxa" w:w="100"/>
              <w:bottom w:type="dxa" w:w="70"/>
              <w:right w:type="dxa" w:w="100"/>
            </w:tcMar>
          </w:tcPr>
          <w:p>
            <w:pPr>
              <w:spacing w:after="0" w:line="240"/>
              <w:jc w:val="left"/>
            </w:pPr>
            <w:r>
              <w:rPr>
                <w:b/>
                <w:bCs/>
                <w:sz w:val="18"/>
                <w:szCs w:val="18"/>
              </w:rPr>
              <w:t xml:space="preserve">Término</w:t>
            </w:r>
          </w:p>
        </w:tc>
        <w:tc>
          <w:tcPr>
            <w:tcW w:type="dxa" w:w="1250"/>
            <w:shd w:fill="F2F2F2" w:val="clear"/>
            <w:tcMar>
              <w:top w:type="dxa" w:w="70"/>
              <w:left w:type="dxa" w:w="100"/>
              <w:bottom w:type="dxa" w:w="70"/>
              <w:right w:type="dxa" w:w="100"/>
            </w:tcMar>
          </w:tcPr>
          <w:p>
            <w:pPr>
              <w:spacing w:after="0" w:line="240"/>
              <w:jc w:val="right"/>
            </w:pPr>
            <w:r>
              <w:rPr>
                <w:b/>
                <w:bCs/>
                <w:sz w:val="18"/>
                <w:szCs w:val="18"/>
              </w:rPr>
              <w:t xml:space="preserve">Estimado</w:t>
            </w:r>
          </w:p>
        </w:tc>
        <w:tc>
          <w:tcPr>
            <w:tcW w:type="dxa" w:w="2000"/>
            <w:shd w:fill="F2F2F2" w:val="clear"/>
            <w:tcMar>
              <w:top w:type="dxa" w:w="70"/>
              <w:left w:type="dxa" w:w="100"/>
              <w:bottom w:type="dxa" w:w="70"/>
              <w:right w:type="dxa" w:w="100"/>
            </w:tcMar>
          </w:tcPr>
          <w:p>
            <w:pPr>
              <w:spacing w:after="0" w:line="240"/>
              <w:jc w:val="center"/>
            </w:pPr>
            <w:r>
              <w:rPr>
                <w:b/>
                <w:bCs/>
                <w:sz w:val="18"/>
                <w:szCs w:val="18"/>
              </w:rPr>
              <w:t xml:space="preserve">IC 95 %</w:t>
            </w:r>
          </w:p>
        </w:tc>
        <w:tc>
          <w:tcPr>
            <w:tcW w:type="dxa" w:w="1050"/>
            <w:shd w:fill="F2F2F2" w:val="clear"/>
            <w:tcMar>
              <w:top w:type="dxa" w:w="70"/>
              <w:left w:type="dxa" w:w="100"/>
              <w:bottom w:type="dxa" w:w="70"/>
              <w:right w:type="dxa" w:w="100"/>
            </w:tcMar>
          </w:tcPr>
          <w:p>
            <w:pPr>
              <w:spacing w:after="0" w:line="240"/>
              <w:jc w:val="right"/>
            </w:pPr>
            <w:r>
              <w:rPr>
                <w:b/>
                <w:bCs/>
                <w:sz w:val="18"/>
                <w:szCs w:val="18"/>
              </w:rPr>
              <w:t xml:space="preserve">SE</w:t>
            </w:r>
          </w:p>
        </w:tc>
        <w:tc>
          <w:tcPr>
            <w:tcW w:type="dxa" w:w="950"/>
            <w:shd w:fill="F2F2F2" w:val="clear"/>
            <w:tcMar>
              <w:top w:type="dxa" w:w="70"/>
              <w:left w:type="dxa" w:w="100"/>
              <w:bottom w:type="dxa" w:w="70"/>
              <w:right w:type="dxa" w:w="100"/>
            </w:tcMar>
          </w:tcPr>
          <w:p>
            <w:pPr>
              <w:spacing w:after="0" w:line="240"/>
              <w:jc w:val="right"/>
            </w:pPr>
            <w:r>
              <w:rPr>
                <w:b/>
                <w:bCs/>
                <w:sz w:val="18"/>
                <w:szCs w:val="18"/>
              </w:rPr>
              <w:t xml:space="preserve">p</w:t>
            </w:r>
          </w:p>
        </w:tc>
        <w:tc>
          <w:tcPr>
            <w:tcW w:type="dxa" w:w="900"/>
            <w:shd w:fill="F2F2F2" w:val="clear"/>
            <w:tcMar>
              <w:top w:type="dxa" w:w="70"/>
              <w:left w:type="dxa" w:w="100"/>
              <w:bottom w:type="dxa" w:w="70"/>
              <w:right w:type="dxa" w:w="100"/>
            </w:tcMar>
          </w:tcPr>
          <w:p>
            <w:pPr>
              <w:spacing w:after="0" w:line="240"/>
              <w:jc w:val="right"/>
            </w:pPr>
            <w:r>
              <w:rPr>
                <w:b/>
                <w:bCs/>
                <w:sz w:val="18"/>
                <w:szCs w:val="18"/>
              </w:rPr>
              <w:t xml:space="preserve">p Dunnett</w:t>
            </w:r>
          </w:p>
        </w:tc>
      </w:tr>
      <w:tr>
        <w:tc>
          <w:tcPr>
            <w:tcW w:type="dxa" w:w="1500"/>
            <w:tcMar>
              <w:top w:type="dxa" w:w="70"/>
              <w:left w:type="dxa" w:w="100"/>
              <w:bottom w:type="dxa" w:w="70"/>
              <w:right w:type="dxa" w:w="100"/>
            </w:tcMar>
          </w:tcPr>
          <w:p>
            <w:pPr>
              <w:spacing w:after="0" w:line="240"/>
              <w:jc w:val="left"/>
            </w:pPr>
            <w:r>
              <w:rPr>
                <w:sz w:val="18"/>
                <w:szCs w:val="18"/>
              </w:rPr>
              <w:t xml:space="preserve">Coeficiente</w:t>
            </w:r>
          </w:p>
        </w:tc>
        <w:tc>
          <w:tcPr>
            <w:tcW w:type="dxa" w:w="1350"/>
            <w:tcMar>
              <w:top w:type="dxa" w:w="70"/>
              <w:left w:type="dxa" w:w="100"/>
              <w:bottom w:type="dxa" w:w="70"/>
              <w:right w:type="dxa" w:w="100"/>
            </w:tcMar>
          </w:tcPr>
          <w:p>
            <w:pPr>
              <w:spacing w:after="0" w:line="240"/>
              <w:jc w:val="left"/>
            </w:pPr>
            <w:r>
              <w:rPr>
                <w:sz w:val="18"/>
                <w:szCs w:val="18"/>
              </w:rPr>
              <w:t xml:space="preserve">N</w:t>
            </w:r>
          </w:p>
        </w:tc>
        <w:tc>
          <w:tcPr>
            <w:tcW w:type="dxa" w:w="1250"/>
            <w:tcMar>
              <w:top w:type="dxa" w:w="70"/>
              <w:left w:type="dxa" w:w="100"/>
              <w:bottom w:type="dxa" w:w="70"/>
              <w:right w:type="dxa" w:w="100"/>
            </w:tcMar>
          </w:tcPr>
          <w:p>
            <w:pPr>
              <w:spacing w:after="0" w:line="240"/>
              <w:jc w:val="right"/>
            </w:pPr>
            <w:r>
              <w:rPr>
                <w:sz w:val="18"/>
                <w:szCs w:val="18"/>
              </w:rPr>
              <w:t xml:space="preserve">7,17</w:t>
            </w:r>
          </w:p>
        </w:tc>
        <w:tc>
          <w:tcPr>
            <w:tcW w:type="dxa" w:w="2000"/>
            <w:tcMar>
              <w:top w:type="dxa" w:w="70"/>
              <w:left w:type="dxa" w:w="100"/>
              <w:bottom w:type="dxa" w:w="70"/>
              <w:right w:type="dxa" w:w="100"/>
            </w:tcMar>
          </w:tcPr>
          <w:p>
            <w:pPr>
              <w:spacing w:after="0" w:line="240"/>
              <w:jc w:val="center"/>
            </w:pPr>
            <w:r>
              <w:rPr>
                <w:sz w:val="18"/>
                <w:szCs w:val="18"/>
              </w:rPr>
              <w:t xml:space="preserve">−3,39 – 17,72</w:t>
            </w:r>
          </w:p>
        </w:tc>
        <w:tc>
          <w:tcPr>
            <w:tcW w:type="dxa" w:w="1050"/>
            <w:tcMar>
              <w:top w:type="dxa" w:w="70"/>
              <w:left w:type="dxa" w:w="100"/>
              <w:bottom w:type="dxa" w:w="70"/>
              <w:right w:type="dxa" w:w="100"/>
            </w:tcMar>
          </w:tcPr>
          <w:p>
            <w:pPr>
              <w:spacing w:after="0" w:line="240"/>
              <w:jc w:val="right"/>
            </w:pPr>
            <w:r>
              <w:rPr>
                <w:sz w:val="18"/>
                <w:szCs w:val="18"/>
              </w:rPr>
              <w:t xml:space="preserve">5,39</w:t>
            </w:r>
          </w:p>
        </w:tc>
        <w:tc>
          <w:tcPr>
            <w:tcW w:type="dxa" w:w="950"/>
            <w:tcMar>
              <w:top w:type="dxa" w:w="70"/>
              <w:left w:type="dxa" w:w="100"/>
              <w:bottom w:type="dxa" w:w="70"/>
              <w:right w:type="dxa" w:w="100"/>
            </w:tcMar>
          </w:tcPr>
          <w:p>
            <w:pPr>
              <w:spacing w:after="0" w:line="240"/>
              <w:jc w:val="right"/>
            </w:pPr>
            <w:r>
              <w:rPr>
                <w:sz w:val="18"/>
                <w:szCs w:val="18"/>
              </w:rPr>
              <w:t xml:space="preserve">0,194</w:t>
            </w:r>
          </w:p>
        </w:tc>
        <w:tc>
          <w:tcPr>
            <w:tcW w:type="dxa" w:w="900"/>
            <w:tcMar>
              <w:top w:type="dxa" w:w="70"/>
              <w:left w:type="dxa" w:w="100"/>
              <w:bottom w:type="dxa" w:w="70"/>
              <w:right w:type="dxa" w:w="100"/>
            </w:tcMar>
          </w:tcPr>
          <w:p>
            <w:pPr>
              <w:spacing w:after="0" w:line="240"/>
              <w:jc w:val="right"/>
            </w:pPr>
            <w:r>
              <w:rPr>
                <w:sz w:val="18"/>
                <w:szCs w:val="18"/>
              </w:rPr>
              <w:t xml:space="preserve">—</w:t>
            </w:r>
          </w:p>
        </w:tc>
      </w:tr>
      <w:tr>
        <w:tc>
          <w:tcPr>
            <w:tcW w:type="dxa" w:w="1500"/>
            <w:tcMar>
              <w:top w:type="dxa" w:w="70"/>
              <w:left w:type="dxa" w:w="100"/>
              <w:bottom w:type="dxa" w:w="70"/>
              <w:right w:type="dxa" w:w="100"/>
            </w:tcMar>
          </w:tcPr>
          <w:p>
            <w:pPr>
              <w:spacing w:after="0" w:line="240"/>
              <w:jc w:val="left"/>
            </w:pPr>
            <w:r>
              <w:rPr>
                <w:sz w:val="18"/>
                <w:szCs w:val="18"/>
              </w:rPr>
              <w:t xml:space="preserve">Coeficiente</w:t>
            </w:r>
          </w:p>
        </w:tc>
        <w:tc>
          <w:tcPr>
            <w:tcW w:type="dxa" w:w="1350"/>
            <w:tcMar>
              <w:top w:type="dxa" w:w="70"/>
              <w:left w:type="dxa" w:w="100"/>
              <w:bottom w:type="dxa" w:w="70"/>
              <w:right w:type="dxa" w:w="100"/>
            </w:tcMar>
          </w:tcPr>
          <w:p>
            <w:pPr>
              <w:spacing w:after="0" w:line="240"/>
              <w:jc w:val="left"/>
            </w:pPr>
            <w:r>
              <w:rPr>
                <w:sz w:val="18"/>
                <w:szCs w:val="18"/>
              </w:rPr>
              <w:t xml:space="preserve">P</w:t>
            </w:r>
          </w:p>
        </w:tc>
        <w:tc>
          <w:tcPr>
            <w:tcW w:type="dxa" w:w="1250"/>
            <w:tcMar>
              <w:top w:type="dxa" w:w="70"/>
              <w:left w:type="dxa" w:w="100"/>
              <w:bottom w:type="dxa" w:w="70"/>
              <w:right w:type="dxa" w:w="100"/>
            </w:tcMar>
          </w:tcPr>
          <w:p>
            <w:pPr>
              <w:spacing w:after="0" w:line="240"/>
              <w:jc w:val="right"/>
            </w:pPr>
            <w:r>
              <w:rPr>
                <w:sz w:val="18"/>
                <w:szCs w:val="18"/>
              </w:rPr>
              <w:t xml:space="preserve">3,39</w:t>
            </w:r>
          </w:p>
        </w:tc>
        <w:tc>
          <w:tcPr>
            <w:tcW w:type="dxa" w:w="2000"/>
            <w:tcMar>
              <w:top w:type="dxa" w:w="70"/>
              <w:left w:type="dxa" w:w="100"/>
              <w:bottom w:type="dxa" w:w="70"/>
              <w:right w:type="dxa" w:w="100"/>
            </w:tcMar>
          </w:tcPr>
          <w:p>
            <w:pPr>
              <w:spacing w:after="0" w:line="240"/>
              <w:jc w:val="center"/>
            </w:pPr>
            <w:r>
              <w:rPr>
                <w:sz w:val="18"/>
                <w:szCs w:val="18"/>
              </w:rPr>
              <w:t xml:space="preserve">−7,49 – 14,27</w:t>
            </w:r>
          </w:p>
        </w:tc>
        <w:tc>
          <w:tcPr>
            <w:tcW w:type="dxa" w:w="1050"/>
            <w:tcMar>
              <w:top w:type="dxa" w:w="70"/>
              <w:left w:type="dxa" w:w="100"/>
              <w:bottom w:type="dxa" w:w="70"/>
              <w:right w:type="dxa" w:w="100"/>
            </w:tcMar>
          </w:tcPr>
          <w:p>
            <w:pPr>
              <w:spacing w:after="0" w:line="240"/>
              <w:jc w:val="right"/>
            </w:pPr>
            <w:r>
              <w:rPr>
                <w:sz w:val="18"/>
                <w:szCs w:val="18"/>
              </w:rPr>
              <w:t xml:space="preserve">5,55</w:t>
            </w:r>
          </w:p>
        </w:tc>
        <w:tc>
          <w:tcPr>
            <w:tcW w:type="dxa" w:w="950"/>
            <w:tcMar>
              <w:top w:type="dxa" w:w="70"/>
              <w:left w:type="dxa" w:w="100"/>
              <w:bottom w:type="dxa" w:w="70"/>
              <w:right w:type="dxa" w:w="100"/>
            </w:tcMar>
          </w:tcPr>
          <w:p>
            <w:pPr>
              <w:spacing w:after="0" w:line="240"/>
              <w:jc w:val="right"/>
            </w:pPr>
            <w:r>
              <w:rPr>
                <w:sz w:val="18"/>
                <w:szCs w:val="18"/>
              </w:rPr>
              <w:t xml:space="preserve">0,547</w:t>
            </w:r>
          </w:p>
        </w:tc>
        <w:tc>
          <w:tcPr>
            <w:tcW w:type="dxa" w:w="900"/>
            <w:tcMar>
              <w:top w:type="dxa" w:w="70"/>
              <w:left w:type="dxa" w:w="100"/>
              <w:bottom w:type="dxa" w:w="70"/>
              <w:right w:type="dxa" w:w="100"/>
            </w:tcMar>
          </w:tcPr>
          <w:p>
            <w:pPr>
              <w:spacing w:after="0" w:line="240"/>
              <w:jc w:val="right"/>
            </w:pPr>
            <w:r>
              <w:rPr>
                <w:sz w:val="18"/>
                <w:szCs w:val="18"/>
              </w:rPr>
              <w:t xml:space="preserve">—</w:t>
            </w:r>
          </w:p>
        </w:tc>
      </w:tr>
      <w:tr>
        <w:tc>
          <w:tcPr>
            <w:tcW w:type="dxa" w:w="1500"/>
            <w:tcMar>
              <w:top w:type="dxa" w:w="70"/>
              <w:left w:type="dxa" w:w="100"/>
              <w:bottom w:type="dxa" w:w="70"/>
              <w:right w:type="dxa" w:w="100"/>
            </w:tcMar>
          </w:tcPr>
          <w:p>
            <w:pPr>
              <w:spacing w:after="0" w:line="240"/>
              <w:jc w:val="left"/>
            </w:pPr>
            <w:r>
              <w:rPr>
                <w:sz w:val="18"/>
                <w:szCs w:val="18"/>
              </w:rPr>
              <w:t xml:space="preserve">Coeficiente</w:t>
            </w:r>
          </w:p>
        </w:tc>
        <w:tc>
          <w:tcPr>
            <w:tcW w:type="dxa" w:w="1350"/>
            <w:tcMar>
              <w:top w:type="dxa" w:w="70"/>
              <w:left w:type="dxa" w:w="100"/>
              <w:bottom w:type="dxa" w:w="70"/>
              <w:right w:type="dxa" w:w="100"/>
            </w:tcMar>
          </w:tcPr>
          <w:p>
            <w:pPr>
              <w:spacing w:after="0" w:line="240"/>
              <w:jc w:val="left"/>
            </w:pPr>
            <w:r>
              <w:rPr>
                <w:sz w:val="18"/>
                <w:szCs w:val="18"/>
              </w:rPr>
              <w:t xml:space="preserve">N:P</w:t>
            </w:r>
          </w:p>
        </w:tc>
        <w:tc>
          <w:tcPr>
            <w:tcW w:type="dxa" w:w="1250"/>
            <w:tcMar>
              <w:top w:type="dxa" w:w="70"/>
              <w:left w:type="dxa" w:w="100"/>
              <w:bottom w:type="dxa" w:w="70"/>
              <w:right w:type="dxa" w:w="100"/>
            </w:tcMar>
          </w:tcPr>
          <w:p>
            <w:pPr>
              <w:spacing w:after="0" w:line="240"/>
              <w:jc w:val="right"/>
            </w:pPr>
            <w:r>
              <w:rPr>
                <w:sz w:val="18"/>
                <w:szCs w:val="18"/>
              </w:rPr>
              <w:t xml:space="preserve">−17,97</w:t>
            </w:r>
          </w:p>
        </w:tc>
        <w:tc>
          <w:tcPr>
            <w:tcW w:type="dxa" w:w="2000"/>
            <w:tcMar>
              <w:top w:type="dxa" w:w="70"/>
              <w:left w:type="dxa" w:w="100"/>
              <w:bottom w:type="dxa" w:w="70"/>
              <w:right w:type="dxa" w:w="100"/>
            </w:tcMar>
          </w:tcPr>
          <w:p>
            <w:pPr>
              <w:spacing w:after="0" w:line="240"/>
              <w:jc w:val="center"/>
            </w:pPr>
            <w:r>
              <w:rPr>
                <w:sz w:val="18"/>
                <w:szCs w:val="18"/>
              </w:rPr>
              <w:t xml:space="preserve">−34,02 – −1,92</w:t>
            </w:r>
          </w:p>
        </w:tc>
        <w:tc>
          <w:tcPr>
            <w:tcW w:type="dxa" w:w="1050"/>
            <w:tcMar>
              <w:top w:type="dxa" w:w="70"/>
              <w:left w:type="dxa" w:w="100"/>
              <w:bottom w:type="dxa" w:w="70"/>
              <w:right w:type="dxa" w:w="100"/>
            </w:tcMar>
          </w:tcPr>
          <w:p>
            <w:pPr>
              <w:spacing w:after="0" w:line="240"/>
              <w:jc w:val="right"/>
            </w:pPr>
            <w:r>
              <w:rPr>
                <w:sz w:val="18"/>
                <w:szCs w:val="18"/>
              </w:rPr>
              <w:t xml:space="preserve">8,19</w:t>
            </w:r>
          </w:p>
        </w:tc>
        <w:tc>
          <w:tcPr>
            <w:tcW w:type="dxa" w:w="950"/>
            <w:tcMar>
              <w:top w:type="dxa" w:w="70"/>
              <w:left w:type="dxa" w:w="100"/>
              <w:bottom w:type="dxa" w:w="70"/>
              <w:right w:type="dxa" w:w="100"/>
            </w:tcMar>
          </w:tcPr>
          <w:p>
            <w:pPr>
              <w:spacing w:after="0" w:line="240"/>
              <w:jc w:val="right"/>
            </w:pPr>
            <w:r>
              <w:rPr>
                <w:b/>
                <w:bCs/>
                <w:sz w:val="18"/>
                <w:szCs w:val="18"/>
              </w:rPr>
              <w:t xml:space="preserve">0,037 *</w:t>
            </w:r>
          </w:p>
        </w:tc>
        <w:tc>
          <w:tcPr>
            <w:tcW w:type="dxa" w:w="900"/>
            <w:tcMar>
              <w:top w:type="dxa" w:w="70"/>
              <w:left w:type="dxa" w:w="100"/>
              <w:bottom w:type="dxa" w:w="70"/>
              <w:right w:type="dxa" w:w="100"/>
            </w:tcMar>
          </w:tcPr>
          <w:p>
            <w:pPr>
              <w:spacing w:after="0" w:line="240"/>
              <w:jc w:val="right"/>
            </w:pPr>
            <w:r>
              <w:rPr>
                <w:sz w:val="18"/>
                <w:szCs w:val="18"/>
              </w:rPr>
              <w:t xml:space="preserve">—</w:t>
            </w:r>
          </w:p>
        </w:tc>
      </w:tr>
      <w:tr>
        <w:tc>
          <w:tcPr>
            <w:tcW w:type="dxa" w:w="1500"/>
            <w:tcMar>
              <w:top w:type="dxa" w:w="70"/>
              <w:left w:type="dxa" w:w="100"/>
              <w:bottom w:type="dxa" w:w="70"/>
              <w:right w:type="dxa" w:w="100"/>
            </w:tcMar>
          </w:tcPr>
          <w:p>
            <w:pPr>
              <w:spacing w:after="0" w:line="240"/>
              <w:jc w:val="left"/>
            </w:pPr>
            <w:r>
              <w:rPr>
                <w:sz w:val="18"/>
                <w:szCs w:val="18"/>
              </w:rPr>
              <w:t xml:space="preserve">Contraste</w:t>
            </w:r>
          </w:p>
        </w:tc>
        <w:tc>
          <w:tcPr>
            <w:tcW w:type="dxa" w:w="1350"/>
            <w:tcMar>
              <w:top w:type="dxa" w:w="70"/>
              <w:left w:type="dxa" w:w="100"/>
              <w:bottom w:type="dxa" w:w="70"/>
              <w:right w:type="dxa" w:w="100"/>
            </w:tcMar>
          </w:tcPr>
          <w:p>
            <w:pPr>
              <w:spacing w:after="0" w:line="240"/>
              <w:jc w:val="left"/>
            </w:pPr>
            <w:r>
              <w:rPr>
                <w:sz w:val="18"/>
                <w:szCs w:val="18"/>
              </w:rPr>
              <w:t xml:space="preserve">N vs C</w:t>
            </w:r>
          </w:p>
        </w:tc>
        <w:tc>
          <w:tcPr>
            <w:tcW w:type="dxa" w:w="1250"/>
            <w:tcMar>
              <w:top w:type="dxa" w:w="70"/>
              <w:left w:type="dxa" w:w="100"/>
              <w:bottom w:type="dxa" w:w="70"/>
              <w:right w:type="dxa" w:w="100"/>
            </w:tcMar>
          </w:tcPr>
          <w:p>
            <w:pPr>
              <w:spacing w:after="0" w:line="240"/>
              <w:jc w:val="right"/>
            </w:pPr>
            <w:r>
              <w:rPr>
                <w:sz w:val="18"/>
                <w:szCs w:val="18"/>
              </w:rPr>
              <w:t xml:space="preserve">7,17</w:t>
            </w:r>
          </w:p>
        </w:tc>
        <w:tc>
          <w:tcPr>
            <w:tcW w:type="dxa" w:w="2000"/>
            <w:tcMar>
              <w:top w:type="dxa" w:w="70"/>
              <w:left w:type="dxa" w:w="100"/>
              <w:bottom w:type="dxa" w:w="70"/>
              <w:right w:type="dxa" w:w="100"/>
            </w:tcMar>
          </w:tcPr>
          <w:p>
            <w:pPr>
              <w:spacing w:after="0" w:line="240"/>
              <w:jc w:val="center"/>
            </w:pPr>
            <w:r>
              <w:rPr>
                <w:sz w:val="18"/>
                <w:szCs w:val="18"/>
              </w:rPr>
              <w:t xml:space="preserve">−3,86 – 18,20</w:t>
            </w:r>
          </w:p>
        </w:tc>
        <w:tc>
          <w:tcPr>
            <w:tcW w:type="dxa" w:w="1050"/>
            <w:tcMar>
              <w:top w:type="dxa" w:w="70"/>
              <w:left w:type="dxa" w:w="100"/>
              <w:bottom w:type="dxa" w:w="70"/>
              <w:right w:type="dxa" w:w="100"/>
            </w:tcMar>
          </w:tcPr>
          <w:p>
            <w:pPr>
              <w:spacing w:after="0" w:line="240"/>
              <w:jc w:val="right"/>
            </w:pPr>
            <w:r>
              <w:rPr>
                <w:sz w:val="18"/>
                <w:szCs w:val="18"/>
              </w:rPr>
              <w:t xml:space="preserve">5,39</w:t>
            </w:r>
          </w:p>
        </w:tc>
        <w:tc>
          <w:tcPr>
            <w:tcW w:type="dxa" w:w="950"/>
            <w:tcMar>
              <w:top w:type="dxa" w:w="70"/>
              <w:left w:type="dxa" w:w="100"/>
              <w:bottom w:type="dxa" w:w="70"/>
              <w:right w:type="dxa" w:w="100"/>
            </w:tcMar>
          </w:tcPr>
          <w:p>
            <w:pPr>
              <w:spacing w:after="0" w:line="240"/>
              <w:jc w:val="right"/>
            </w:pPr>
            <w:r>
              <w:rPr>
                <w:sz w:val="18"/>
                <w:szCs w:val="18"/>
              </w:rPr>
              <w:t xml:space="preserve">0,194</w:t>
            </w:r>
          </w:p>
        </w:tc>
        <w:tc>
          <w:tcPr>
            <w:tcW w:type="dxa" w:w="900"/>
            <w:tcMar>
              <w:top w:type="dxa" w:w="70"/>
              <w:left w:type="dxa" w:w="100"/>
              <w:bottom w:type="dxa" w:w="70"/>
              <w:right w:type="dxa" w:w="100"/>
            </w:tcMar>
          </w:tcPr>
          <w:p>
            <w:pPr>
              <w:spacing w:after="0" w:line="240"/>
              <w:jc w:val="right"/>
            </w:pPr>
            <w:r>
              <w:rPr>
                <w:sz w:val="18"/>
                <w:szCs w:val="18"/>
              </w:rPr>
              <w:t xml:space="preserve">0,419</w:t>
            </w:r>
          </w:p>
        </w:tc>
      </w:tr>
      <w:tr>
        <w:tc>
          <w:tcPr>
            <w:tcW w:type="dxa" w:w="1500"/>
            <w:tcMar>
              <w:top w:type="dxa" w:w="70"/>
              <w:left w:type="dxa" w:w="100"/>
              <w:bottom w:type="dxa" w:w="70"/>
              <w:right w:type="dxa" w:w="100"/>
            </w:tcMar>
          </w:tcPr>
          <w:p>
            <w:pPr>
              <w:spacing w:after="0" w:line="240"/>
              <w:jc w:val="left"/>
            </w:pPr>
            <w:r>
              <w:rPr>
                <w:sz w:val="18"/>
                <w:szCs w:val="18"/>
              </w:rPr>
              <w:t xml:space="preserve">Contraste</w:t>
            </w:r>
          </w:p>
        </w:tc>
        <w:tc>
          <w:tcPr>
            <w:tcW w:type="dxa" w:w="1350"/>
            <w:tcMar>
              <w:top w:type="dxa" w:w="70"/>
              <w:left w:type="dxa" w:w="100"/>
              <w:bottom w:type="dxa" w:w="70"/>
              <w:right w:type="dxa" w:w="100"/>
            </w:tcMar>
          </w:tcPr>
          <w:p>
            <w:pPr>
              <w:spacing w:after="0" w:line="240"/>
              <w:jc w:val="left"/>
            </w:pPr>
            <w:r>
              <w:rPr>
                <w:sz w:val="18"/>
                <w:szCs w:val="18"/>
              </w:rPr>
              <w:t xml:space="preserve">P vs C</w:t>
            </w:r>
          </w:p>
        </w:tc>
        <w:tc>
          <w:tcPr>
            <w:tcW w:type="dxa" w:w="1250"/>
            <w:tcMar>
              <w:top w:type="dxa" w:w="70"/>
              <w:left w:type="dxa" w:w="100"/>
              <w:bottom w:type="dxa" w:w="70"/>
              <w:right w:type="dxa" w:w="100"/>
            </w:tcMar>
          </w:tcPr>
          <w:p>
            <w:pPr>
              <w:spacing w:after="0" w:line="240"/>
              <w:jc w:val="right"/>
            </w:pPr>
            <w:r>
              <w:rPr>
                <w:sz w:val="18"/>
                <w:szCs w:val="18"/>
              </w:rPr>
              <w:t xml:space="preserve">3,39</w:t>
            </w:r>
          </w:p>
        </w:tc>
        <w:tc>
          <w:tcPr>
            <w:tcW w:type="dxa" w:w="2000"/>
            <w:tcMar>
              <w:top w:type="dxa" w:w="70"/>
              <w:left w:type="dxa" w:w="100"/>
              <w:bottom w:type="dxa" w:w="70"/>
              <w:right w:type="dxa" w:w="100"/>
            </w:tcMar>
          </w:tcPr>
          <w:p>
            <w:pPr>
              <w:spacing w:after="0" w:line="240"/>
              <w:jc w:val="center"/>
            </w:pPr>
            <w:r>
              <w:rPr>
                <w:sz w:val="18"/>
                <w:szCs w:val="18"/>
              </w:rPr>
              <w:t xml:space="preserve">−7,98 – 14,76</w:t>
            </w:r>
          </w:p>
        </w:tc>
        <w:tc>
          <w:tcPr>
            <w:tcW w:type="dxa" w:w="1050"/>
            <w:tcMar>
              <w:top w:type="dxa" w:w="70"/>
              <w:left w:type="dxa" w:w="100"/>
              <w:bottom w:type="dxa" w:w="70"/>
              <w:right w:type="dxa" w:w="100"/>
            </w:tcMar>
          </w:tcPr>
          <w:p>
            <w:pPr>
              <w:spacing w:after="0" w:line="240"/>
              <w:jc w:val="right"/>
            </w:pPr>
            <w:r>
              <w:rPr>
                <w:sz w:val="18"/>
                <w:szCs w:val="18"/>
              </w:rPr>
              <w:t xml:space="preserve">5,55</w:t>
            </w:r>
          </w:p>
        </w:tc>
        <w:tc>
          <w:tcPr>
            <w:tcW w:type="dxa" w:w="950"/>
            <w:tcMar>
              <w:top w:type="dxa" w:w="70"/>
              <w:left w:type="dxa" w:w="100"/>
              <w:bottom w:type="dxa" w:w="70"/>
              <w:right w:type="dxa" w:w="100"/>
            </w:tcMar>
          </w:tcPr>
          <w:p>
            <w:pPr>
              <w:spacing w:after="0" w:line="240"/>
              <w:jc w:val="right"/>
            </w:pPr>
            <w:r>
              <w:rPr>
                <w:sz w:val="18"/>
                <w:szCs w:val="18"/>
              </w:rPr>
              <w:t xml:space="preserve">0,547</w:t>
            </w:r>
          </w:p>
        </w:tc>
        <w:tc>
          <w:tcPr>
            <w:tcW w:type="dxa" w:w="900"/>
            <w:tcMar>
              <w:top w:type="dxa" w:w="70"/>
              <w:left w:type="dxa" w:w="100"/>
              <w:bottom w:type="dxa" w:w="70"/>
              <w:right w:type="dxa" w:w="100"/>
            </w:tcMar>
          </w:tcPr>
          <w:p>
            <w:pPr>
              <w:spacing w:after="0" w:line="240"/>
              <w:jc w:val="right"/>
            </w:pPr>
            <w:r>
              <w:rPr>
                <w:sz w:val="18"/>
                <w:szCs w:val="18"/>
              </w:rPr>
              <w:t xml:space="preserve">0,846</w:t>
            </w:r>
          </w:p>
        </w:tc>
      </w:tr>
      <w:tr>
        <w:tc>
          <w:tcPr>
            <w:tcW w:type="dxa" w:w="1500"/>
            <w:tcMar>
              <w:top w:type="dxa" w:w="70"/>
              <w:left w:type="dxa" w:w="100"/>
              <w:bottom w:type="dxa" w:w="70"/>
              <w:right w:type="dxa" w:w="100"/>
            </w:tcMar>
          </w:tcPr>
          <w:p>
            <w:pPr>
              <w:spacing w:after="0" w:line="240"/>
              <w:jc w:val="left"/>
            </w:pPr>
            <w:r>
              <w:rPr>
                <w:sz w:val="18"/>
                <w:szCs w:val="18"/>
              </w:rPr>
              <w:t xml:space="preserve">Contraste</w:t>
            </w:r>
          </w:p>
        </w:tc>
        <w:tc>
          <w:tcPr>
            <w:tcW w:type="dxa" w:w="1350"/>
            <w:tcMar>
              <w:top w:type="dxa" w:w="70"/>
              <w:left w:type="dxa" w:w="100"/>
              <w:bottom w:type="dxa" w:w="70"/>
              <w:right w:type="dxa" w:w="100"/>
            </w:tcMar>
          </w:tcPr>
          <w:p>
            <w:pPr>
              <w:spacing w:after="0" w:line="240"/>
              <w:jc w:val="left"/>
            </w:pPr>
            <w:r>
              <w:rPr>
                <w:sz w:val="18"/>
                <w:szCs w:val="18"/>
              </w:rPr>
              <w:t xml:space="preserve">N+P vs C</w:t>
            </w:r>
          </w:p>
        </w:tc>
        <w:tc>
          <w:tcPr>
            <w:tcW w:type="dxa" w:w="1250"/>
            <w:tcMar>
              <w:top w:type="dxa" w:w="70"/>
              <w:left w:type="dxa" w:w="100"/>
              <w:bottom w:type="dxa" w:w="70"/>
              <w:right w:type="dxa" w:w="100"/>
            </w:tcMar>
          </w:tcPr>
          <w:p>
            <w:pPr>
              <w:spacing w:after="0" w:line="240"/>
              <w:jc w:val="right"/>
            </w:pPr>
            <w:r>
              <w:rPr>
                <w:sz w:val="18"/>
                <w:szCs w:val="18"/>
              </w:rPr>
              <w:t xml:space="preserve">−7,42</w:t>
            </w:r>
          </w:p>
        </w:tc>
        <w:tc>
          <w:tcPr>
            <w:tcW w:type="dxa" w:w="2000"/>
            <w:tcMar>
              <w:top w:type="dxa" w:w="70"/>
              <w:left w:type="dxa" w:w="100"/>
              <w:bottom w:type="dxa" w:w="70"/>
              <w:right w:type="dxa" w:w="100"/>
            </w:tcMar>
          </w:tcPr>
          <w:p>
            <w:pPr>
              <w:spacing w:after="0" w:line="240"/>
              <w:jc w:val="center"/>
            </w:pPr>
            <w:r>
              <w:rPr>
                <w:sz w:val="18"/>
                <w:szCs w:val="18"/>
              </w:rPr>
              <w:t xml:space="preserve">−19,75 – 4,92</w:t>
            </w:r>
          </w:p>
        </w:tc>
        <w:tc>
          <w:tcPr>
            <w:tcW w:type="dxa" w:w="1050"/>
            <w:tcMar>
              <w:top w:type="dxa" w:w="70"/>
              <w:left w:type="dxa" w:w="100"/>
              <w:bottom w:type="dxa" w:w="70"/>
              <w:right w:type="dxa" w:w="100"/>
            </w:tcMar>
          </w:tcPr>
          <w:p>
            <w:pPr>
              <w:spacing w:after="0" w:line="240"/>
              <w:jc w:val="right"/>
            </w:pPr>
            <w:r>
              <w:rPr>
                <w:sz w:val="18"/>
                <w:szCs w:val="18"/>
              </w:rPr>
              <w:t xml:space="preserve">6,02</w:t>
            </w:r>
          </w:p>
        </w:tc>
        <w:tc>
          <w:tcPr>
            <w:tcW w:type="dxa" w:w="950"/>
            <w:tcMar>
              <w:top w:type="dxa" w:w="70"/>
              <w:left w:type="dxa" w:w="100"/>
              <w:bottom w:type="dxa" w:w="70"/>
              <w:right w:type="dxa" w:w="100"/>
            </w:tcMar>
          </w:tcPr>
          <w:p>
            <w:pPr>
              <w:spacing w:after="0" w:line="240"/>
              <w:jc w:val="right"/>
            </w:pPr>
            <w:r>
              <w:rPr>
                <w:sz w:val="18"/>
                <w:szCs w:val="18"/>
              </w:rPr>
              <w:t xml:space="preserve">0,228</w:t>
            </w:r>
          </w:p>
        </w:tc>
        <w:tc>
          <w:tcPr>
            <w:tcW w:type="dxa" w:w="900"/>
            <w:tcMar>
              <w:top w:type="dxa" w:w="70"/>
              <w:left w:type="dxa" w:w="100"/>
              <w:bottom w:type="dxa" w:w="70"/>
              <w:right w:type="dxa" w:w="100"/>
            </w:tcMar>
          </w:tcPr>
          <w:p>
            <w:pPr>
              <w:spacing w:after="0" w:line="240"/>
              <w:jc w:val="right"/>
            </w:pPr>
            <w:r>
              <w:rPr>
                <w:sz w:val="18"/>
                <w:szCs w:val="18"/>
              </w:rPr>
              <w:t xml:space="preserve">0,477</w:t>
            </w:r>
          </w:p>
        </w:tc>
      </w:tr>
    </w:tbl>
    <w:p>
      <w:pPr>
        <w:spacing w:after="220" w:before="80"/>
      </w:pPr>
      <w:r>
        <w:rPr>
          <w:i/>
          <w:iCs/>
          <w:color w:val="595959"/>
          <w:sz w:val="17"/>
          <w:szCs w:val="17"/>
        </w:rPr>
        <w:t xml:space="preserve">El coeficiente de interacción es significativo; ninguno de los tres contrastes contra el control lo es. No es una contradicción.</w:t>
      </w:r>
    </w:p>
    <w:p>
      <w:pPr>
        <w:spacing w:after="140" w:line="276"/>
      </w:pPr>
      <w:r>
        <w:rPr>
          <w:b/>
          <w:bCs/>
          <w:sz w:val="21"/>
          <w:szCs w:val="21"/>
        </w:rPr>
        <w:t xml:space="preserve">Por qué no se contradicen: </w:t>
      </w:r>
      <w:r>
        <w:rPr>
          <w:sz w:val="21"/>
          <w:szCs w:val="21"/>
        </w:rPr>
        <w:t xml:space="preserve">el coeficiente N:P no pregunta «¿N+P difiere del control?». Pregunta «¿dar los dos nutrientes juntos difiere de lo que predice sumar sus efectos por separado?». Si fueran aditivos, N+P debería estar en 28,4 + 7,17 + 3,39 = </w:t>
      </w:r>
      <w:r>
        <w:rPr>
          <w:b/>
          <w:bCs/>
          <w:sz w:val="21"/>
          <w:szCs w:val="21"/>
        </w:rPr>
        <w:t xml:space="preserve">39,0</w:t>
      </w:r>
      <w:r>
        <w:rPr>
          <w:sz w:val="21"/>
          <w:szCs w:val="21"/>
        </w:rPr>
        <w:t xml:space="preserve">; el valor observado es </w:t>
      </w:r>
      <w:r>
        <w:rPr>
          <w:b/>
          <w:bCs/>
          <w:sz w:val="21"/>
          <w:szCs w:val="21"/>
        </w:rPr>
        <w:t xml:space="preserve">21,0</w:t>
      </w:r>
      <w:r>
        <w:rPr>
          <w:sz w:val="21"/>
          <w:szCs w:val="21"/>
        </w:rPr>
        <w:t xml:space="preserve"> — 18 unidades por debajo, que es casi exactamente el coeficiente (−17,97). Eso es lo que resulta significativo: un antagonismo real. El contraste N+P vs control, en cambio, compara una celda de 6 árboles contra otra de 9 con sd ≈ 11: su SE (6,02) es demasiado grande para distinguir −7,4 de cero.</w:t>
      </w:r>
    </w:p>
    <w:p>
      <w:pPr>
        <w:spacing w:after="140" w:line="276"/>
      </w:pPr>
      <w:r>
        <w:rPr>
          <w:b/>
          <w:bCs/>
          <w:sz w:val="21"/>
          <w:szCs w:val="21"/>
        </w:rPr>
        <w:t xml:space="preserve">Aviso técnico sobre este modelo concreto: </w:t>
      </w:r>
      <w:r>
        <w:rPr>
          <w:sz w:val="21"/>
          <w:szCs w:val="21"/>
        </w:rPr>
        <w:t xml:space="preserve">el ajuste de iWUE en P. torta es singular — la varianza de bloque colapsa a cero (sd = 0), así que en la práctica es un modelo de efectos fijos y R²c no se puede calcular (R²m = 0,168). No invalida nada, pero si la tabla suplementaria lleva columna R²c, esa celda va como «—» y conviene una nota al pie diciendo por qué.</w:t>
      </w:r>
    </w:p>
    <w:p>
      <w:pPr>
        <w:pStyle w:val="Heading1"/>
        <w:spacing w:after="160" w:before="340"/>
      </w:pPr>
      <w:r>
        <w:rPr>
          <w:b/>
          <w:bCs/>
          <w:color w:val="1F4E79"/>
          <w:sz w:val="28"/>
          <w:szCs w:val="28"/>
        </w:rPr>
        <w:t xml:space="preserve">4. Cómo escribir los resultados</w:t>
      </w:r>
    </w:p>
    <w:p>
      <w:pPr>
        <w:spacing w:after="140" w:line="276"/>
      </w:pPr>
      <w:r>
        <w:rPr>
          <w:sz w:val="21"/>
          <w:szCs w:val="21"/>
        </w:rPr>
        <w:t xml:space="preserve">La regla general: da el estimado con su intervalo antes que el p, y di siempre de qué comparación se trata. Con p sin ajustar, escribir «significativo» a secas es lo que invita a la objeción; escribir el tamaño del efecto no.</w:t>
      </w:r>
    </w:p>
    <w:p>
      <w:pPr>
        <w:pStyle w:val="Heading2"/>
        <w:spacing w:after="120" w:before="260"/>
      </w:pPr>
      <w:r>
        <w:rPr>
          <w:b/>
          <w:bCs/>
          <w:color w:val="1F4E79"/>
          <w:sz w:val="23"/>
          <w:szCs w:val="23"/>
        </w:rPr>
        <w:t xml:space="preserve">Caso A — modelo aditivo con un efecto marginal (ln P content)</w:t>
      </w:r>
    </w:p>
    <w:p>
      <w:pPr>
        <w:pBdr>
          <w:left w:val="single" w:color="1F4E79" w:sz="18" w:space="10"/>
        </w:pBdr>
        <w:shd w:fill="F7F9FC" w:val="clear"/>
        <w:spacing w:after="160" w:line="300"/>
        <w:ind w:left="260" w:right="120"/>
      </w:pPr>
      <w:r>
        <w:rPr>
          <w:sz w:val="21"/>
          <w:szCs w:val="21"/>
        </w:rPr>
        <w:t xml:space="preserve">In Pouteria torta, foliar P concentration tended to increase under P addition (b = 0.135 ± 0.074, p = 0.078; +14.4%, 95% CI −1.6 to +33.1%) and was unaffected by N addition (b = 0.002 ± 0.074, p = 0.976). The interaction did not improve the model (LRT χ²₁ = 0.64, p = 0.42), so the combined treatment merely summed the two effects (+14.7%, 95% CI −8.0 to +43.1%, p = 0.214); the wider interval of the N+P contrast reflects the smaller number of trees in that cell (n = 6) rather than a weaker response.</w:t>
      </w:r>
    </w:p>
    <w:p>
      <w:pPr>
        <w:spacing w:after="140" w:line="276"/>
      </w:pPr>
      <w:r>
        <w:rPr>
          <w:sz w:val="21"/>
          <w:szCs w:val="21"/>
        </w:rPr>
        <w:t xml:space="preserve">Lo importante de esa última frase: sin ella, un lector concluye que «P funciona solo pero no combinado», que es exactamente lo contrario de lo que dice el modelo. El estimado de N+P (0,137) es </w:t>
      </w:r>
      <w:r>
        <w:rPr>
          <w:i/>
          <w:iCs/>
          <w:sz w:val="21"/>
          <w:szCs w:val="21"/>
        </w:rPr>
        <w:t xml:space="preserve">mayor</w:t>
      </w:r>
      <w:r>
        <w:rPr>
          <w:sz w:val="21"/>
          <w:szCs w:val="21"/>
        </w:rPr>
        <w:t xml:space="preserve"> que el de P solo (0,135); lo único que cambia es la precisión.</w:t>
      </w:r>
    </w:p>
    <w:p>
      <w:pPr>
        <w:pStyle w:val="Heading2"/>
        <w:spacing w:after="120" w:before="260"/>
      </w:pPr>
      <w:r>
        <w:rPr>
          <w:b/>
          <w:bCs/>
          <w:color w:val="1F4E79"/>
          <w:sz w:val="23"/>
          <w:szCs w:val="23"/>
        </w:rPr>
        <w:t xml:space="preserve">Caso B — interacción significativa sin contrastes significativos (iWUE)</w:t>
      </w:r>
    </w:p>
    <w:p>
      <w:pPr>
        <w:pBdr>
          <w:left w:val="single" w:color="1F4E79" w:sz="18" w:space="10"/>
        </w:pBdr>
        <w:shd w:fill="F7F9FC" w:val="clear"/>
        <w:spacing w:after="160" w:line="300"/>
        <w:ind w:left="260" w:right="120"/>
      </w:pPr>
      <w:r>
        <w:rPr>
          <w:sz w:val="21"/>
          <w:szCs w:val="21"/>
        </w:rPr>
        <w:t xml:space="preserve">In Pouteria torta the model retaining the N × P interaction was preferred (LRT χ²₁ = 5.08, p = 0.024). Neither nutrient alone altered iWUE (N: +7.2 ± 5.4 µmol mol⁻¹, p = 0.194; P: +3.4 ± 5.6, p = 0.547), but the two acted antagonistically when combined (bN×P = −17.97 ± 8.19, 95% CI −34.0 to −1.9, p = 0.037): trees receiving both nutrients averaged 21.0 µmol mol⁻¹, about 18 units below the 39.0 expected from the additive effects and below the control itself. The N+P vs. control contrast was nevertheless not significant (−7.4 ± 6.0, p = 0.228), as that comparison rests on the smallest cell (n = 6) against a within-cell SD of ~11 µmol mol⁻¹. The interaction and the contrast address different questions: the former compares the observed combined response with the additive prediction, the latter compares a single cell mean with the control.</w:t>
      </w:r>
    </w:p>
    <w:p>
      <w:pPr>
        <w:pStyle w:val="Heading2"/>
        <w:spacing w:after="120" w:before="260"/>
      </w:pPr>
      <w:r>
        <w:rPr>
          <w:b/>
          <w:bCs/>
          <w:color w:val="1F4E79"/>
          <w:sz w:val="23"/>
          <w:szCs w:val="23"/>
        </w:rPr>
        <w:t xml:space="preserve">Caso C — resultado nulo</w:t>
      </w:r>
    </w:p>
    <w:p>
      <w:pPr>
        <w:pBdr>
          <w:left w:val="single" w:color="1F4E79" w:sz="18" w:space="10"/>
        </w:pBdr>
        <w:shd w:fill="F7F9FC" w:val="clear"/>
        <w:spacing w:after="160" w:line="300"/>
        <w:ind w:left="260" w:right="120"/>
      </w:pPr>
      <w:r>
        <w:rPr>
          <w:sz w:val="21"/>
          <w:szCs w:val="21"/>
        </w:rPr>
        <w:t xml:space="preserve">Nitrogen and phosphorus addition left iWUE essentially unchanged: 17 of the 18 contrasts against the control (six species × three treatments) had 95% confidence intervals overlapping zero. The single exception, a decrease under N addition in Clarisia racemosa (−13.1 µmol mol⁻¹, 95% CI −26.1 to −0.2, p = 0.047), rests on one fertilized tree and does not survive correction for the three comparisons against the control (Dunnett p = 0.116), so we do not interpret it. The only treatment structure detected was the antagonistic N × P interaction in Pouteria torta reported above. Confidence intervals were nonetheless wide — the least precise single-nutrient contrast spanned ±20 µmol mol⁻¹ — so responses smaller than that magnitude cannot be ruled out.</w:t>
      </w:r>
    </w:p>
    <w:p>
      <w:pPr>
        <w:spacing w:after="140" w:line="276"/>
      </w:pPr>
      <w:r>
        <w:rPr>
          <w:sz w:val="21"/>
          <w:szCs w:val="21"/>
        </w:rPr>
        <w:t xml:space="preserve">Los números de ese párrafo están verificados (10-09-2026): de los 18 contrastes de iWUE, solo el de N en C. racemosa excluye el cero, y esa celda tiene un único árbol. El intervalo más ancho entre los contrastes de un solo nutriente es el de H. purpurascens (39,7 µmol mol⁻¹ de amplitud total, es decir ±19,9).</w:t>
      </w:r>
    </w:p>
    <w:p>
      <w:pPr>
        <w:spacing w:after="200" w:line="276"/>
      </w:pPr>
      <w:r>
        <w:rPr>
          <w:sz w:val="21"/>
          <w:szCs w:val="21"/>
        </w:rPr>
        <w:t xml:space="preserve">Un resultado nulo se defiende con la anchura del intervalo, no con el p. Decir «no hubo efecto (p = 0,55)» no informa; decir «el intervalo excluye cambios mayores de X» sí. Y si el único contraste que sale significativo viene de una celda con un solo árbol, hay que decirlo en la misma frase, no en una nota al pie.</w:t>
      </w:r>
    </w:p>
    <w:p>
      <w:pPr>
        <w:pStyle w:val="Heading2"/>
        <w:spacing w:after="120" w:before="260"/>
      </w:pPr>
      <w:r>
        <w:rPr>
          <w:b/>
          <w:bCs/>
          <w:color w:val="1F4E79"/>
          <w:sz w:val="23"/>
          <w:szCs w:val="23"/>
        </w:rPr>
        <w:t xml:space="preserve">Cómo no escribirlo</w:t>
      </w:r>
    </w:p>
    <w:p>
      <w:pPr>
        <w:pStyle w:val="ListParagraph"/>
        <w:numPr>
          <w:ilvl w:val="0"/>
          <w:numId w:val="3"/>
        </w:numPr>
        <w:spacing w:after="90" w:line="276"/>
      </w:pPr>
      <w:r>
        <w:rPr>
          <w:i/>
          <w:iCs/>
          <w:sz w:val="21"/>
          <w:szCs w:val="21"/>
        </w:rPr>
        <w:t xml:space="preserve">«N+P no tuvo efecto sobre iWUE»</w:t>
      </w:r>
      <w:r>
        <w:rPr>
          <w:sz w:val="21"/>
          <w:szCs w:val="21"/>
        </w:rPr>
        <w:t xml:space="preserve"> cuando la interacción es significativa. Tuvo efecto: canceló el de cada nutriente por separado. Lo que no se puede afirmar es que la media de esa celda difiera del control.</w:t>
      </w:r>
    </w:p>
    <w:p>
      <w:pPr>
        <w:pStyle w:val="ListParagraph"/>
        <w:numPr>
          <w:ilvl w:val="0"/>
          <w:numId w:val="3"/>
        </w:numPr>
        <w:spacing w:after="90" w:line="276"/>
      </w:pPr>
      <w:r>
        <w:rPr>
          <w:i/>
          <w:iCs/>
          <w:sz w:val="21"/>
          <w:szCs w:val="21"/>
        </w:rPr>
        <w:t xml:space="preserve">«El efecto de P fue significativo (p = 0,078)»</w:t>
      </w:r>
      <w:r>
        <w:rPr>
          <w:sz w:val="21"/>
          <w:szCs w:val="21"/>
        </w:rPr>
        <w:t xml:space="preserve">. Con el umbral habitual no lo es. Escribe «tendió a aumentar» o «marginalmente», y declara en métodos que † marca p &lt; 0,10.</w:t>
      </w:r>
    </w:p>
    <w:p>
      <w:pPr>
        <w:pStyle w:val="ListParagraph"/>
        <w:numPr>
          <w:ilvl w:val="0"/>
          <w:numId w:val="3"/>
        </w:numPr>
        <w:spacing w:after="90" w:line="276"/>
      </w:pPr>
      <w:r>
        <w:rPr>
          <w:sz w:val="21"/>
          <w:szCs w:val="21"/>
        </w:rPr>
        <w:t xml:space="preserve">Citar un p de la figura y un IC de la tabla de coeficientes en la misma frase: los IC son de Wald y no cuadran exactamente con los de emmeans. Toma los dos de la misma fuente.</w:t>
      </w:r>
    </w:p>
    <w:p>
      <w:pPr>
        <w:pStyle w:val="ListParagraph"/>
        <w:numPr>
          <w:ilvl w:val="0"/>
          <w:numId w:val="3"/>
        </w:numPr>
        <w:spacing w:after="90" w:line="276"/>
      </w:pPr>
      <w:r>
        <w:rPr>
          <w:sz w:val="21"/>
          <w:szCs w:val="21"/>
        </w:rPr>
        <w:t xml:space="preserve">Apoyar cualquier afirmación en C. racemosa +N (n = 1) o en W. loxensis +N+P (n = 2). En C. racemosa hay tres contrastes formalmente significativos sin ajustar (iWUE p = 0,047; ln N p = 0,029; SLA p = 0,023) que no sobreviven a Dunnett: no los uses como resultado.</w:t>
      </w:r>
    </w:p>
    <w:p>
      <w:pPr>
        <w:pStyle w:val="Heading1"/>
        <w:spacing w:after="160" w:before="340"/>
      </w:pPr>
      <w:r>
        <w:rPr>
          <w:b/>
          <w:bCs/>
          <w:color w:val="1F4E79"/>
          <w:sz w:val="28"/>
          <w:szCs w:val="28"/>
        </w:rPr>
        <w:t xml:space="preserve">5. Antes de enviar: comprobaciones</w:t>
      </w:r>
    </w:p>
    <w:p>
      <w:pPr>
        <w:pStyle w:val="ListParagraph"/>
        <w:numPr>
          <w:ilvl w:val="0"/>
          <w:numId w:val="3"/>
        </w:numPr>
        <w:spacing w:after="90" w:line="276"/>
      </w:pPr>
      <w:r>
        <w:rPr>
          <w:sz w:val="21"/>
          <w:szCs w:val="21"/>
        </w:rPr>
        <w:t xml:space="preserve">El pie de la Fig. X dice explícitamente «uncorrected p-values» y define los símbolos († p&lt;0,10, * p&lt;0,05, ** p&lt;0,01, *** p&lt;0,001).</w:t>
      </w:r>
    </w:p>
    <w:p>
      <w:pPr>
        <w:pStyle w:val="ListParagraph"/>
        <w:numPr>
          <w:ilvl w:val="0"/>
          <w:numId w:val="3"/>
        </w:numPr>
        <w:spacing w:after="90" w:line="276"/>
      </w:pPr>
      <w:r>
        <w:rPr>
          <w:sz w:val="21"/>
          <w:szCs w:val="21"/>
        </w:rPr>
        <w:t xml:space="preserve">La tabla suplementaria de coeficientes lleva las dos columnas de p (sin ajustar y Dunnett) y la columna «modelo seleccionado».</w:t>
      </w:r>
    </w:p>
    <w:p>
      <w:pPr>
        <w:pStyle w:val="ListParagraph"/>
        <w:numPr>
          <w:ilvl w:val="0"/>
          <w:numId w:val="3"/>
        </w:numPr>
        <w:spacing w:after="90" w:line="276"/>
      </w:pPr>
      <w:r>
        <w:rPr>
          <w:sz w:val="21"/>
          <w:szCs w:val="21"/>
        </w:rPr>
        <w:t xml:space="preserve">Los IC del texto salen todos de la misma fuente (recomendado: emmeans).</w:t>
      </w:r>
    </w:p>
    <w:p>
      <w:pPr>
        <w:pStyle w:val="ListParagraph"/>
        <w:numPr>
          <w:ilvl w:val="0"/>
          <w:numId w:val="3"/>
        </w:numPr>
        <w:spacing w:after="90" w:line="276"/>
      </w:pPr>
      <w:r>
        <w:rPr>
          <w:sz w:val="21"/>
          <w:szCs w:val="21"/>
        </w:rPr>
        <w:t xml:space="preserve">La figura híbrida antigua del 02_...Rmd ya no está en el documento.</w:t>
      </w:r>
    </w:p>
    <w:p>
      <w:pPr>
        <w:pStyle w:val="ListParagraph"/>
        <w:numPr>
          <w:ilvl w:val="0"/>
          <w:numId w:val="3"/>
        </w:numPr>
        <w:spacing w:after="90" w:line="276"/>
      </w:pPr>
      <w:r>
        <w:rPr>
          <w:sz w:val="21"/>
          <w:szCs w:val="21"/>
        </w:rPr>
        <w:t xml:space="preserve">La etiqueta de LA dice «Individual leaf area (cm²)».</w:t>
      </w:r>
    </w:p>
    <w:p>
      <w:pPr>
        <w:pStyle w:val="ListParagraph"/>
        <w:numPr>
          <w:ilvl w:val="0"/>
          <w:numId w:val="3"/>
        </w:numPr>
        <w:spacing w:after="90" w:line="276"/>
      </w:pPr>
      <w:r>
        <w:rPr>
          <w:sz w:val="21"/>
          <w:szCs w:val="21"/>
        </w:rPr>
        <w:t xml:space="preserve">Ninguna conclusión se apoya en celdas con n &lt; 3, y esas celdas siguen marcadas en rojo en la figura.</w:t>
      </w:r>
    </w:p>
    <w:sectPr>
      <w:pgSz w:w="11906" w:h="16838" w:orient="portrait"/>
      <w:pgMar w:top="1150" w:right="1300" w:bottom="115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Métodos y redacción de resultados — emmeans sin ajustar (NUMEX)</dc:title>
  <dc:creator>Andrea Chávez</dc:creator>
  <cp:lastModifiedBy>Un-named</cp:lastModifiedBy>
  <cp:revision>1</cp:revision>
  <dcterms:created xsi:type="dcterms:W3CDTF">2026-09-10T15:38:50.182Z</dcterms:created>
  <dcterms:modified xsi:type="dcterms:W3CDTF">2026-09-10T15:38:50.182Z</dcterms:modified>
</cp:coreProperties>
</file>

<file path=docProps/custom.xml><?xml version="1.0" encoding="utf-8"?>
<Properties xmlns="http://schemas.openxmlformats.org/officeDocument/2006/custom-properties" xmlns:vt="http://schemas.openxmlformats.org/officeDocument/2006/docPropsVTypes"/>
</file>