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Exploratory Analysis: Standardized Major Axis (SMA) Regressions with iWUE</w:t>
      </w:r>
    </w:p>
    <w:p>
      <w:pPr>
        <w:spacing w:after="200" w:line="288"/>
      </w:pPr>
      <w:r>
        <w:rPr>
          <w:i/>
          <w:iCs/>
          <w:sz w:val="22"/>
          <w:szCs w:val="22"/>
        </w:rPr>
        <w:t xml:space="preserve">As an additional, exploratory analysis, bivariate relationships between intrinsic water-use efficiency (iWUE) and three leaf traits — nitrogen per unit area (Narea), specific leaf area (SLA), and phosphorus per unit area (Parea) — were examined using standardized major axis (SMA) regression on the pooled data (all treatments combined) for each species. Unlike the nutrient-addition mixed models reported elsewhere, this analysis does not test whether the experimental treatments shifted trait means; instead, it asks whether iWUE covaries with these traits across the full range of natural variation present in the dataset, independent of treatment. Significant relationships (p &lt; 0.05) are shaded and shown in bold.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100"/>
        <w:gridCol w:w="2400"/>
        <w:gridCol w:w="1000"/>
        <w:gridCol w:w="1200"/>
        <w:gridCol w:w="2400"/>
        <w:gridCol w:w="1000"/>
        <w:gridCol w:w="1100"/>
      </w:tblGrid>
      <w:tr>
        <w:trPr>
          <w:tblHeader/>
        </w:trPr>
        <w:tc>
          <w:tcPr>
            <w:tcW w:type="dxa" w:w="1100"/>
            <w:shd w:fill="2F5233" w:val="clear"/>
            <w:tcMar>
              <w:top w:type="dxa" w:w="70"/>
              <w:left w:type="dxa" w:w="70"/>
              <w:bottom w:type="dxa" w:w="70"/>
              <w:right w:type="dxa" w:w="70"/>
            </w:tcMar>
            <w:vAlign w:val="center"/>
          </w:tcPr>
          <w:p>
            <w:pPr>
              <w:jc w:val="center"/>
            </w:pPr>
            <w:r>
              <w:rPr>
                <w:b/>
                <w:bCs/>
                <w:color w:val="FFFFFF"/>
                <w:sz w:val="17"/>
                <w:szCs w:val="17"/>
              </w:rPr>
              <w:t xml:space="preserve">Predictor</w:t>
            </w:r>
          </w:p>
        </w:tc>
        <w:tc>
          <w:tcPr>
            <w:tcW w:type="dxa" w:w="2400"/>
            <w:shd w:fill="2F5233" w:val="clear"/>
            <w:tcMar>
              <w:top w:type="dxa" w:w="70"/>
              <w:left w:type="dxa" w:w="70"/>
              <w:bottom w:type="dxa" w:w="70"/>
              <w:right w:type="dxa" w:w="70"/>
            </w:tcMar>
            <w:vAlign w:val="center"/>
          </w:tcPr>
          <w:p>
            <w:pPr>
              <w:jc w:val="center"/>
            </w:pPr>
            <w:r>
              <w:rPr>
                <w:b/>
                <w:bCs/>
                <w:color w:val="FFFFFF"/>
                <w:sz w:val="17"/>
                <w:szCs w:val="17"/>
              </w:rPr>
              <w:t xml:space="preserve">Species</w:t>
            </w:r>
          </w:p>
        </w:tc>
        <w:tc>
          <w:tcPr>
            <w:tcW w:type="dxa" w:w="1000"/>
            <w:shd w:fill="2F5233" w:val="clear"/>
            <w:tcMar>
              <w:top w:type="dxa" w:w="70"/>
              <w:left w:type="dxa" w:w="70"/>
              <w:bottom w:type="dxa" w:w="70"/>
              <w:right w:type="dxa" w:w="70"/>
            </w:tcMar>
            <w:vAlign w:val="center"/>
          </w:tcPr>
          <w:p>
            <w:pPr>
              <w:jc w:val="center"/>
            </w:pPr>
            <w:r>
              <w:rPr>
                <w:b/>
                <w:bCs/>
                <w:color w:val="FFFFFF"/>
                <w:sz w:val="17"/>
                <w:szCs w:val="17"/>
              </w:rPr>
              <w:t xml:space="preserve">Elev. (m)</w:t>
            </w:r>
          </w:p>
        </w:tc>
        <w:tc>
          <w:tcPr>
            <w:tcW w:type="dxa" w:w="1200"/>
            <w:shd w:fill="2F5233" w:val="clear"/>
            <w:tcMar>
              <w:top w:type="dxa" w:w="70"/>
              <w:left w:type="dxa" w:w="70"/>
              <w:bottom w:type="dxa" w:w="70"/>
              <w:right w:type="dxa" w:w="70"/>
            </w:tcMar>
            <w:vAlign w:val="center"/>
          </w:tcPr>
          <w:p>
            <w:pPr>
              <w:jc w:val="center"/>
            </w:pPr>
            <w:r>
              <w:rPr>
                <w:b/>
                <w:bCs/>
                <w:color w:val="FFFFFF"/>
                <w:sz w:val="17"/>
                <w:szCs w:val="17"/>
              </w:rPr>
              <w:t xml:space="preserve">Slope</w:t>
            </w:r>
          </w:p>
        </w:tc>
        <w:tc>
          <w:tcPr>
            <w:tcW w:type="dxa" w:w="2400"/>
            <w:shd w:fill="2F5233" w:val="clear"/>
            <w:tcMar>
              <w:top w:type="dxa" w:w="70"/>
              <w:left w:type="dxa" w:w="70"/>
              <w:bottom w:type="dxa" w:w="70"/>
              <w:right w:type="dxa" w:w="70"/>
            </w:tcMar>
            <w:vAlign w:val="center"/>
          </w:tcPr>
          <w:p>
            <w:pPr>
              <w:jc w:val="center"/>
            </w:pPr>
            <w:r>
              <w:rPr>
                <w:b/>
                <w:bCs/>
                <w:color w:val="FFFFFF"/>
                <w:sz w:val="17"/>
                <w:szCs w:val="17"/>
              </w:rPr>
              <w:t xml:space="preserve">95% CI</w:t>
            </w:r>
          </w:p>
        </w:tc>
        <w:tc>
          <w:tcPr>
            <w:tcW w:type="dxa" w:w="1000"/>
            <w:shd w:fill="2F5233" w:val="clear"/>
            <w:tcMar>
              <w:top w:type="dxa" w:w="70"/>
              <w:left w:type="dxa" w:w="70"/>
              <w:bottom w:type="dxa" w:w="70"/>
              <w:right w:type="dxa" w:w="70"/>
            </w:tcMar>
            <w:vAlign w:val="center"/>
          </w:tcPr>
          <w:p>
            <w:pPr>
              <w:jc w:val="center"/>
            </w:pPr>
            <w:r>
              <w:rPr>
                <w:b/>
                <w:bCs/>
                <w:color w:val="FFFFFF"/>
                <w:sz w:val="17"/>
                <w:szCs w:val="17"/>
              </w:rPr>
              <w:t xml:space="preserve">R²</w:t>
            </w:r>
          </w:p>
        </w:tc>
        <w:tc>
          <w:tcPr>
            <w:tcW w:type="dxa" w:w="1100"/>
            <w:shd w:fill="2F5233" w:val="clear"/>
            <w:tcMar>
              <w:top w:type="dxa" w:w="70"/>
              <w:left w:type="dxa" w:w="70"/>
              <w:bottom w:type="dxa" w:w="70"/>
              <w:right w:type="dxa" w:w="70"/>
            </w:tcMar>
            <w:vAlign w:val="center"/>
          </w:tcPr>
          <w:p>
            <w:pPr>
              <w:jc w:val="center"/>
            </w:pPr>
            <w:r>
              <w:rPr>
                <w:b/>
                <w:bCs/>
                <w:color w:val="FFFFFF"/>
                <w:sz w:val="17"/>
                <w:szCs w:val="17"/>
              </w:rPr>
              <w:t xml:space="preserve">p</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Pouteria torta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44.54</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32.77 – 60.53</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0.302</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0.0011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Clarisia racemosa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52.29</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27.30 – 100.17</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0.022</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0.646</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Alchornea lojaensis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25.16</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18.91 – 33.48</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0.179</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0.0053</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Myrcia sp. nov.</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36.56</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27.81 – 48.06</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0.129</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0.0121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Hedyosmum purpurascens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44.38</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30.39 – 64.80</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0.348</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0.0049</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Narea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Weinmannia loxensis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48.73</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31.75 – 74.79</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0.306</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0.0173</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Pouteria torta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-1.08</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-1.42 – -0.82</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0.456</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&lt;0.001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Clarisia racemosa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-1.05</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-1.87 – -0.59</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0.255</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0.094</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Alchornea lojaensis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-3.58</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-4.71 – -2.72</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0.238</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0.0011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Myrcia sp. nov.</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-3.49</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-4.27 – -2.84</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0.513</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&lt;0.001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Hedyosmum purpurascens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-1.74</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-2.60 – -1.16</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0.253</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0.0202</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SLA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Weinmannia loxensis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-1.74</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-2.70 – -1.12</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0.259</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0.0308</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Pouteria torta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824.3</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575.3 – 1181.2</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0.028</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0.356</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Clarisia racemosa</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1000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541.2</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333.9 – 877.1</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0.493</w:t>
            </w:r>
          </w:p>
        </w:tc>
        <w:tc>
          <w:tcPr>
            <w:tcW w:type="dxa" w:w="1100"/>
            <w:shd w:fill="EAF2E3" w:val="clear"/>
            <w:tcMar>
              <w:top w:type="dxa" w:w="50"/>
              <w:left w:type="dxa" w:w="70"/>
              <w:bottom w:type="dxa" w:w="50"/>
              <w:right w:type="dxa" w:w="70"/>
            </w:tcMar>
            <w:vAlign w:val="center"/>
          </w:tcPr>
          <w:p>
            <w:pPr>
              <w:jc w:val="center"/>
            </w:pPr>
            <w:r>
              <w:rPr>
                <w:b/>
                <w:bCs/>
                <w:i w:val="false"/>
                <w:iCs w:val="false"/>
                <w:sz w:val="18"/>
                <w:szCs w:val="18"/>
              </w:rPr>
              <w:t xml:space="preserve">0.0110</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Alchornea lojaensis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134.0</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97.8 – 183.5</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0.025</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0.320</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Myrcia sp. nov.</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2000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57.7</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43.4 – 76.8</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0.026</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0.264</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Hedyosmum purpurascens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475.4</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299.2 – 755.2</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0.062</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0.291</w:t>
            </w:r>
          </w:p>
        </w:tc>
      </w:tr>
      <w:tr>
        <w:tc>
          <w:tcPr>
            <w:tcW w:type="dxa" w:w="1100"/>
            <w:tcMar>
              <w:top w:type="dxa" w:w="50"/>
              <w:left w:type="dxa" w:w="70"/>
              <w:bottom w:type="dxa" w:w="50"/>
              <w:right w:type="dxa" w:w="70"/>
            </w:tcMar>
            <w:vAlign w:val="center"/>
          </w:tcPr>
          <w:p>
            <w:pPr>
              <w:jc w:val="left"/>
            </w:pPr>
            <w:r>
              <w:rPr>
                <w:b/>
                <w:bCs/>
                <w:i w:val="false"/>
                <w:iCs w:val="false"/>
                <w:sz w:val="18"/>
                <w:szCs w:val="18"/>
              </w:rPr>
              <w:t xml:space="preserve">Parea</w:t>
            </w:r>
          </w:p>
        </w:tc>
        <w:tc>
          <w:tcPr>
            <w:tcW w:type="dxa" w:w="2400"/>
            <w:tcMar>
              <w:top w:type="dxa" w:w="50"/>
              <w:left w:type="dxa" w:w="70"/>
              <w:bottom w:type="dxa" w:w="50"/>
              <w:right w:type="dxa" w:w="70"/>
            </w:tcMar>
            <w:vAlign w:val="center"/>
          </w:tcPr>
          <w:p>
            <w:pPr>
              <w:jc w:val="left"/>
            </w:pPr>
            <w:r>
              <w:rPr>
                <w:b w:val="false"/>
                <w:bCs w:val="false"/>
                <w:i/>
                <w:iCs/>
                <w:sz w:val="18"/>
                <w:szCs w:val="18"/>
              </w:rPr>
              <w:t xml:space="preserve">Weinmannia loxensis</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3000</w:t>
            </w:r>
          </w:p>
        </w:tc>
        <w:tc>
          <w:tcPr>
            <w:tcW w:type="dxa" w:w="1200"/>
            <w:tcMar>
              <w:top w:type="dxa" w:w="50"/>
              <w:left w:type="dxa" w:w="70"/>
              <w:bottom w:type="dxa" w:w="50"/>
              <w:right w:type="dxa" w:w="70"/>
            </w:tcMar>
            <w:vAlign w:val="center"/>
          </w:tcPr>
          <w:p>
            <w:pPr>
              <w:jc w:val="center"/>
            </w:pPr>
            <w:r>
              <w:rPr>
                <w:b w:val="false"/>
                <w:bCs w:val="false"/>
                <w:i w:val="false"/>
                <w:iCs w:val="false"/>
                <w:sz w:val="18"/>
                <w:szCs w:val="18"/>
              </w:rPr>
              <w:t xml:space="preserve">-145.2</w:t>
            </w:r>
          </w:p>
        </w:tc>
        <w:tc>
          <w:tcPr>
            <w:tcW w:type="dxa" w:w="2400"/>
            <w:tcMar>
              <w:top w:type="dxa" w:w="50"/>
              <w:left w:type="dxa" w:w="70"/>
              <w:bottom w:type="dxa" w:w="50"/>
              <w:right w:type="dxa" w:w="70"/>
            </w:tcMar>
            <w:vAlign w:val="center"/>
          </w:tcPr>
          <w:p>
            <w:pPr>
              <w:jc w:val="center"/>
            </w:pPr>
            <w:r>
              <w:rPr>
                <w:b w:val="false"/>
                <w:bCs w:val="false"/>
                <w:i w:val="false"/>
                <w:iCs w:val="false"/>
                <w:sz w:val="18"/>
                <w:szCs w:val="18"/>
              </w:rPr>
              <w:t xml:space="preserve">-235.0 – -89.7</w:t>
            </w:r>
          </w:p>
        </w:tc>
        <w:tc>
          <w:tcPr>
            <w:tcW w:type="dxa" w:w="1000"/>
            <w:tcMar>
              <w:top w:type="dxa" w:w="50"/>
              <w:left w:type="dxa" w:w="70"/>
              <w:bottom w:type="dxa" w:w="50"/>
              <w:right w:type="dxa" w:w="70"/>
            </w:tcMar>
            <w:vAlign w:val="center"/>
          </w:tcPr>
          <w:p>
            <w:pPr>
              <w:jc w:val="center"/>
            </w:pPr>
            <w:r>
              <w:rPr>
                <w:b w:val="false"/>
                <w:bCs w:val="false"/>
                <w:i w:val="false"/>
                <w:iCs w:val="false"/>
                <w:sz w:val="18"/>
                <w:szCs w:val="18"/>
              </w:rPr>
              <w:t xml:space="preserve">0.110</w:t>
            </w:r>
          </w:p>
        </w:tc>
        <w:tc>
          <w:tcPr>
            <w:tcW w:type="dxa" w:w="1100"/>
            <w:tcMar>
              <w:top w:type="dxa" w:w="50"/>
              <w:left w:type="dxa" w:w="70"/>
              <w:bottom w:type="dxa" w:w="50"/>
              <w:right w:type="dxa" w:w="70"/>
            </w:tcMar>
            <w:vAlign w:val="center"/>
          </w:tcPr>
          <w:p>
            <w:pPr>
              <w:jc w:val="center"/>
            </w:pPr>
            <w:r>
              <w:rPr>
                <w:b w:val="false"/>
                <w:bCs w:val="false"/>
                <w:i w:val="false"/>
                <w:iCs w:val="false"/>
                <w:sz w:val="18"/>
                <w:szCs w:val="18"/>
              </w:rPr>
              <w:t xml:space="preserve">0.180</w:t>
            </w:r>
          </w:p>
        </w:tc>
      </w:tr>
    </w:tbl>
    <w:p>
      <w:pPr>
        <w:spacing w:after="200" w:line="288"/>
      </w:pPr>
      <w:r>
        <w:rPr>
          <w:i w:val="false"/>
          <w:iCs w:val="false"/>
          <w:sz w:val="22"/>
          <w:szCs w:val="22"/>
        </w:rPr>
        <w:t xml:space="preserve"/>
      </w:r>
    </w:p>
    <w:p>
      <w:pPr>
        <w:spacing w:after="200" w:line="288"/>
      </w:pPr>
      <w:r>
        <w:rPr>
          <w:i w:val="false"/>
          <w:iCs w:val="false"/>
          <w:sz w:val="22"/>
          <w:szCs w:val="22"/>
        </w:rPr>
        <w:t xml:space="preserve">iWUE was positively and significantly associated with Narea in five of the six species, with C. racemosa as the only exception. iWUE was negatively and significantly associated with SLA in the same five species, with C. racemosa again showing only a marginal trend. Parea was significantly associated with iWUE in only one species, C. racemosa; the relationship was not significant in the other five species. These results are exploratory and correlational and do not establish a causal link between Narea, SLA, and iWUE.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2026-07-16T00:38:58.554Z</dcterms:created>
  <dcterms:modified xsi:type="dcterms:W3CDTF">2026-07-16T00:38:58.582Z</dcterms:modified>
</cp:coreProperties>
</file>

<file path=docProps/custom.xml><?xml version="1.0" encoding="utf-8"?>
<Properties xmlns="http://schemas.openxmlformats.org/officeDocument/2006/custom-properties" xmlns:vt="http://schemas.openxmlformats.org/officeDocument/2006/docPropsVTypes"/>
</file>