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Introducción — versión final</w:t>
      </w:r>
    </w:p>
    <w:p>
      <w:pPr>
        <w:spacing w:after="60"/>
      </w:pPr>
      <w:r>
        <w:rPr>
          <w:color w:val="595959"/>
          <w:sz w:val="22"/>
          <w:szCs w:val="22"/>
        </w:rPr>
        <w:t xml:space="preserve">Seis párrafos y las tres preguntas, listos para editar — NUMEX iWUE</w:t>
      </w:r>
    </w:p>
    <w:p>
      <w:pPr>
        <w:pBdr>
          <w:bottom w:val="single" w:color="BFBFBF" w:sz="6" w:space="8"/>
        </w:pBdr>
        <w:spacing w:after="260"/>
      </w:pPr>
      <w:r>
        <w:rPr>
          <w:color w:val="595959"/>
          <w:sz w:val="19"/>
          <w:szCs w:val="19"/>
        </w:rPr>
        <w:t xml:space="preserve">Andrea Chávez · 4 de septiembre de 2026</w:t>
      </w:r>
    </w:p>
    <w:p>
      <w:pPr>
        <w:pStyle w:val="Heading1"/>
        <w:spacing w:after="160" w:before="340"/>
      </w:pPr>
      <w:r>
        <w:rPr>
          <w:b/>
          <w:bCs/>
          <w:color w:val="1F4E79"/>
          <w:sz w:val="28"/>
          <w:szCs w:val="28"/>
        </w:rPr>
        <w:t xml:space="preserve">Introducción</w:t>
      </w:r>
    </w:p>
    <w:p>
      <w:pPr>
        <w:pStyle w:val="Heading2"/>
        <w:spacing w:after="60" w:before="280"/>
      </w:pPr>
      <w:r>
        <w:rPr>
          <w:b/>
          <w:bCs/>
          <w:color w:val="000000"/>
          <w:sz w:val="23"/>
          <w:szCs w:val="23"/>
        </w:rPr>
        <w:t xml:space="preserve">Párrafo 1 · Los bosques montanos tropicales</w:t>
      </w:r>
    </w:p>
    <w:p>
      <w:pPr>
        <w:pBdr>
          <w:left w:val="single" w:color="1F4E79" w:sz="14" w:space="12"/>
        </w:pBdr>
        <w:spacing w:after="170" w:before="40" w:line="300"/>
        <w:ind w:left="300"/>
      </w:pPr>
      <w:r>
        <w:rPr>
          <w:color w:val="111111"/>
          <w:sz w:val="21"/>
          <w:szCs w:val="21"/>
        </w:rPr>
        <w:t xml:space="preserve">Tropical montane forests (TMFs) cover around 13% of the global area of tropical and subtropical forests (Salinas et al., 2021). Although relatively limited in extent, they are among the most biodiverse terrestrial ecosystems (Mitchard, 2018; Rahbek, Borregaard, Antonelli, et al., 2019; Rahbek, Borregaard, Colwell, et al., 2019) and provide key ecosystem services, including freshwater provisioning (Bonnesoeur et al., 2019; Bubb, 2004; Cuesta et al., 2009) and substantial carbon storage (Cuni-Sanchez et al., 2021; Duque et al., 2021; de la Cruz-Amo et al., 2020). Despite this crucial role in regional water and carbon cycles, it remains poorly understood how TMFs are responding to the environmental changes now underway, including rising temperatures (Brum et al., 2023; Oliveira et al., 2014), rising atmospheric CO2, and increasing nutrient deposition (Pounds et al., 1999; Still et al., 1999).</w:t>
      </w:r>
    </w:p>
    <w:p>
      <w:pPr>
        <w:pStyle w:val="Heading2"/>
        <w:spacing w:after="60" w:before="280"/>
      </w:pPr>
      <w:r>
        <w:rPr>
          <w:b/>
          <w:bCs/>
          <w:color w:val="000000"/>
          <w:sz w:val="23"/>
          <w:szCs w:val="23"/>
        </w:rPr>
        <w:t xml:space="preserve">Párrafo 2 · El problema de los nutrientes</w:t>
      </w:r>
    </w:p>
    <w:p>
      <w:pPr>
        <w:pBdr>
          <w:left w:val="single" w:color="1F4E79" w:sz="14" w:space="12"/>
        </w:pBdr>
        <w:spacing w:after="170" w:before="40" w:line="300"/>
        <w:ind w:left="300"/>
      </w:pPr>
      <w:r>
        <w:rPr>
          <w:color w:val="111111"/>
          <w:sz w:val="21"/>
          <w:szCs w:val="21"/>
        </w:rPr>
        <w:t xml:space="preserve">Of these, changes in nutrient supply are the most directly manipulable, and among the least understood. Atmospheric nitrogen deposition in tropical regions is now estimated at roughly 3.5-fold pre-industrial rates (Bejarano-Castillo et al., 2015), while phosphorus deposition has increased far less (Rastetter et al., 2022; Wilcke et al., 2019), so that deposition is shifting not only the absolute supply of nitrogen and phosphorus but the N:P balance between them (Peñuelas et al., 2013). This asymmetry has consequences that a single-element addition cannot reveal: because the two elements are changing at different rates, identifying what limits these forests — and what a continued shift in their ratio would do — requires manipulating nitrogen and phosphorus separately and together. In tropical montane forests, such nitrogen-plus-phosphorus addition rapidly increases tree growth (Homeier et al., 2011) and favours species with acquisitive resource-use strategies over more conservative ones (Báez &amp; Homeier, 2018) — changes in productivity and in the relative performance of species that, over time, have the potential to reshape both carbon storage and community composition in these exceptionally diverse forests (Sala et al., 2000). Whether these changes in growth and species performance are accompanied by adjustments in leaf-level physiology, however, is not known.</w:t>
      </w:r>
    </w:p>
    <w:p>
      <w:pPr>
        <w:pStyle w:val="Heading2"/>
        <w:spacing w:after="60" w:before="280"/>
      </w:pPr>
      <w:r>
        <w:rPr>
          <w:b/>
          <w:bCs/>
          <w:color w:val="000000"/>
          <w:sz w:val="23"/>
          <w:szCs w:val="23"/>
        </w:rPr>
        <w:t xml:space="preserve">Párrafo 3 · La montaña, como respuesta</w:t>
      </w:r>
    </w:p>
    <w:p>
      <w:pPr>
        <w:pBdr>
          <w:left w:val="single" w:color="1F4E79" w:sz="14" w:space="12"/>
        </w:pBdr>
        <w:spacing w:after="170" w:before="40" w:line="300"/>
        <w:ind w:left="300"/>
      </w:pPr>
      <w:r>
        <w:rPr>
          <w:color w:val="111111"/>
          <w:sz w:val="21"/>
          <w:szCs w:val="21"/>
        </w:rPr>
        <w:t xml:space="preserve">Tropical elevational gradients offer a setting in which to ask this, because nutrient limitation itself varies along them. Climatic factors — temperature, precipitation and radiation — vary sharply over short geographic distances (Malhi et al., 2010), and the availability of nitrogen and phosphorus varies with them. In the organic layer of high-elevation soils, decomposition and nutrient cycling are expected to slow, owing to lower temperatures, lower oxygen availability and greater carbon accumulation (Soethe, 2008), and nitrogen is generally considered more limiting for plant nutrition than phosphorus in TMFs (Soethe, 2008) — although co-limitation by both elements has also been reported [add reference]. Tropical trees respond to such gradients by adjusting leaf morphology and physiology [add reference(s)], yet within-species trait variation and leaf-level photosynthesis remain rarely studied in Andean TMFs [add the Wittich and Peru references], and intrinsic water-use efficiency — the balance between carbon gain and water loss — has rarely been examined along elevational gradients in the tropics [verify this claim]. Detecting whether trees adjust physiologically along such gradients, however, requires traits that integrate function over time rather than at a single moment.</w:t>
      </w:r>
    </w:p>
    <w:p>
      <w:pPr>
        <w:pStyle w:val="Heading2"/>
        <w:spacing w:after="60" w:before="280"/>
      </w:pPr>
      <w:r>
        <w:rPr>
          <w:b/>
          <w:bCs/>
          <w:color w:val="000000"/>
          <w:sz w:val="23"/>
          <w:szCs w:val="23"/>
        </w:rPr>
        <w:t xml:space="preserve">Párrafo 4 · Los rasgos funcionales como instrumento</w:t>
      </w:r>
    </w:p>
    <w:p>
      <w:pPr>
        <w:pBdr>
          <w:left w:val="single" w:color="1F4E79" w:sz="14" w:space="12"/>
        </w:pBdr>
        <w:spacing w:after="170" w:before="40" w:line="300"/>
        <w:ind w:left="300"/>
      </w:pPr>
      <w:r>
        <w:rPr>
          <w:color w:val="111111"/>
          <w:sz w:val="21"/>
          <w:szCs w:val="21"/>
        </w:rPr>
        <w:t xml:space="preserve">Foliar structural and economic traits — mass-based nutrient concentration, specific leaf area (SLA), leaf thickness and dry matter content — co-vary along a well-described spectrum from acquisitive to conservative resource-use strategies [Wright, I.J. et al., 2004], and SLA in particular sets the leaf area over which a given mass of nutrient is deployed, linking a leaf's nutrient status to its gas exchange. Intrinsic water-use efficiency (iWUE) — the ratio of photosynthetic carbon assimilation to stomatal conductance — condenses the balance between carbon gain and water loss into a single quantity (Cernusak et al., 2009, 2013a; Hatfield &amp; Dold, 2019; Lavergne et al., 2019), and because leaf carbon isotope composition (δ13C) records the ratio of intercellular to atmospheric CO2 concentration (Ci/Ca) over the period of leaf construction, it provides a time-integrated proxy for iWUE in tropical systems (Bauters et al., 2020; Bonal et al., 2000, 2011) and a means of comparing growth and adaptation strategies among species (Mumbanza et al., 2021). Together, these traits offer a way to detect physiological adjustment along environmental gradients that instantaneous gas-exchange measurements — made on a few leaves on a few days — cannot.</w:t>
      </w:r>
    </w:p>
    <w:p>
      <w:pPr>
        <w:pStyle w:val="Heading2"/>
        <w:spacing w:after="60" w:before="280"/>
      </w:pPr>
      <w:r>
        <w:rPr>
          <w:b/>
          <w:bCs/>
          <w:color w:val="000000"/>
          <w:sz w:val="23"/>
          <w:szCs w:val="23"/>
        </w:rPr>
        <w:t xml:space="preserve">Párrafo 5 · Mecanismo, optimalidad y evidencia</w:t>
      </w:r>
    </w:p>
    <w:p>
      <w:pPr>
        <w:pBdr>
          <w:left w:val="single" w:color="1F4E79" w:sz="14" w:space="12"/>
        </w:pBdr>
        <w:spacing w:after="170" w:before="40" w:line="300"/>
        <w:ind w:left="300"/>
      </w:pPr>
      <w:r>
        <w:rPr>
          <w:color w:val="111111"/>
          <w:sz w:val="21"/>
          <w:szCs w:val="21"/>
        </w:rPr>
        <w:t xml:space="preserve">Nutrient addition can act on either term of this ratio: higher foliar nitrogen raises carboxylation and electron-transport capacity, increasing assimilation at a given stomatal conductance and drawing Ci down relative to Ca; but if stomatal conductance rises in proportion, Ci/Ca — and therefore iWUE — is unchanged even as photosynthetic capacity increases. This makes iWUE a variable that integrates the atmospheric environment and the vegetation's response to it: it scales with Ca at a given Ci/Ca, so whether Ci/Ca is itself stable determines how trees translate a changing atmosphere into a changing carbon–water balance. Eco-evolutionary optimality theory predicts that it is stable with respect to nutrients — plants are expected to allocate nutrients and water to the enzymes and structures that maximize carbon gain at the lowest cost (Lankhorst et al., 2025; Stocker et al., 2025; Wright et al., 2003), coordinating photosynthetic capacity and stomatal conductance so that Ci/Ca tracks climate rather than nutrient supply (Prentice et al., 2014; Wang et al., 2017). Evidence from tropical trees is scarce, and isotope-based fertilization studies in temperate forests disagree: nitrogen addition has been reported to raise iWUE in Quercus velutina and mature Acer saccharum (Jennings et al., 2016; Perkowski et al., 2025) [verify whether Jennings et al. 2016 covers both species] but not in other species (Giammarchi et al., 2019; Li et al., 2015; Mo et al., 2021), and to lower it under pollution-related nitrogen inputs (Huang et al., 2016) or when added alone rather than alongside phosphorus, potassium and calcium (Elhani et al., 2005). To our knowledge, no study has tested this in a species-rich TMF across an elevational gradient.</w:t>
      </w:r>
    </w:p>
    <w:p>
      <w:pPr>
        <w:pStyle w:val="Heading2"/>
        <w:spacing w:after="60" w:before="280"/>
      </w:pPr>
      <w:r>
        <w:rPr>
          <w:b/>
          <w:bCs/>
          <w:color w:val="000000"/>
          <w:sz w:val="23"/>
          <w:szCs w:val="23"/>
        </w:rPr>
        <w:t xml:space="preserve">Párrafo 6 · Este estudio</w:t>
      </w:r>
    </w:p>
    <w:p>
      <w:pPr>
        <w:pBdr>
          <w:left w:val="single" w:color="1F4E79" w:sz="14" w:space="12"/>
        </w:pBdr>
        <w:spacing w:after="170" w:before="40" w:line="300"/>
        <w:ind w:left="300"/>
      </w:pPr>
      <w:r>
        <w:rPr>
          <w:color w:val="111111"/>
          <w:sz w:val="21"/>
          <w:szCs w:val="21"/>
        </w:rPr>
        <w:t xml:space="preserve">Here we used the Nutrient Manipulation Experiment (NUMEX) — the same full-factorial nitrogen and phosphorus addition experiment referenced above (Homeier et al., 2011; Báez &amp; Homeier, 2018), established in 2009 in mature tropical montane forest in southern Ecuador, at three elevations (1000, 2000 and 3000 m) spanning a documented shift from N–P co-limitation at the two lower sites to N limitation at 3000 m (Camenzind et al., 2019) — to ask whether the balance between carbon gain and water loss remains stable when nutrient supply is experimentally altered, as eco-evolutionary optimality theory predicts, or instead responds to the added nutrients that are already known to accelerate tree growth at this site. Testing this required first establishing whether fifteen years of nutrient addition had in fact changed the foliar nutrient status of these trees; we therefore addressed three questions, focusing on species common at each elevation and combining foliar nutrient measurements with δ13C-derived estimates of iWUE.</w:t>
      </w:r>
    </w:p>
    <w:p>
      <w:pPr>
        <w:spacing w:after="90"/>
      </w:pPr>
      <w:r>
        <w:rPr>
          <w:b/>
          <w:bCs/>
          <w:caps/>
          <w:color w:val="1F4E79"/>
          <w:sz w:val="18"/>
          <w:szCs w:val="18"/>
        </w:rPr>
        <w:t xml:space="preserve">pregunta 1</w:t>
      </w:r>
    </w:p>
    <w:p>
      <w:pPr>
        <w:pBdr>
          <w:left w:val="single" w:color="1F4E79" w:sz="14" w:space="12"/>
        </w:pBdr>
        <w:spacing w:after="170" w:before="40" w:line="300"/>
        <w:ind w:left="300"/>
      </w:pPr>
      <w:r>
        <w:rPr>
          <w:color w:val="111111"/>
          <w:sz w:val="21"/>
          <w:szCs w:val="21"/>
        </w:rPr>
        <w:t xml:space="preserve">(1) Does long-term nutrient addition change foliar nutrient concentrations and stoichiometry? Nutrient-addition experiments consistently increase foliar nutrient concentrations in lowland, species-rich tropical forests (Wright, S.J. et al., 2018), but evidence from TMFs specifically is far more limited, drawn largely from this experiment itself (Homeier et al., 2012; Cárate-Tandalla et al., 2018). We therefore expected foliar N and P concentrations to increase with N and P addition, respectively, and leaf N:P stoichiometry to shift accordingly — but with less confidence than the lowland literature alone would suggest. Because our six study species differ in resource-use strategy, from acquisitive to conservative (Báez &amp; Homeier, 2018), and acquisitive species typically show a stronger nutrient-uptake response to fertilization, we further expected the magnitude and possibly the direction of the response to differ among species sharing the same elevation, rather than a uniform shift common to all species at a site.</w:t>
      </w:r>
    </w:p>
    <w:p>
      <w:pPr>
        <w:spacing w:after="90"/>
      </w:pPr>
      <w:r>
        <w:rPr>
          <w:b/>
          <w:bCs/>
          <w:caps/>
          <w:color w:val="1F4E79"/>
          <w:sz w:val="18"/>
          <w:szCs w:val="18"/>
        </w:rPr>
        <w:t xml:space="preserve">pregunta 2</w:t>
      </w:r>
    </w:p>
    <w:p>
      <w:pPr>
        <w:pBdr>
          <w:left w:val="single" w:color="1F4E79" w:sz="14" w:space="12"/>
        </w:pBdr>
        <w:spacing w:after="170" w:before="40" w:line="300"/>
        <w:ind w:left="300"/>
      </w:pPr>
      <w:r>
        <w:rPr>
          <w:color w:val="111111"/>
          <w:sz w:val="21"/>
          <w:szCs w:val="21"/>
        </w:rPr>
        <w:t xml:space="preserve">(2) Does long-term nutrient addition alter intrinsic water-use efficiency? As introduced above, eco-evolutionary optimality theory predicts that plants co-adjust photosynthetic capacity and stomatal conductance so that Ci/Ca — and hence iWUE — is set primarily by climate rather than by nutrient supply, a prediction recently supported by a nutrient-addition experiment reporting higher Vcmax but unchanged isotope-derived Ci/Ca (Lankhorst et al., 2025). We therefore tested two competing predictions: (i) iWUE increases with nutrient addition, as expected if photosynthetic capacity responds more strongly than stomatal conductance; or (ii) iWUE is conserved, as expected if the two co-adjust as optimality theory predicts. Because water is rarely limiting in these consistently humid forests, we considered (ii) the more likely outcome, and the experiment provides an unusually direct test of it: six species, three elevations, and fifteen years of factorial N and P addition.</w:t>
      </w:r>
    </w:p>
    <w:p>
      <w:pPr>
        <w:spacing w:after="90"/>
      </w:pPr>
      <w:r>
        <w:rPr>
          <w:b/>
          <w:bCs/>
          <w:caps/>
          <w:color w:val="1F4E79"/>
          <w:sz w:val="18"/>
          <w:szCs w:val="18"/>
        </w:rPr>
        <w:t xml:space="preserve">pregunta 3 · exploratoria</w:t>
      </w:r>
    </w:p>
    <w:p>
      <w:pPr>
        <w:pBdr>
          <w:left w:val="single" w:color="1F4E79" w:sz="14" w:space="12"/>
        </w:pBdr>
        <w:spacing w:after="170" w:before="40" w:line="300"/>
        <w:ind w:left="300"/>
      </w:pPr>
      <w:r>
        <w:rPr>
          <w:color w:val="111111"/>
          <w:sz w:val="21"/>
          <w:szCs w:val="21"/>
        </w:rPr>
        <w:t xml:space="preserve">(3) Exploratory: does variation in foliar nutrient status track variation in iWUE across species and elevations? Having found no evidence that nutrient addition alters iWUE within species (Question 2), we asked, as a separate and exploratory step, whether foliar nutrient status and iWUE nonetheless covary across the six species and three elevations sampled here, pooling treatments. Because neither variable can be treated as an error-free predictor of the other, we used standardized major axis (SMA) regression rather than ordinary least squares. This analysis is a survey of trait space, not a test of a causal pathway: species identity, elevation and climate are confounded by design (each species occurs at a single elevation), so any association between, for example, area-based foliar N and iWUE could reflect a shared physiological response, parallel variation with elevation, or simply species' evolutionary history, and this analysis cannot distinguish between them. We report it as a pattern worth testing in systems where species and elevation are not confounded, not as evidence for a nutrient effect on iWUE that Question 2 already tested and did not find.</w:t>
      </w:r>
    </w:p>
    <w:p>
      <w:pPr>
        <w:spacing w:after="90"/>
      </w:pPr>
      <w:r>
        <w:rPr>
          <w:b/>
          <w:bCs/>
          <w:caps/>
          <w:color w:val="1F4E79"/>
          <w:sz w:val="18"/>
          <w:szCs w:val="18"/>
        </w:rPr>
        <w:t xml:space="preserve">cierre</w:t>
      </w:r>
    </w:p>
    <w:p>
      <w:pPr>
        <w:pBdr>
          <w:left w:val="single" w:color="1F4E79" w:sz="14" w:space="12"/>
        </w:pBdr>
        <w:spacing w:after="170" w:before="40" w:line="300"/>
        <w:ind w:left="300"/>
      </w:pPr>
      <w:r>
        <w:rPr>
          <w:color w:val="111111"/>
          <w:sz w:val="21"/>
          <w:szCs w:val="21"/>
        </w:rPr>
        <w:t xml:space="preserve">Either outcome is informative. If Ci/Ca proves insensitive to a fifteen-year change in nutrient supply, the climate-driven formulations of stomatal behaviour used in current vegetation models remain adequate under altered nutrient availability, and one potential coupling between the nutrient and water cycles can be set aside. If Ci/Ca does respond, that coupling exists and is currently unrepresented. Testing this in a long-term, factorial field experiment spanning six species and a 2000 m elevational gradient in the tropical Andes — a combination of design features rarely available for testing optimality theory in the tropics — this study also provides some of the first evidence on how long-term nutrient enrichment shapes foliar nutrient status and structural leaf traits in a species-rich tropical montane forest.</w:t>
      </w:r>
    </w:p>
    <w:p>
      <w:pPr>
        <w:pStyle w:val="Heading1"/>
        <w:spacing w:after="160" w:before="340"/>
      </w:pPr>
      <w:r>
        <w:rPr>
          <w:b/>
          <w:bCs/>
          <w:color w:val="1F4E79"/>
          <w:sz w:val="28"/>
          <w:szCs w:val="28"/>
        </w:rPr>
        <w:t xml:space="preserve">Lo que falta por tu parte</w:t>
      </w:r>
    </w:p>
    <w:p>
      <w:pPr>
        <w:spacing w:after="140" w:line="276"/>
      </w:pPr>
      <w:r>
        <w:rPr>
          <w:b/>
          <w:bCs/>
          <w:sz w:val="21"/>
          <w:szCs w:val="21"/>
        </w:rPr>
        <w:t xml:space="preserve">Citas por conseguir</w:t>
      </w:r>
    </w:p>
    <w:p>
      <w:pPr>
        <w:pStyle w:val="ListParagraph"/>
        <w:numPr>
          <w:ilvl w:val="0"/>
          <w:numId w:val="2"/>
        </w:numPr>
        <w:spacing w:after="80" w:line="276"/>
      </w:pPr>
      <w:r>
        <w:rPr>
          <w:sz w:val="21"/>
          <w:szCs w:val="21"/>
        </w:rPr>
        <w:t xml:space="preserve">Párrafo 3 — la referencia de co-limitación en BMT, la del ajuste de rasgos con la elevación, y las de Wittich y Perú.</w:t>
      </w:r>
    </w:p>
    <w:p>
      <w:pPr>
        <w:pStyle w:val="ListParagraph"/>
        <w:numPr>
          <w:ilvl w:val="0"/>
          <w:numId w:val="2"/>
        </w:numPr>
        <w:spacing w:after="80" w:line="276"/>
      </w:pPr>
      <w:r>
        <w:rPr>
          <w:sz w:val="21"/>
          <w:szCs w:val="21"/>
        </w:rPr>
        <w:t xml:space="preserve">Párrafo 4 — confirmar que la del leaf economics spectrum es Wright, I.J. et al. (2004), no S.J. Wright. Son personas distintas y las dos se citan en el texto.</w:t>
      </w:r>
    </w:p>
    <w:p>
      <w:pPr>
        <w:pStyle w:val="ListParagraph"/>
        <w:numPr>
          <w:ilvl w:val="0"/>
          <w:numId w:val="2"/>
        </w:numPr>
        <w:spacing w:after="80" w:line="276"/>
      </w:pPr>
      <w:r>
        <w:rPr>
          <w:sz w:val="21"/>
          <w:szCs w:val="21"/>
        </w:rPr>
        <w:t xml:space="preserve">Ya no hacen falta Goll (2023), Fleischer (2019) ni los papers de PNAS y Global Change Biology: salieron con el debate del CO₂.</w:t>
      </w:r>
    </w:p>
    <w:p>
      <w:pPr>
        <w:spacing w:after="60"/>
      </w:pPr>
    </w:p>
    <w:p>
      <w:pPr>
        <w:spacing w:after="140" w:line="276"/>
      </w:pPr>
      <w:r>
        <w:rPr>
          <w:b/>
          <w:bCs/>
          <w:sz w:val="21"/>
          <w:szCs w:val="21"/>
        </w:rPr>
        <w:t xml:space="preserve">Verificaciones</w:t>
      </w:r>
    </w:p>
    <w:p>
      <w:pPr>
        <w:pStyle w:val="ListParagraph"/>
        <w:numPr>
          <w:ilvl w:val="0"/>
          <w:numId w:val="2"/>
        </w:numPr>
        <w:spacing w:after="80" w:line="276"/>
      </w:pPr>
      <w:r>
        <w:rPr>
          <w:sz w:val="21"/>
          <w:szCs w:val="21"/>
        </w:rPr>
        <w:t xml:space="preserve">Párrafo 3 — la afirmación de que iWUE "rarely has been examined along elevational gradients in the tropics". Revisa el estudio de Yulong Snow Mountain (no tropical, pero es un gradiente altitudinal con iWUE isotópico).</w:t>
      </w:r>
    </w:p>
    <w:p>
      <w:pPr>
        <w:pStyle w:val="ListParagraph"/>
        <w:numPr>
          <w:ilvl w:val="0"/>
          <w:numId w:val="2"/>
        </w:numPr>
        <w:spacing w:after="80" w:line="276"/>
      </w:pPr>
      <w:r>
        <w:rPr>
          <w:sz w:val="21"/>
          <w:szCs w:val="21"/>
        </w:rPr>
        <w:t xml:space="preserve">Párrafo 5 — "Wright et al., 2003", que en tu original aparecía con el año incompleto. Y Jennings et al. (2016): comprobar si cubre las dos especies o si una corresponde a otra referencia.</w:t>
      </w:r>
    </w:p>
    <w:p>
      <w:pPr>
        <w:pStyle w:val="ListParagraph"/>
        <w:numPr>
          <w:ilvl w:val="0"/>
          <w:numId w:val="2"/>
        </w:numPr>
        <w:spacing w:after="80" w:line="276"/>
      </w:pPr>
      <w:r>
        <w:rPr>
          <w:sz w:val="21"/>
          <w:szCs w:val="21"/>
        </w:rPr>
        <w:t xml:space="preserve">Peñuelas et al. (2013): confirma la lista de autores. Tengo título, revista y URL, pero no abrí el artículo.</w:t>
      </w:r>
    </w:p>
    <w:p>
      <w:pPr>
        <w:spacing w:after="60"/>
      </w:pPr>
    </w:p>
    <w:p>
      <w:pPr>
        <w:spacing w:after="140" w:line="276"/>
      </w:pPr>
      <w:r>
        <w:rPr>
          <w:b/>
          <w:bCs/>
          <w:sz w:val="21"/>
          <w:szCs w:val="21"/>
        </w:rPr>
        <w:t xml:space="preserve">Decisión pendiente</w:t>
      </w:r>
    </w:p>
    <w:p>
      <w:pPr>
        <w:pStyle w:val="ListParagraph"/>
        <w:numPr>
          <w:ilvl w:val="0"/>
          <w:numId w:val="2"/>
        </w:numPr>
        <w:spacing w:after="80" w:line="276"/>
      </w:pPr>
      <w:r>
        <w:rPr>
          <w:sz w:val="21"/>
          <w:szCs w:val="21"/>
        </w:rPr>
        <w:t xml:space="preserve">Revisar que el título y la primera frase del abstract nombren el resultado principal: que la iWUE no responde a la adición de nutrientes.</w:t>
      </w:r>
    </w:p>
    <w:sectPr>
      <w:pgSz w:w="11906" w:h="16838" w:orient="portrait"/>
      <w:pgMar w:top="1180" w:right="1180" w:bottom="11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2026-09-05T00:00:37.670Z</dcterms:created>
  <dcterms:modified xsi:type="dcterms:W3CDTF">2026-09-05T00:00:37.677Z</dcterms:modified>
</cp:coreProperties>
</file>

<file path=docProps/custom.xml><?xml version="1.0" encoding="utf-8"?>
<Properties xmlns="http://schemas.openxmlformats.org/officeDocument/2006/custom-properties" xmlns:vt="http://schemas.openxmlformats.org/officeDocument/2006/docPropsVTypes"/>
</file>