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rPr>
        <w:t xml:space="preserve">Efectos de la fertilización con N y P sobre iWUE en seis especies</w:t>
      </w:r>
    </w:p>
    <w:p>
      <w:pPr>
        <w:spacing w:after="150"/>
      </w:pPr>
      <w:r>
        <w:rPr>
          <w:rFonts w:ascii="Calibri" w:cs="Calibri" w:eastAsia="Calibri" w:hAnsi="Calibri"/>
          <w:i w:val="false"/>
          <w:iCs w:val="false"/>
          <w:sz w:val="20"/>
          <w:szCs w:val="20"/>
        </w:rPr>
        <w:t xml:space="preserve">Modelos lineales mixtos (lmer, REML, método de Satterthwaite) con Bloque como efecto aleatorio, ajustados de forma independiente para cada especie. El efecto aleatorio de Bloque se mantuvo en todos los modelos por corresponder a la estructura del diseño experimental (bloques completos al azar), independientemente de su significancia estadística.</w:t>
      </w:r>
    </w:p>
    <w:p>
      <w:pPr>
        <w:pStyle w:val="Heading2"/>
        <w:spacing w:after="150" w:before="300"/>
      </w:pPr>
      <w:r>
        <w:rPr>
          <w:rFonts w:ascii="Calibri" w:cs="Calibri" w:eastAsia="Calibri" w:hAnsi="Calibri"/>
        </w:rPr>
        <w:t xml:space="preserve">Tabla 1. Selección de modelo: aditivo (N + P) vs. con interacción (N × 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300"/>
        <w:gridCol w:w="1300"/>
        <w:gridCol w:w="1300"/>
        <w:gridCol w:w="1500"/>
        <w:gridCol w:w="2100"/>
      </w:tblGrid>
      <w:tr>
        <w:trPr>
          <w:tblHeader/>
        </w:trPr>
        <w:tc>
          <w:tcPr>
            <w:tcW w:type="dxa" w:w="15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Especie</w:t>
            </w:r>
          </w:p>
        </w:tc>
        <w:tc>
          <w:tcPr>
            <w:tcW w:type="dxa" w:w="10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n</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AIC aditivo</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AIC interacción</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χ² (1)</w:t>
            </w:r>
          </w:p>
        </w:tc>
        <w:tc>
          <w:tcPr>
            <w:tcW w:type="dxa" w:w="15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 (LRT)</w:t>
            </w:r>
          </w:p>
        </w:tc>
        <w:tc>
          <w:tcPr>
            <w:tcW w:type="dxa" w:w="21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Modelo seleccionado</w:t>
            </w:r>
          </w:p>
        </w:tc>
      </w:tr>
      <w:tr>
        <w:tc>
          <w:tcP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Pouteria</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36</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310.44</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308.59</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3.848</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0.0498 *</w:t>
            </w:r>
          </w:p>
        </w:tc>
        <w:tc>
          <w:tcPr>
            <w:tcMar>
              <w:top w:type="dxa" w:w="60"/>
              <w:left w:type="dxa" w:w="100"/>
              <w:bottom w:type="dxa" w:w="60"/>
              <w:right w:type="dxa" w:w="100"/>
            </w:tcMar>
            <w:vAlign w:val="center"/>
          </w:tcPr>
          <w:p>
            <w:pPr>
              <w:jc w:val="center"/>
            </w:pPr>
            <w:r>
              <w:rPr>
                <w:rFonts w:ascii="Calibri" w:cs="Calibri" w:eastAsia="Calibri" w:hAnsi="Calibri"/>
                <w:b/>
                <w:bCs/>
                <w:i/>
                <w:iCs/>
                <w:sz w:val="18"/>
                <w:szCs w:val="18"/>
              </w:rPr>
              <w:t xml:space="preserve">Interacción (marginal)</w:t>
            </w:r>
          </w:p>
        </w:tc>
      </w:tr>
      <w:tr>
        <w:tc>
          <w:tcPr>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Clarisia</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94.56</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96.54</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0.024</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0.877</w:t>
            </w:r>
          </w:p>
        </w:tc>
        <w:tc>
          <w:tcPr>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Aditivo</w:t>
            </w:r>
          </w:p>
        </w:tc>
      </w:tr>
      <w:tr>
        <w:tc>
          <w:tcP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al</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45</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377.25</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379.02</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0.230</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0.632</w:t>
            </w:r>
          </w:p>
        </w:tc>
        <w:tc>
          <w:tcP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Aditivo</w:t>
            </w:r>
          </w:p>
        </w:tc>
      </w:tr>
      <w:tr>
        <w:tc>
          <w:tcPr>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myrcia</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50</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394.91</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396.05</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0.856</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0.355</w:t>
            </w:r>
          </w:p>
        </w:tc>
        <w:tc>
          <w:tcPr>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Aditivo</w:t>
            </w:r>
          </w:p>
        </w:tc>
      </w:tr>
      <w:tr>
        <w:tc>
          <w:tcP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hp</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21</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193.86</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193.90</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1.960</w:t>
            </w:r>
          </w:p>
        </w:tc>
        <w:tc>
          <w:tcP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0.162</w:t>
            </w:r>
          </w:p>
        </w:tc>
        <w:tc>
          <w:tcP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Aditivo</w:t>
            </w:r>
          </w:p>
        </w:tc>
      </w:tr>
      <w:tr>
        <w:tc>
          <w:tcPr>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Weinmania</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18</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141.62</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143.50</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0.129</w:t>
            </w:r>
          </w:p>
        </w:tc>
        <w:tc>
          <w:tcPr>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0.720</w:t>
            </w:r>
          </w:p>
        </w:tc>
        <w:tc>
          <w:tcPr>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Aditivo</w:t>
            </w:r>
          </w:p>
        </w:tc>
      </w:tr>
    </w:tbl>
    <w:p>
      <w:pPr>
        <w:spacing w:after="300"/>
      </w:pPr>
      <w:r>
        <w:rPr>
          <w:rFonts w:ascii="Calibri" w:cs="Calibri" w:eastAsia="Calibri" w:hAnsi="Calibri"/>
          <w:i/>
          <w:iCs/>
          <w:color w:val="555555"/>
          <w:sz w:val="17"/>
          <w:szCs w:val="17"/>
        </w:rPr>
        <w:t xml:space="preserve">Nota: comparación mediante prueba de razón de verosimilitud (LRT), modelos ajustados por máxima verosimilitud (ML). Se retuvo el modelo aditivo cuando la interacción no mejoró significativamente el ajuste (p &gt; 0.05, ΔAIC &lt; 2). En Pouteria, la mejora fue estadísticamente significativa pero marginal (p = 0.0498) y con ΔAIC pequeño (1.85), por lo que este resultado se reporta con cautela.</w:t>
      </w:r>
    </w:p>
    <w:p>
      <w:pPr>
        <w:pStyle w:val="Heading2"/>
        <w:spacing w:after="150" w:before="300"/>
      </w:pPr>
      <w:r>
        <w:rPr>
          <w:rFonts w:ascii="Calibri" w:cs="Calibri" w:eastAsia="Calibri" w:hAnsi="Calibri"/>
        </w:rPr>
        <w:t xml:space="preserve">Tabla 2. Efectos fijos del modelo final por especie (REML)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300"/>
        <w:gridCol w:w="900"/>
        <w:gridCol w:w="900"/>
        <w:gridCol w:w="1300"/>
        <w:gridCol w:w="1300"/>
      </w:tblGrid>
      <w:tr>
        <w:trPr>
          <w:tblHeader/>
        </w:trPr>
        <w:tc>
          <w:tcPr>
            <w:tcW w:type="dxa" w:w="15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Especie</w:t>
            </w:r>
          </w:p>
        </w:tc>
        <w:tc>
          <w:tcPr>
            <w:tcW w:type="dxa" w:w="16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Término</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Estimado</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EE</w:t>
            </w:r>
          </w:p>
        </w:tc>
        <w:tc>
          <w:tcPr>
            <w:tcW w:type="dxa" w:w="9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gl</w:t>
            </w:r>
          </w:p>
        </w:tc>
        <w:tc>
          <w:tcPr>
            <w:tcW w:type="dxa" w:w="9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t</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Var. Bloque</w:t>
            </w:r>
          </w:p>
        </w:tc>
      </w:tr>
      <w:tr>
        <w:tc>
          <w:tcPr>
            <w:tcW w:type="dxa" w:w="1500"/>
            <w:vMerge w:val="restart"/>
            <w:shd w:fill="F2F5F1" w:val="clear"/>
            <w:tcMar>
              <w:top w:type="dxa" w:w="60"/>
              <w:left w:type="dxa" w:w="100"/>
              <w:bottom w:type="dxa" w:w="60"/>
              <w:right w:type="dxa" w:w="100"/>
            </w:tcMar>
            <w:vAlign w:val="center"/>
          </w:tcPr>
          <w:p>
            <w:r>
              <w:rPr>
                <w:rFonts w:ascii="Calibri" w:cs="Calibri" w:eastAsia="Calibri" w:hAnsi="Calibri"/>
                <w:b/>
                <w:bCs/>
                <w:sz w:val="18"/>
                <w:szCs w:val="18"/>
              </w:rPr>
              <w:t xml:space="preserve">Pouteria</w:t>
            </w: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25.624</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4.760</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5.383</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shd w:fill="F2F5F1" w:val="clear"/>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14.546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6.899</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2.109</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0.043</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3.507</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7.336</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0.478</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0.636</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-20.319</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10.694</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-1.900</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0.067</w:t>
            </w:r>
          </w:p>
        </w:tc>
        <w:tc>
          <w:tcPr>
            <w:vMerge w:val="continue"/>
          </w:tcPr>
          <w:p/>
        </w:tc>
      </w:tr>
      <w:tr>
        <w:tc>
          <w:tcPr>
            <w:tcW w:type="dxa" w:w="1500"/>
            <w:vMerge w:val="restart"/>
            <w:tcMar>
              <w:top w:type="dxa" w:w="60"/>
              <w:left w:type="dxa" w:w="100"/>
              <w:bottom w:type="dxa" w:w="60"/>
              <w:right w:type="dxa" w:w="100"/>
            </w:tcMar>
            <w:vAlign w:val="center"/>
          </w:tcPr>
          <w:p>
            <w:r>
              <w:rPr>
                <w:rFonts w:ascii="Calibri" w:cs="Calibri" w:eastAsia="Calibri" w:hAnsi="Calibri"/>
                <w:b/>
                <w:bCs/>
                <w:sz w:val="18"/>
                <w:szCs w:val="18"/>
              </w:rPr>
              <w:t xml:space="preserve">Clarisia</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36.662</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4.946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7.412</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-13.135</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5.711</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-2.300</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0.047</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10.203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5.973</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1.708</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0.122</w:t>
            </w:r>
          </w:p>
        </w:tc>
        <w:tc>
          <w:tcPr>
            <w:vMerge w:val="continue"/>
          </w:tcPr>
          <w:p/>
        </w:tc>
      </w:tr>
      <w:tr>
        <w:tc>
          <w:tcPr>
            <w:tcW w:type="dxa" w:w="1500"/>
            <w:vMerge w:val="restart"/>
            <w:shd w:fill="F2F5F1" w:val="clear"/>
            <w:tcMar>
              <w:top w:type="dxa" w:w="60"/>
              <w:left w:type="dxa" w:w="100"/>
              <w:bottom w:type="dxa" w:w="60"/>
              <w:right w:type="dxa" w:w="100"/>
            </w:tcMar>
            <w:vAlign w:val="center"/>
          </w:tcPr>
          <w:p>
            <w:r>
              <w:rPr>
                <w:rFonts w:ascii="Calibri" w:cs="Calibri" w:eastAsia="Calibri" w:hAnsi="Calibri"/>
                <w:b/>
                <w:bCs/>
                <w:sz w:val="18"/>
                <w:szCs w:val="18"/>
              </w:rPr>
              <w:t xml:space="preserve">al</w:t>
            </w: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86.727</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5.089</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6.15</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17.041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shd w:fill="F2F5F1" w:val="clear"/>
            <w:tcMar>
              <w:top w:type="dxa" w:w="60"/>
              <w:left w:type="dxa" w:w="100"/>
              <w:bottom w:type="dxa" w:w="60"/>
              <w:right w:type="dxa" w:w="100"/>
            </w:tcMar>
            <w:vAlign w:val="center"/>
          </w:tcPr>
          <w:p>
            <w:pPr>
              <w:jc w:val="center"/>
            </w:pPr>
            <w:r>
              <w:rPr>
                <w:rFonts w:ascii="Calibri" w:cs="Calibri" w:eastAsia="Calibri" w:hAnsi="Calibri"/>
                <w:i w:val="false"/>
                <w:iCs w:val="false"/>
                <w:sz w:val="18"/>
                <w:szCs w:val="18"/>
              </w:rPr>
              <w:t xml:space="preserve">52.84</w:t>
            </w: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2.017</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4.293</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39.30</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0.470</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0.641</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-5.476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4.218</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39.34</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-1.298</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0.202</w:t>
            </w:r>
          </w:p>
        </w:tc>
        <w:tc>
          <w:tcPr>
            <w:vMerge w:val="continue"/>
          </w:tcPr>
          <w:p/>
        </w:tc>
      </w:tr>
      <w:tr>
        <w:tc>
          <w:tcPr>
            <w:tcW w:type="dxa" w:w="1500"/>
            <w:vMerge w:val="restart"/>
            <w:tcMar>
              <w:top w:type="dxa" w:w="60"/>
              <w:left w:type="dxa" w:w="100"/>
              <w:bottom w:type="dxa" w:w="60"/>
              <w:right w:type="dxa" w:w="100"/>
            </w:tcMar>
            <w:vAlign w:val="center"/>
          </w:tcPr>
          <w:p>
            <w:r>
              <w:rPr>
                <w:rFonts w:ascii="Calibri" w:cs="Calibri" w:eastAsia="Calibri" w:hAnsi="Calibri"/>
                <w:b/>
                <w:bCs/>
                <w:sz w:val="18"/>
                <w:szCs w:val="18"/>
              </w:rPr>
              <w:t xml:space="preserve">myrcia</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73.238</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2.699</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47</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27.131</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3.636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3.349</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47</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1.086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0.283</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2.863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3.338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47</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0.857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0.396</w:t>
            </w:r>
          </w:p>
        </w:tc>
        <w:tc>
          <w:tcPr>
            <w:vMerge w:val="continue"/>
          </w:tcPr>
          <w:p/>
        </w:tc>
      </w:tr>
      <w:tr>
        <w:tc>
          <w:tcPr>
            <w:tcW w:type="dxa" w:w="1500"/>
            <w:vMerge w:val="restart"/>
            <w:shd w:fill="F2F5F1" w:val="clear"/>
            <w:tcMar>
              <w:top w:type="dxa" w:w="60"/>
              <w:left w:type="dxa" w:w="100"/>
              <w:bottom w:type="dxa" w:w="60"/>
              <w:right w:type="dxa" w:w="100"/>
            </w:tcMar>
            <w:vAlign w:val="center"/>
          </w:tcPr>
          <w:p>
            <w:r>
              <w:rPr>
                <w:rFonts w:ascii="Calibri" w:cs="Calibri" w:eastAsia="Calibri" w:hAnsi="Calibri"/>
                <w:b/>
                <w:bCs/>
                <w:sz w:val="18"/>
                <w:szCs w:val="18"/>
              </w:rPr>
              <w:t xml:space="preserve">hp</w:t>
            </w: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78.011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8.130</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18</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9.596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shd w:fill="F2F5F1" w:val="clear"/>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16.021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9.474</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18</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1.691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0.108</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3.953</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9.388</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18</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0.421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0.679</w:t>
            </w:r>
          </w:p>
        </w:tc>
        <w:tc>
          <w:tcPr>
            <w:vMerge w:val="continue"/>
          </w:tcPr>
          <w:p/>
        </w:tc>
      </w:tr>
      <w:tr>
        <w:tc>
          <w:tcPr>
            <w:tcW w:type="dxa" w:w="1500"/>
            <w:vMerge w:val="restart"/>
            <w:tcMar>
              <w:top w:type="dxa" w:w="60"/>
              <w:left w:type="dxa" w:w="100"/>
              <w:bottom w:type="dxa" w:w="60"/>
              <w:right w:type="dxa" w:w="100"/>
            </w:tcMar>
            <w:vAlign w:val="center"/>
          </w:tcPr>
          <w:p>
            <w:r>
              <w:rPr>
                <w:rFonts w:ascii="Calibri" w:cs="Calibri" w:eastAsia="Calibri" w:hAnsi="Calibri"/>
                <w:b/>
                <w:bCs/>
                <w:sz w:val="18"/>
                <w:szCs w:val="18"/>
              </w:rPr>
              <w:t xml:space="preserve">Weinmania</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73.072</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4.511</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5.84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16.200</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tcMar>
              <w:top w:type="dxa" w:w="60"/>
              <w:left w:type="dxa" w:w="100"/>
              <w:bottom w:type="dxa" w:w="60"/>
              <w:right w:type="dxa" w:w="100"/>
            </w:tcMar>
            <w:vAlign w:val="center"/>
          </w:tcPr>
          <w:p>
            <w:pPr>
              <w:jc w:val="center"/>
            </w:pPr>
            <w:r>
              <w:rPr>
                <w:rFonts w:ascii="Calibri" w:cs="Calibri" w:eastAsia="Calibri" w:hAnsi="Calibri"/>
                <w:i w:val="false"/>
                <w:iCs w:val="false"/>
                <w:sz w:val="18"/>
                <w:szCs w:val="18"/>
              </w:rPr>
              <w:t xml:space="preserve">13.69</w:t>
            </w: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-5.329</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4.937</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13.24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-1.079</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0.300</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-8.349</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4.908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14.14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-1.701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0.111</w:t>
            </w:r>
          </w:p>
        </w:tc>
        <w:tc>
          <w:tcPr>
            <w:vMerge w:val="continue"/>
          </w:tcPr>
          <w:p/>
        </w:tc>
      </w:tr>
    </w:tbl>
    <w:p>
      <w:pPr>
        <w:spacing w:after="300"/>
      </w:pPr>
      <w:r>
        <w:rPr>
          <w:rFonts w:ascii="Calibri" w:cs="Calibri" w:eastAsia="Calibri" w:hAnsi="Calibri"/>
          <w:i/>
          <w:iCs/>
          <w:color w:val="555555"/>
          <w:sz w:val="17"/>
          <w:szCs w:val="17"/>
        </w:rPr>
        <w:t xml:space="preserve">Nota: N y P son variables dummy (0 = ausencia, 1 = presencia de nutriente). Estimados en negrita indican p &lt; 0.05. "Var. Bloque" en cursiva indica ajuste singular (varianza de Bloque estimada = 0); en estos casos las estimaciones de efectos fijos equivalen a las de un modelo sin efecto aleatorio, pero se mantuvo la estructura jerárquica por fidelidad al diseño experimental. Variable respuesta: iWUE (µmol/mol).</w:t>
      </w:r>
    </w:p>
    <w:p>
      <w:pPr>
        <w:pStyle w:val="Heading2"/>
        <w:spacing w:after="150" w:before="300"/>
      </w:pPr>
      <w:r>
        <w:rPr>
          <w:rFonts w:ascii="Calibri" w:cs="Calibri" w:eastAsia="Calibri" w:hAnsi="Calibri"/>
        </w:rPr>
        <w:t xml:space="preserve">Observaciones para la discusión</w:t>
      </w:r>
    </w:p>
    <w:p>
      <w:pPr>
        <w:spacing w:after="150"/>
      </w:pPr>
      <w:r>
        <w:rPr>
          <w:rFonts w:ascii="Calibri" w:cs="Calibri" w:eastAsia="Calibri" w:hAnsi="Calibri"/>
          <w:i w:val="false"/>
          <w:iCs w:val="false"/>
          <w:sz w:val="20"/>
          <w:szCs w:val="20"/>
        </w:rPr>
        <w:t xml:space="preserve">• Pouteria fue la única especie con evidencia de un efecto principal significativo: la adición de N incrementó el iWUE (β = 14.55, p = 0.043) en ausencia de P, pero este efecto se atenuó al combinarse con P (interacción marginal, p = 0.067).</w:t>
      </w:r>
    </w:p>
    <w:p>
      <w:pPr>
        <w:spacing w:after="150"/>
      </w:pPr>
      <w:r>
        <w:rPr>
          <w:rFonts w:ascii="Calibri" w:cs="Calibri" w:eastAsia="Calibri" w:hAnsi="Calibri"/>
          <w:i w:val="false"/>
          <w:iCs w:val="false"/>
          <w:sz w:val="20"/>
          <w:szCs w:val="20"/>
        </w:rPr>
        <w:t xml:space="preserve">• En Clarisia, el efecto de N fue significativo únicamente en el modelo aditivo (β = -13.14, p = 0.047), no así en el modelo con interacción (p = 0.249) — resultado sensible a la estructura del modelo, y con tamaño muestral reducido (n = 12), por lo que se recomienda interpretarlo con cautela.</w:t>
      </w:r>
    </w:p>
    <w:p>
      <w:pPr>
        <w:spacing w:after="150"/>
      </w:pPr>
      <w:r>
        <w:rPr>
          <w:rFonts w:ascii="Calibri" w:cs="Calibri" w:eastAsia="Calibri" w:hAnsi="Calibri"/>
          <w:i w:val="false"/>
          <w:iCs w:val="false"/>
          <w:sz w:val="20"/>
          <w:szCs w:val="20"/>
        </w:rPr>
        <w:t xml:space="preserve">• En al y Weinmania, el efecto aleatorio de Bloque presentó varianza distinta de cero, apoyando su inclusión como fuente real de variación.</w:t>
      </w:r>
    </w:p>
    <w:p>
      <w:pPr>
        <w:spacing w:after="150"/>
      </w:pPr>
      <w:r>
        <w:rPr>
          <w:rFonts w:ascii="Calibri" w:cs="Calibri" w:eastAsia="Calibri" w:hAnsi="Calibri"/>
          <w:i w:val="false"/>
          <w:iCs w:val="false"/>
          <w:sz w:val="20"/>
          <w:szCs w:val="20"/>
        </w:rPr>
        <w:t xml:space="preserve">• En el resto de especies y términos no se detectaron efectos significativos de N, P o su interacción sobre iWUE.</w:t>
      </w:r>
    </w:p>
    <w:p>
      <w:r>
        <w:br w:type="page"/>
      </w:r>
    </w:p>
    <w:p>
      <w:pPr>
        <w:pStyle w:val="Heading1"/>
        <w:spacing w:after="200"/>
      </w:pPr>
      <w:r>
        <w:rPr>
          <w:rFonts w:ascii="Calibri" w:cs="Calibri" w:eastAsia="Calibri" w:hAnsi="Calibri"/>
          <w:b/>
          <w:bCs/>
        </w:rPr>
        <w:t xml:space="preserve">Material suplementario</w:t>
      </w:r>
    </w:p>
    <w:p>
      <w:pPr>
        <w:pStyle w:val="Heading2"/>
        <w:spacing w:after="150" w:before="300"/>
      </w:pPr>
      <w:r>
        <w:rPr>
          <w:rFonts w:ascii="Calibri" w:cs="Calibri" w:eastAsia="Calibri" w:hAnsi="Calibri"/>
        </w:rPr>
        <w:t xml:space="preserve">Tabla S1. Modelo saturado (N × P) para las seis especies</w:t>
      </w:r>
    </w:p>
    <w:p>
      <w:pPr>
        <w:spacing w:after="150"/>
      </w:pPr>
      <w:r>
        <w:rPr>
          <w:rFonts w:ascii="Calibri" w:cs="Calibri" w:eastAsia="Calibri" w:hAnsi="Calibri"/>
          <w:i w:val="false"/>
          <w:iCs w:val="false"/>
          <w:sz w:val="20"/>
          <w:szCs w:val="20"/>
        </w:rPr>
        <w:t xml:space="preserve">Se presenta el modelo completo con interacción N × P ajustado para las seis especies, incluyendo aquellas en las que se seleccionó el modelo aditivo como modelo final (Tabla 2). Esta tabla se incluye por transparencia metodológica, para que el lector pueda evaluar el resultado del modelo saturado independientemente de la selección de modelo realizada mediante LRT/AIC (ver Tabla 1).</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300"/>
        <w:gridCol w:w="900"/>
        <w:gridCol w:w="900"/>
        <w:gridCol w:w="1300"/>
        <w:gridCol w:w="1300"/>
      </w:tblGrid>
      <w:tr>
        <w:trPr>
          <w:tblHeader/>
        </w:trPr>
        <w:tc>
          <w:tcPr>
            <w:tcW w:type="dxa" w:w="15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Especie</w:t>
            </w:r>
          </w:p>
        </w:tc>
        <w:tc>
          <w:tcPr>
            <w:tcW w:type="dxa" w:w="16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Término</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Estimado</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EE</w:t>
            </w:r>
          </w:p>
        </w:tc>
        <w:tc>
          <w:tcPr>
            <w:tcW w:type="dxa" w:w="9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gl</w:t>
            </w:r>
          </w:p>
        </w:tc>
        <w:tc>
          <w:tcPr>
            <w:tcW w:type="dxa" w:w="9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t</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w:t>
            </w:r>
          </w:p>
        </w:tc>
        <w:tc>
          <w:tcPr>
            <w:tcW w:type="dxa" w:w="1300"/>
            <w:shd w:fill="2E533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Var. Bloque</w:t>
            </w:r>
          </w:p>
        </w:tc>
      </w:tr>
      <w:tr>
        <w:tc>
          <w:tcPr>
            <w:tcW w:type="dxa" w:w="1500"/>
            <w:vMerge w:val="restart"/>
            <w:shd w:fill="F2F5F1" w:val="clear"/>
            <w:tcMar>
              <w:top w:type="dxa" w:w="60"/>
              <w:left w:type="dxa" w:w="100"/>
              <w:bottom w:type="dxa" w:w="60"/>
              <w:right w:type="dxa" w:w="100"/>
            </w:tcMar>
            <w:vAlign w:val="center"/>
          </w:tcPr>
          <w:p>
            <w:r>
              <w:rPr>
                <w:rFonts w:ascii="Calibri" w:cs="Calibri" w:eastAsia="Calibri" w:hAnsi="Calibri"/>
                <w:b/>
                <w:bCs/>
                <w:sz w:val="18"/>
                <w:szCs w:val="18"/>
              </w:rPr>
              <w:t xml:space="preserve">Pouteria</w:t>
            </w: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25.624</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4.760</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5.383</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shd w:fill="F2F5F1" w:val="clear"/>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14.546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6.899</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2.109</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0.043</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3.507</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7.336</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0.478</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0.636</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-20.319</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10.694</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-1.900</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0.067</w:t>
            </w:r>
          </w:p>
        </w:tc>
        <w:tc>
          <w:tcPr>
            <w:vMerge w:val="continue"/>
          </w:tcPr>
          <w:p/>
        </w:tc>
      </w:tr>
      <w:tr>
        <w:tc>
          <w:tcPr>
            <w:tcW w:type="dxa" w:w="1500"/>
            <w:vMerge w:val="restart"/>
            <w:tcMar>
              <w:top w:type="dxa" w:w="60"/>
              <w:left w:type="dxa" w:w="100"/>
              <w:bottom w:type="dxa" w:w="60"/>
              <w:right w:type="dxa" w:w="100"/>
            </w:tcMar>
            <w:vAlign w:val="center"/>
          </w:tcPr>
          <w:p>
            <w:r>
              <w:rPr>
                <w:rFonts w:ascii="Calibri" w:cs="Calibri" w:eastAsia="Calibri" w:hAnsi="Calibri"/>
                <w:b/>
                <w:bCs/>
                <w:sz w:val="18"/>
                <w:szCs w:val="18"/>
              </w:rPr>
              <w:t xml:space="preserve">Clarisia</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36.976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5.794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6.382</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-14.390</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11.588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-1.242</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0.249</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9.654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7.665</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1.260</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0.243</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1.726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13.588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0.127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0.902</w:t>
            </w:r>
          </w:p>
        </w:tc>
        <w:tc>
          <w:tcPr>
            <w:vMerge w:val="continue"/>
          </w:tcPr>
          <w:p/>
        </w:tc>
      </w:tr>
      <w:tr>
        <w:tc>
          <w:tcPr>
            <w:tcW w:type="dxa" w:w="1500"/>
            <w:vMerge w:val="restart"/>
            <w:shd w:fill="F2F5F1" w:val="clear"/>
            <w:tcMar>
              <w:top w:type="dxa" w:w="60"/>
              <w:left w:type="dxa" w:w="100"/>
              <w:bottom w:type="dxa" w:w="60"/>
              <w:right w:type="dxa" w:w="100"/>
            </w:tcMar>
            <w:vAlign w:val="center"/>
          </w:tcPr>
          <w:p>
            <w:r>
              <w:rPr>
                <w:rFonts w:ascii="Calibri" w:cs="Calibri" w:eastAsia="Calibri" w:hAnsi="Calibri"/>
                <w:b/>
                <w:bCs/>
                <w:sz w:val="18"/>
                <w:szCs w:val="18"/>
              </w:rPr>
              <w:t xml:space="preserve">al</w:t>
            </w: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87.624</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5.465</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7.99</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16.032</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shd w:fill="F2F5F1" w:val="clear"/>
            <w:tcMar>
              <w:top w:type="dxa" w:w="60"/>
              <w:left w:type="dxa" w:w="100"/>
              <w:bottom w:type="dxa" w:w="60"/>
              <w:right w:type="dxa" w:w="100"/>
            </w:tcMar>
            <w:vAlign w:val="center"/>
          </w:tcPr>
          <w:p>
            <w:pPr>
              <w:jc w:val="center"/>
            </w:pPr>
            <w:r>
              <w:rPr>
                <w:rFonts w:ascii="Calibri" w:cs="Calibri" w:eastAsia="Calibri" w:hAnsi="Calibri"/>
                <w:i w:val="false"/>
                <w:iCs w:val="false"/>
                <w:sz w:val="18"/>
                <w:szCs w:val="18"/>
              </w:rPr>
              <w:t xml:space="preserve">52.48</w:t>
            </w: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0.036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6.100</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38.66</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0.006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0.995</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-7.081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5.507</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38.52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-1.286</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0.206</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4.022</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8.734</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38.66</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0.460</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0.648</w:t>
            </w:r>
          </w:p>
        </w:tc>
        <w:tc>
          <w:tcPr>
            <w:vMerge w:val="continue"/>
          </w:tcPr>
          <w:p/>
        </w:tc>
      </w:tr>
      <w:tr>
        <w:tc>
          <w:tcPr>
            <w:tcW w:type="dxa" w:w="1500"/>
            <w:vMerge w:val="restart"/>
            <w:tcMar>
              <w:top w:type="dxa" w:w="60"/>
              <w:left w:type="dxa" w:w="100"/>
              <w:bottom w:type="dxa" w:w="60"/>
              <w:right w:type="dxa" w:w="100"/>
            </w:tcMar>
            <w:vAlign w:val="center"/>
          </w:tcPr>
          <w:p>
            <w:r>
              <w:rPr>
                <w:rFonts w:ascii="Calibri" w:cs="Calibri" w:eastAsia="Calibri" w:hAnsi="Calibri"/>
                <w:b/>
                <w:bCs/>
                <w:sz w:val="18"/>
                <w:szCs w:val="18"/>
              </w:rPr>
              <w:t xml:space="preserve">myrcia</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72.017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3.032</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23.752</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6.687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4.794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1.395</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0.170</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5.608</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4.548</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1.233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0.224</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-5.984</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6.714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-0.891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0.377</w:t>
            </w:r>
          </w:p>
        </w:tc>
        <w:tc>
          <w:tcPr>
            <w:vMerge w:val="continue"/>
          </w:tcPr>
          <w:p/>
        </w:tc>
      </w:tr>
      <w:tr>
        <w:tc>
          <w:tcPr>
            <w:tcW w:type="dxa" w:w="1500"/>
            <w:vMerge w:val="restart"/>
            <w:shd w:fill="F2F5F1" w:val="clear"/>
            <w:tcMar>
              <w:top w:type="dxa" w:w="60"/>
              <w:left w:type="dxa" w:w="100"/>
              <w:bottom w:type="dxa" w:w="60"/>
              <w:right w:type="dxa" w:w="100"/>
            </w:tcMar>
            <w:vAlign w:val="center"/>
          </w:tcPr>
          <w:p>
            <w:r>
              <w:rPr>
                <w:rFonts w:ascii="Calibri" w:cs="Calibri" w:eastAsia="Calibri" w:hAnsi="Calibri"/>
                <w:b/>
                <w:bCs/>
                <w:sz w:val="18"/>
                <w:szCs w:val="18"/>
              </w:rPr>
              <w:t xml:space="preserve">hp</w:t>
            </w: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83.754</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9.142</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9.161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shd w:fill="F2F5F1" w:val="clear"/>
            <w:tcMar>
              <w:top w:type="dxa" w:w="60"/>
              <w:left w:type="dxa" w:w="100"/>
              <w:bottom w:type="dxa" w:w="60"/>
              <w:right w:type="dxa" w:w="100"/>
            </w:tcMar>
            <w:vAlign w:val="center"/>
          </w:tcPr>
          <w:p>
            <w:pPr>
              <w:jc w:val="center"/>
            </w:pPr>
            <w:r>
              <w:rPr>
                <w:rFonts w:ascii="Calibri" w:cs="Calibri" w:eastAsia="Calibri" w:hAnsi="Calibri"/>
                <w:i/>
                <w:iCs/>
                <w:sz w:val="18"/>
                <w:szCs w:val="18"/>
              </w:rPr>
              <w:t xml:space="preserve">0.00 (singular)</w:t>
            </w: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5.492</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12.379</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0.444</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0.663</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-5.891</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11.970</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-0.492</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0.629</w:t>
            </w:r>
          </w:p>
        </w:tc>
        <w:tc>
          <w:tcPr>
            <w:vMerge w:val="continue"/>
          </w:tcPr>
          <w:p/>
        </w:tc>
      </w:tr>
      <w:tr>
        <w:tc>
          <w:tcPr>
            <w:vMerge w:val="continue"/>
          </w:tcPr>
          <w:p/>
        </w:tc>
        <w:tc>
          <w:tcPr>
            <w:tcW w:type="dxa" w:w="1600"/>
            <w:shd w:fill="F2F5F1"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24.202</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18.768</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17</w:t>
            </w:r>
          </w:p>
        </w:tc>
        <w:tc>
          <w:tcPr>
            <w:tcW w:type="dxa" w:w="9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1.290</w:t>
            </w:r>
          </w:p>
        </w:tc>
        <w:tc>
          <w:tcPr>
            <w:tcW w:type="dxa" w:w="1300"/>
            <w:shd w:fill="F2F5F1"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0.214</w:t>
            </w:r>
          </w:p>
        </w:tc>
        <w:tc>
          <w:tcPr>
            <w:vMerge w:val="continue"/>
          </w:tcPr>
          <w:p/>
        </w:tc>
      </w:tr>
      <w:tr>
        <w:tc>
          <w:tcPr>
            <w:tcW w:type="dxa" w:w="1500"/>
            <w:vMerge w:val="restart"/>
            <w:tcMar>
              <w:top w:type="dxa" w:w="60"/>
              <w:left w:type="dxa" w:w="100"/>
              <w:bottom w:type="dxa" w:w="60"/>
              <w:right w:type="dxa" w:w="100"/>
            </w:tcMar>
            <w:vAlign w:val="center"/>
          </w:tcPr>
          <w:p>
            <w:r>
              <w:rPr>
                <w:rFonts w:ascii="Calibri" w:cs="Calibri" w:eastAsia="Calibri" w:hAnsi="Calibri"/>
                <w:b/>
                <w:bCs/>
                <w:sz w:val="18"/>
                <w:szCs w:val="18"/>
              </w:rPr>
              <w:t xml:space="preserve">Weinmania</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Intercepto</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sz w:val="18"/>
                <w:szCs w:val="18"/>
              </w:rPr>
              <w:t xml:space="preserve">72.573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4.962</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7.94</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14.626</w:t>
            </w:r>
          </w:p>
        </w:tc>
        <w:tc>
          <w:tcPr>
            <w:tcW w:type="dxa" w:w="1300"/>
            <w:tcMar>
              <w:top w:type="dxa" w:w="60"/>
              <w:left w:type="dxa" w:w="100"/>
              <w:bottom w:type="dxa" w:w="60"/>
              <w:right w:type="dxa" w:w="100"/>
            </w:tcMar>
            <w:vAlign w:val="center"/>
          </w:tcPr>
          <w:p>
            <w:pPr>
              <w:jc w:val="center"/>
            </w:pPr>
            <w:r>
              <w:rPr>
                <w:rFonts w:ascii="Calibri" w:cs="Calibri" w:eastAsia="Calibri" w:hAnsi="Calibri"/>
                <w:b/>
                <w:bCs/>
                <w:i w:val="false"/>
                <w:iCs w:val="false"/>
                <w:color w:val="1B5E20"/>
                <w:sz w:val="18"/>
                <w:szCs w:val="18"/>
              </w:rPr>
              <w:t xml:space="preserve">&lt;0.001</w:t>
            </w:r>
          </w:p>
        </w:tc>
        <w:tc>
          <w:tcPr>
            <w:tcW w:type="dxa" w:w="1300"/>
            <w:vMerge w:val="restart"/>
            <w:tcMar>
              <w:top w:type="dxa" w:w="60"/>
              <w:left w:type="dxa" w:w="100"/>
              <w:bottom w:type="dxa" w:w="60"/>
              <w:right w:type="dxa" w:w="100"/>
            </w:tcMar>
            <w:vAlign w:val="center"/>
          </w:tcPr>
          <w:p>
            <w:pPr>
              <w:jc w:val="center"/>
            </w:pPr>
            <w:r>
              <w:rPr>
                <w:rFonts w:ascii="Calibri" w:cs="Calibri" w:eastAsia="Calibri" w:hAnsi="Calibri"/>
                <w:i w:val="false"/>
                <w:iCs w:val="false"/>
                <w:sz w:val="18"/>
                <w:szCs w:val="18"/>
              </w:rPr>
              <w:t xml:space="preserve">11.04</w:t>
            </w: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-4.231</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6.485</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12.16</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-0.652</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0.526</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-7.506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6.217</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12.35</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-1.207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0.250</w:t>
            </w:r>
          </w:p>
        </w:tc>
        <w:tc>
          <w:tcPr>
            <w:vMerge w:val="continue"/>
          </w:tcPr>
          <w:p/>
        </w:tc>
      </w:tr>
      <w:tr>
        <w:tc>
          <w:tcPr>
            <w:vMerge w:val="continue"/>
          </w:tcP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i w:val="false"/>
                <w:iCs w:val="false"/>
                <w:sz w:val="18"/>
                <w:szCs w:val="18"/>
              </w:rPr>
              <w:t xml:space="preserve">N × P</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-3.086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10.545</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11.81</w:t>
            </w:r>
          </w:p>
        </w:tc>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-0.293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sz w:val="18"/>
                <w:szCs w:val="18"/>
              </w:rPr>
              <w:t xml:space="preserve">0.775</w:t>
            </w:r>
          </w:p>
        </w:tc>
        <w:tc>
          <w:tcPr>
            <w:vMerge w:val="continue"/>
          </w:tcPr>
          <w:p/>
        </w:tc>
      </w:tr>
    </w:tbl>
    <w:p>
      <w:pPr>
        <w:spacing w:after="300"/>
      </w:pPr>
      <w:r>
        <w:rPr>
          <w:rFonts w:ascii="Calibri" w:cs="Calibri" w:eastAsia="Calibri" w:hAnsi="Calibri"/>
          <w:i/>
          <w:iCs/>
          <w:color w:val="555555"/>
          <w:sz w:val="17"/>
          <w:szCs w:val="17"/>
        </w:rPr>
        <w:t xml:space="preserve">Nota: N y P son variables dummy (0 = ausencia, 1 = presencia de nutriente). Estimados en negrita indican p &lt; 0.05. "Var. Bloque" en cursiva indica ajuste singular. Compárese con la Tabla 2: en Clarisia, el efecto de N es significativo en el modelo aditivo (p = 0.047) pero no en el modelo saturado con interacción (p = 0.249), ilustrando la sensibilidad de este resultado a la estructura del modelo.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2026-07-08T22:03:19.993Z</dcterms:created>
  <dcterms:modified xsi:type="dcterms:W3CDTF">2026-07-08T22:03:20.006Z</dcterms:modified>
</cp:coreProperties>
</file>

<file path=docProps/custom.xml><?xml version="1.0" encoding="utf-8"?>
<Properties xmlns="http://schemas.openxmlformats.org/officeDocument/2006/custom-properties" xmlns:vt="http://schemas.openxmlformats.org/officeDocument/2006/docPropsVTypes"/>
</file>