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Calibri" w:hAnsi="Calibri"/>
          <w:b/>
          <w:i w:val="0"/>
          <w:color w:val="191712"/>
          <w:sz w:val="36"/>
        </w:rPr>
        <w:t>Get to Value with Harvey — Rise Build Sheet</w:t>
      </w:r>
    </w:p>
    <w:p>
      <w:pPr>
        <w:spacing w:after="160" w:before="0" w:line="300" w:lineRule="auto"/>
      </w:pPr>
      <w:r>
        <w:rPr>
          <w:rFonts w:ascii="Calibri" w:hAnsi="Calibri"/>
          <w:b w:val="0"/>
          <w:i/>
          <w:color w:val="5B6872"/>
          <w:sz w:val="20"/>
        </w:rPr>
        <w:t>A block-by-block guide for rebuilding the scaled customer-onboarding module in Articulate Rise. Prepared by Alex Donnelly.</w:t>
      </w:r>
    </w:p>
    <w:p>
      <w:pPr>
        <w:spacing w:before="240" w:after="80"/>
        <w:pBdr>
          <w:bottom w:val="single" w:sz="6" w:space="2" w:color="245F73"/>
        </w:pBdr>
      </w:pPr>
      <w:r>
        <w:rPr>
          <w:rFonts w:ascii="Calibri" w:hAnsi="Calibri"/>
          <w:b/>
          <w:color w:val="245F73"/>
          <w:sz w:val="26"/>
        </w:rPr>
        <w:t>How to use this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Rise does not import HTML, so this sheet recreates the module in Rise’s native blocks. In Rise: New Course → Create from scratch → add one Lesson per chapter below, then add the blocks in the order shown and paste the copy. The standalone HTML file (onboarding-module.html) is the working preview to check against.</w:t>
      </w:r>
    </w:p>
    <w:p>
      <w:pPr>
        <w:spacing w:before="240" w:after="80"/>
        <w:pBdr>
          <w:bottom w:val="single" w:sz="6" w:space="2" w:color="245F73"/>
        </w:pBdr>
      </w:pPr>
      <w:r>
        <w:rPr>
          <w:rFonts w:ascii="Calibri" w:hAnsi="Calibri"/>
          <w:b/>
          <w:color w:val="245F73"/>
          <w:sz w:val="26"/>
        </w:rPr>
        <w:t>Course setup &amp; theme (Harvey look)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Course title: </w:t>
      </w:r>
      <w:r>
        <w:rPr>
          <w:rFonts w:ascii="Calibri" w:hAnsi="Calibri"/>
          <w:color w:val="191712"/>
          <w:sz w:val="20"/>
        </w:rPr>
        <w:t>Get to Value with Harvey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Description: </w:t>
      </w:r>
      <w:r>
        <w:rPr>
          <w:rFonts w:ascii="Calibri" w:hAnsi="Calibri"/>
          <w:color w:val="191712"/>
          <w:sz w:val="20"/>
        </w:rPr>
        <w:t>Scaled customer onboarding — from access to daily habit. (Independent sample; not affiliated with Harvey.)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Theme colour: </w:t>
      </w:r>
      <w:r>
        <w:rPr>
          <w:rFonts w:ascii="Calibri" w:hAnsi="Calibri"/>
          <w:color w:val="191712"/>
          <w:sz w:val="20"/>
        </w:rPr>
        <w:t>Near-black / ink accent (hex ~ #191712) — keep it monochrome and restrained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Fonts: </w:t>
      </w:r>
      <w:r>
        <w:rPr>
          <w:rFonts w:ascii="Calibri" w:hAnsi="Calibri"/>
          <w:color w:val="191712"/>
          <w:sz w:val="20"/>
        </w:rPr>
        <w:t>Heading: a refined serif (Rise “Playfair Display”, “Lora”, or “Spectral” if available). Body: a clean sans (Inter / Helvetica).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Cover: </w:t>
      </w:r>
      <w:r>
        <w:rPr>
          <w:rFonts w:ascii="Calibri" w:hAnsi="Calibri"/>
          <w:color w:val="191712"/>
          <w:sz w:val="20"/>
        </w:rPr>
        <w:t>Title “Get to Value with Harvey”, subtitle “Scaled onboarding · sample”, ivory/cream cover, minimal.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Navigation: </w:t>
      </w:r>
      <w:r>
        <w:rPr>
          <w:rFonts w:ascii="Calibri" w:hAnsi="Calibri"/>
          <w:color w:val="191712"/>
          <w:sz w:val="20"/>
        </w:rPr>
        <w:t>Free navigation or restricted; show the lesson list sidebar.</w:t>
      </w:r>
    </w:p>
    <w:p>
      <w:pPr>
        <w:spacing w:before="240" w:after="80"/>
        <w:pBdr>
          <w:bottom w:val="single" w:sz="6" w:space="2" w:color="245F73"/>
        </w:pBdr>
      </w:pPr>
      <w:r>
        <w:rPr>
          <w:rFonts w:ascii="Calibri" w:hAnsi="Calibri"/>
          <w:b/>
          <w:color w:val="245F73"/>
          <w:sz w:val="26"/>
        </w:rPr>
        <w:t>Lesson 1 — Welcome: what success looks like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Text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Welcome to Harvey. This short course gets your team from access to a real, repeatable win in your first 30 days — and sets up the value that makes Harvey worth renewing and expanding.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Text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We run onboarding around one idea: value you can see and measure. Not “logins,” but hours saved on work you already do, and a result a partner would sign off on.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Flashcard Grid (3 cards)</w:t>
      </w:r>
      <w:r>
        <w:rPr>
          <w:rFonts w:ascii="Calibri" w:hAnsi="Calibri"/>
          <w:i/>
          <w:color w:val="5B6872"/>
          <w:sz w:val="18"/>
        </w:rPr>
        <w:t xml:space="preserve">  — or a 3-column Note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Week 1: </w:t>
      </w:r>
      <w:r>
        <w:rPr>
          <w:rFonts w:ascii="Calibri" w:hAnsi="Calibri"/>
          <w:color w:val="191712"/>
          <w:sz w:val="20"/>
        </w:rPr>
        <w:t>One workflow live, one real win.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Day 30: </w:t>
      </w:r>
      <w:r>
        <w:rPr>
          <w:rFonts w:ascii="Calibri" w:hAnsi="Calibri"/>
          <w:color w:val="191712"/>
          <w:sz w:val="20"/>
        </w:rPr>
        <w:t>A daily habit for your power users.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Day 90: </w:t>
      </w:r>
      <w:r>
        <w:rPr>
          <w:rFonts w:ascii="Calibri" w:hAnsi="Calibri"/>
          <w:color w:val="191712"/>
          <w:sz w:val="20"/>
        </w:rPr>
        <w:t>Documented ROI — and room to grow.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Statement</w:t>
      </w:r>
      <w:r>
        <w:rPr>
          <w:rFonts w:ascii="Calibri" w:hAnsi="Calibri"/>
          <w:i/>
          <w:color w:val="5B6872"/>
          <w:sz w:val="18"/>
        </w:rPr>
        <w:t xml:space="preserve">  — callout / emphasis block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Adoption is the leading indicator of value. Teams that reach a first win fast keep using Harvey — and your Customer Success partner is here to make that happen, not just at kickoff but every quarter.</w:t>
      </w:r>
    </w:p>
    <w:p>
      <w:pPr>
        <w:spacing w:before="240" w:after="80"/>
        <w:pBdr>
          <w:bottom w:val="single" w:sz="6" w:space="2" w:color="245F73"/>
        </w:pBdr>
      </w:pPr>
      <w:r>
        <w:rPr>
          <w:rFonts w:ascii="Calibri" w:hAnsi="Calibri"/>
          <w:b/>
          <w:color w:val="245F73"/>
          <w:sz w:val="26"/>
        </w:rPr>
        <w:t>Lesson 2 — Your first win, this week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Text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Don’t try to boil the ocean. Pick ONE high-value, low-risk workflow your team does constantly, and run it end to end in Harvey.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Flashcard Grid (2 cards)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Good first workflows: </w:t>
      </w:r>
      <w:r>
        <w:rPr>
          <w:rFonts w:ascii="Calibri" w:hAnsi="Calibri"/>
          <w:color w:val="191712"/>
          <w:sz w:val="20"/>
        </w:rPr>
        <w:t>Summarize a long document set. Draft a first-pass research memo. Prep deposition questions from a transcript.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The “first value moment”: </w:t>
      </w:r>
      <w:r>
        <w:rPr>
          <w:rFonts w:ascii="Calibri" w:hAnsi="Calibri"/>
          <w:color w:val="191712"/>
          <w:sz w:val="20"/>
        </w:rPr>
        <w:t>The moment a user thinks “that just saved me an hour.” Get there in the first session.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Statement / Note</w:t>
      </w:r>
      <w:r>
        <w:rPr>
          <w:rFonts w:ascii="Calibri" w:hAnsi="Calibri"/>
          <w:i/>
          <w:color w:val="5B6872"/>
          <w:sz w:val="18"/>
        </w:rPr>
        <w:t xml:space="preserve">  — a “Try it now” prompt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Try it now: Take a non-confidential document you know well. Ask Harvey for a structured summary. Compare it to what you’d have written. Note what it nailed and what you’d refine — that instinct is the skill.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Knowledge Check — Multiple Choice</w:t>
      </w:r>
    </w:p>
    <w:p>
      <w:pPr>
        <w:spacing w:after="60" w:before="0" w:line="300" w:lineRule="auto"/>
      </w:pPr>
      <w:r>
        <w:rPr>
          <w:rFonts w:ascii="Calibri" w:hAnsi="Calibri"/>
          <w:b/>
          <w:i w:val="0"/>
          <w:color w:val="191712"/>
          <w:sz w:val="21"/>
        </w:rPr>
        <w:t>Question: What’s the goal of your team’s first session with Harvey?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191712"/>
          <w:sz w:val="20"/>
        </w:rPr>
        <w:t>Configure every available feature</w:t>
      </w:r>
    </w:p>
    <w:p>
      <w:pPr>
        <w:pStyle w:val="ListBullet"/>
        <w:spacing w:after="20"/>
      </w:pPr>
      <w:r>
        <w:rPr>
          <w:rFonts w:ascii="Calibri" w:hAnsi="Calibri"/>
          <w:b/>
          <w:color w:val="2E7D32"/>
          <w:sz w:val="20"/>
        </w:rPr>
        <w:t>Reach one real “that-saved-me-time” win on a familiar workflow ✓ (correct)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191712"/>
          <w:sz w:val="20"/>
        </w:rPr>
        <w:t>Roll Harvey out to the entire firm at once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191712"/>
          <w:sz w:val="20"/>
        </w:rPr>
        <w:t>Replace attorney review entirely</w:t>
      </w:r>
    </w:p>
    <w:p>
      <w:pPr>
        <w:spacing w:after="40" w:before="0" w:line="300" w:lineRule="auto"/>
      </w:pPr>
      <w:r>
        <w:rPr>
          <w:rFonts w:ascii="Calibri" w:hAnsi="Calibri"/>
          <w:b w:val="0"/>
          <w:i/>
          <w:color w:val="5B6872"/>
          <w:sz w:val="19"/>
        </w:rPr>
        <w:t>Feedback if correct: Exactly. A fast first win on one familiar workflow is what builds momentum and durable usage.</w:t>
      </w:r>
    </w:p>
    <w:p>
      <w:pPr>
        <w:spacing w:after="80" w:before="0" w:line="300" w:lineRule="auto"/>
      </w:pPr>
      <w:r>
        <w:rPr>
          <w:rFonts w:ascii="Calibri" w:hAnsi="Calibri"/>
          <w:b w:val="0"/>
          <w:i/>
          <w:color w:val="5B6872"/>
          <w:sz w:val="19"/>
        </w:rPr>
        <w:t>Feedback if incorrect: Not quite — the aim is a single, fast win on one familiar workflow, not breadth or replacing review.</w:t>
      </w:r>
    </w:p>
    <w:p>
      <w:pPr>
        <w:spacing w:before="240" w:after="80"/>
        <w:pBdr>
          <w:bottom w:val="single" w:sz="6" w:space="2" w:color="245F73"/>
        </w:pBdr>
      </w:pPr>
      <w:r>
        <w:rPr>
          <w:rFonts w:ascii="Calibri" w:hAnsi="Calibri"/>
          <w:b/>
          <w:color w:val="245F73"/>
          <w:sz w:val="26"/>
        </w:rPr>
        <w:t>Lesson 3 — Make it a daily habit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Text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A tool used once is a tool forgotten. Retention — yours and ours — comes from Harvey becoming the default for a few real tasks.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Text — bulleted list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BULLETS:</w:t>
        <w:br/>
        <w:t>• Anchor it to existing work. “Every new matter, summarize the record set in Harvey first.”</w:t>
        <w:br/>
        <w:t>• Let champions lead. One enthusiastic associate demoing a real win converts skeptics faster than any deck.</w:t>
        <w:br/>
        <w:t>• Use the support you have. Office hours, in-product help, and your CS partner are there between sessions, not just at launch.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Statement</w:t>
      </w:r>
      <w:r>
        <w:rPr>
          <w:rFonts w:ascii="Calibri" w:hAnsi="Calibri"/>
          <w:i/>
          <w:color w:val="5B6872"/>
          <w:sz w:val="18"/>
        </w:rPr>
        <w:t xml:space="preserve">  — callout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Signal we watch together: weekly active use. If usage dips, that’s our cue to step in with a targeted session — not a renewal surprise later.</w:t>
      </w:r>
    </w:p>
    <w:p>
      <w:pPr>
        <w:spacing w:before="240" w:after="80"/>
        <w:pBdr>
          <w:bottom w:val="single" w:sz="6" w:space="2" w:color="245F73"/>
        </w:pBdr>
      </w:pPr>
      <w:r>
        <w:rPr>
          <w:rFonts w:ascii="Calibri" w:hAnsi="Calibri"/>
          <w:b/>
          <w:color w:val="245F73"/>
          <w:sz w:val="26"/>
        </w:rPr>
        <w:t>Lesson 4 — Use it well, and safely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Text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In legal work, trust is the product. Three habits keep Harvey’s output dependable — and keep your firm and clients protected.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Flashcard Grid (3 cards)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Verify: </w:t>
      </w:r>
      <w:r>
        <w:rPr>
          <w:rFonts w:ascii="Calibri" w:hAnsi="Calibri"/>
          <w:color w:val="191712"/>
          <w:sz w:val="20"/>
        </w:rPr>
        <w:t>Check facts and citations against source before you rely on them. Harvey grounds its answers — use that.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Protect: </w:t>
      </w:r>
      <w:r>
        <w:rPr>
          <w:rFonts w:ascii="Calibri" w:hAnsi="Calibri"/>
          <w:color w:val="191712"/>
          <w:sz w:val="20"/>
        </w:rPr>
        <w:t>Know what data goes where. Keep client and privileged material within approved, firm-sanctioned use.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Human owns it: </w:t>
      </w:r>
      <w:r>
        <w:rPr>
          <w:rFonts w:ascii="Calibri" w:hAnsi="Calibri"/>
          <w:color w:val="191712"/>
          <w:sz w:val="20"/>
        </w:rPr>
        <w:t>An attorney reviews and owns every output. AI is a faster first draft, never the final word.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Knowledge Check — Multiple Choice</w:t>
      </w:r>
    </w:p>
    <w:p>
      <w:pPr>
        <w:spacing w:after="60" w:before="0" w:line="300" w:lineRule="auto"/>
      </w:pPr>
      <w:r>
        <w:rPr>
          <w:rFonts w:ascii="Calibri" w:hAnsi="Calibri"/>
          <w:b/>
          <w:i w:val="0"/>
          <w:color w:val="191712"/>
          <w:sz w:val="21"/>
        </w:rPr>
        <w:t>Question: A research memo from Harvey looks polished and cites three cases. What do you do before it goes out?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191712"/>
          <w:sz w:val="20"/>
        </w:rPr>
        <w:t>Send it — it’s well written</w:t>
      </w:r>
    </w:p>
    <w:p>
      <w:pPr>
        <w:pStyle w:val="ListBullet"/>
        <w:spacing w:after="20"/>
      </w:pPr>
      <w:r>
        <w:rPr>
          <w:rFonts w:ascii="Calibri" w:hAnsi="Calibri"/>
          <w:b/>
          <w:color w:val="2E7D32"/>
          <w:sz w:val="20"/>
        </w:rPr>
        <w:t>Verify each citation against source and have an attorney review it ✓ (correct)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191712"/>
          <w:sz w:val="20"/>
        </w:rPr>
        <w:t>Delete the citations to be safe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191712"/>
          <w:sz w:val="20"/>
        </w:rPr>
        <w:t>Assume it’s wrong and rewrite from scratch</w:t>
      </w:r>
    </w:p>
    <w:p>
      <w:pPr>
        <w:spacing w:after="40" w:before="0" w:line="300" w:lineRule="auto"/>
      </w:pPr>
      <w:r>
        <w:rPr>
          <w:rFonts w:ascii="Calibri" w:hAnsi="Calibri"/>
          <w:b w:val="0"/>
          <w:i/>
          <w:color w:val="5B6872"/>
          <w:sz w:val="19"/>
        </w:rPr>
        <w:t>Feedback if correct: Right. Verify against source and keep attorney ownership — that’s what makes AI-assisted work trustworthy.</w:t>
      </w:r>
    </w:p>
    <w:p>
      <w:pPr>
        <w:spacing w:after="80" w:before="0" w:line="300" w:lineRule="auto"/>
      </w:pPr>
      <w:r>
        <w:rPr>
          <w:rFonts w:ascii="Calibri" w:hAnsi="Calibri"/>
          <w:b w:val="0"/>
          <w:i/>
          <w:color w:val="5B6872"/>
          <w:sz w:val="19"/>
        </w:rPr>
        <w:t>Feedback if incorrect: Not quite — polish isn’t proof. Verify citations against source and keep an attorney in the loop.</w:t>
      </w:r>
    </w:p>
    <w:p>
      <w:pPr>
        <w:spacing w:before="240" w:after="80"/>
        <w:pBdr>
          <w:bottom w:val="single" w:sz="6" w:space="2" w:color="245F73"/>
        </w:pBdr>
      </w:pPr>
      <w:r>
        <w:rPr>
          <w:rFonts w:ascii="Calibri" w:hAnsi="Calibri"/>
          <w:b/>
          <w:color w:val="245F73"/>
          <w:sz w:val="26"/>
        </w:rPr>
        <w:t>Lesson 5 — Grow your value over time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Text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Once one workflow sticks, expand deliberately. More value per user, and more users, is how Harvey pays for itself many times over.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Flashcard Grid (3 cards)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Day 30: </w:t>
      </w:r>
      <w:r>
        <w:rPr>
          <w:rFonts w:ascii="Calibri" w:hAnsi="Calibri"/>
          <w:color w:val="191712"/>
          <w:sz w:val="20"/>
        </w:rPr>
        <w:t>One workflow is a daily habit for your power users.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Day 60: </w:t>
      </w:r>
      <w:r>
        <w:rPr>
          <w:rFonts w:ascii="Calibri" w:hAnsi="Calibri"/>
          <w:color w:val="191712"/>
          <w:sz w:val="20"/>
        </w:rPr>
        <w:t>A second workflow added; a neighboring team trying it.</w:t>
      </w:r>
    </w:p>
    <w:p>
      <w:pPr>
        <w:spacing w:after="40" w:line="288" w:lineRule="auto"/>
      </w:pPr>
      <w:r>
        <w:rPr>
          <w:rFonts w:ascii="Calibri" w:hAnsi="Calibri"/>
          <w:b/>
          <w:color w:val="191712"/>
          <w:sz w:val="20"/>
        </w:rPr>
        <w:t xml:space="preserve">Day 90: </w:t>
      </w:r>
      <w:r>
        <w:rPr>
          <w:rFonts w:ascii="Calibri" w:hAnsi="Calibri"/>
          <w:color w:val="191712"/>
          <w:sz w:val="20"/>
        </w:rPr>
        <w:t>Documented time saved; a value review with your CS partner.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Text / Statement</w:t>
      </w:r>
      <w:r>
        <w:rPr>
          <w:rFonts w:ascii="Calibri" w:hAnsi="Calibri"/>
          <w:i/>
          <w:color w:val="5B6872"/>
          <w:sz w:val="18"/>
        </w:rPr>
        <w:t xml:space="preserve">  — the quarterly review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Your quarterly value review: Each quarter, your CS partner brings the data — usage, time saved, where you’re getting the most lift — and you plan the next expansion together. That review is where adoption turns into a renewal you feel good about.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Knowledge Check — Multiple Choice</w:t>
      </w:r>
    </w:p>
    <w:p>
      <w:pPr>
        <w:spacing w:after="60" w:before="0" w:line="300" w:lineRule="auto"/>
      </w:pPr>
      <w:r>
        <w:rPr>
          <w:rFonts w:ascii="Calibri" w:hAnsi="Calibri"/>
          <w:b/>
          <w:i w:val="0"/>
          <w:color w:val="191712"/>
          <w:sz w:val="21"/>
        </w:rPr>
        <w:t>Question: What turns steady usage into a confident renewal and expansion?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191712"/>
          <w:sz w:val="20"/>
        </w:rPr>
        <w:t>A bigger discount at renewal time</w:t>
      </w:r>
    </w:p>
    <w:p>
      <w:pPr>
        <w:pStyle w:val="ListBullet"/>
        <w:spacing w:after="20"/>
      </w:pPr>
      <w:r>
        <w:rPr>
          <w:rFonts w:ascii="Calibri" w:hAnsi="Calibri"/>
          <w:b/>
          <w:color w:val="2E7D32"/>
          <w:sz w:val="20"/>
        </w:rPr>
        <w:t>Documented value plus a quarterly review that plans what’s next ✓ (correct)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191712"/>
          <w:sz w:val="20"/>
        </w:rPr>
        <w:t>Adding every feature whether used or not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191712"/>
          <w:sz w:val="20"/>
        </w:rPr>
        <w:t>Waiting until the contract is nearly up to talk</w:t>
      </w:r>
    </w:p>
    <w:p>
      <w:pPr>
        <w:spacing w:after="40" w:before="0" w:line="300" w:lineRule="auto"/>
      </w:pPr>
      <w:r>
        <w:rPr>
          <w:rFonts w:ascii="Calibri" w:hAnsi="Calibri"/>
          <w:b w:val="0"/>
          <w:i/>
          <w:color w:val="5B6872"/>
          <w:sz w:val="19"/>
        </w:rPr>
        <w:t>Feedback if correct: Yes. Evidence of value, reviewed regularly, makes renewal a formality and expansion an obvious next step.</w:t>
      </w:r>
    </w:p>
    <w:p>
      <w:pPr>
        <w:spacing w:after="80" w:before="0" w:line="300" w:lineRule="auto"/>
      </w:pPr>
      <w:r>
        <w:rPr>
          <w:rFonts w:ascii="Calibri" w:hAnsi="Calibri"/>
          <w:b w:val="0"/>
          <w:i/>
          <w:color w:val="5B6872"/>
          <w:sz w:val="19"/>
        </w:rPr>
        <w:t>Feedback if incorrect: Not quite — it’s documented value plus a regular forward-looking review, not discounts or last-minute scrambles.</w:t>
      </w:r>
    </w:p>
    <w:p>
      <w:pPr>
        <w:spacing w:before="240" w:after="80"/>
        <w:pBdr>
          <w:bottom w:val="single" w:sz="6" w:space="2" w:color="245F73"/>
        </w:pBdr>
      </w:pPr>
      <w:r>
        <w:rPr>
          <w:rFonts w:ascii="Calibri" w:hAnsi="Calibri"/>
          <w:b/>
          <w:color w:val="245F73"/>
          <w:sz w:val="26"/>
        </w:rPr>
        <w:t>Lesson 6 — Your 30-day plan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Checkbox List</w:t>
      </w:r>
      <w:r>
        <w:rPr>
          <w:rFonts w:ascii="Calibri" w:hAnsi="Calibri"/>
          <w:i/>
          <w:color w:val="5B6872"/>
          <w:sz w:val="18"/>
        </w:rPr>
        <w:t xml:space="preserve">  — Rise “Checkboxes” interactive block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ITEMS:</w:t>
        <w:br/>
        <w:t>• This week: pick one workflow and reach a first win.</w:t>
        <w:br/>
        <w:t>• Weeks 2–3: make it a daily habit; name a champion per team.</w:t>
        <w:br/>
        <w:t>• Week 4: add a second workflow; note time saved.</w:t>
        <w:br/>
        <w:t>• Day 90: value review with your CS partner — results and what’s next.</w:t>
      </w:r>
    </w:p>
    <w:p>
      <w:pPr>
        <w:spacing w:before="160" w:after="40"/>
      </w:pPr>
      <w:r>
        <w:rPr>
          <w:rFonts w:ascii="Calibri" w:hAnsi="Calibri"/>
          <w:b/>
          <w:color w:val="8D453A"/>
          <w:sz w:val="19"/>
        </w:rPr>
        <w:t>▸ RISE BLOCK: Statement</w:t>
      </w:r>
      <w:r>
        <w:rPr>
          <w:rFonts w:ascii="Calibri" w:hAnsi="Calibri"/>
          <w:i/>
          <w:color w:val="5B6872"/>
          <w:sz w:val="18"/>
        </w:rPr>
        <w:t xml:space="preserve">  — closing callout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191712"/>
          <w:sz w:val="21"/>
        </w:rPr>
        <w:t>Meet your Customer Success partner. Between sessions, we monitor your team’s health, run office hours, and bring the value story to each review. Reach out any time — helping you get and stay successful is the whole job.</w:t>
      </w:r>
    </w:p>
    <w:p>
      <w:pPr>
        <w:spacing w:after="40" w:before="0" w:line="300" w:lineRule="auto"/>
      </w:pPr>
    </w:p>
    <w:p>
      <w:pPr>
        <w:spacing w:after="100" w:before="120" w:line="300" w:lineRule="auto"/>
      </w:pPr>
      <w:r>
        <w:rPr>
          <w:rFonts w:ascii="Calibri" w:hAnsi="Calibri"/>
          <w:b w:val="0"/>
          <w:i/>
          <w:color w:val="5B6872"/>
          <w:sz w:val="19"/>
        </w:rPr>
        <w:t>Tip: Rise’s “Knowledge Check” blocks are ungraded (great for learning). If you want a scored gate, use a “Quiz” lesson at the end instead and move the four questions there.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