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"/>
        <w:rPr/>
      </w:pPr>
      <w:r>
        <w:rPr>
          <w:rFonts w:ascii="Calibri" w:hAnsi="Calibri"/>
          <w:b/>
          <w:i w:val="false"/>
          <w:color w:val="1C2328"/>
          <w:sz w:val="36"/>
        </w:rPr>
        <w:t>Account Success &amp; Renewal Plan</w:t>
      </w:r>
    </w:p>
    <w:p>
      <w:pPr>
        <w:pStyle w:val="Normal"/>
        <w:spacing w:lineRule="auto" w:line="276" w:before="0" w:after="60"/>
        <w:rPr/>
      </w:pPr>
      <w:r>
        <w:rPr>
          <w:rFonts w:ascii="Calibri" w:hAnsi="Calibri"/>
          <w:b/>
          <w:i w:val="false"/>
          <w:color w:val="245F73"/>
          <w:sz w:val="20"/>
        </w:rPr>
        <w:t>Scaled Customer Success — a sample for Harvey  ·  prepared by Alex Donnelly</w:t>
      </w:r>
    </w:p>
    <w:p>
      <w:pPr>
        <w:pStyle w:val="Normal"/>
        <w:spacing w:lineRule="auto" w:line="288" w:before="0" w:after="160"/>
        <w:rPr/>
      </w:pPr>
      <w:r>
        <w:rPr>
          <w:rFonts w:ascii="Calibri" w:hAnsi="Calibri"/>
          <w:b w:val="false"/>
          <w:i/>
          <w:color w:val="4A555D"/>
          <w:sz w:val="16"/>
        </w:rPr>
        <w:t>Illustrative work sample built for the Scaled Customer Success Manager application. The customer below is fictional; figures are illustrative and not based on Harvey’s actual pricing or data.</w:t>
      </w:r>
    </w:p>
    <w:p>
      <w:pPr>
        <w:pStyle w:val="Normal"/>
        <w:pBdr>
          <w:bottom w:val="single" w:sz="6" w:space="2" w:color="245F73"/>
        </w:pBdr>
        <w:spacing w:before="180" w:after="60"/>
        <w:rPr/>
      </w:pPr>
      <w:r>
        <w:rPr>
          <w:rFonts w:ascii="Calibri" w:hAnsi="Calibri"/>
          <w:b/>
          <w:color w:val="245F73"/>
          <w:sz w:val="21"/>
        </w:rPr>
        <w:t>ACCOUNT SNAPSHOT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Customer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Meridian &amp; Cole LLP — ~220-lawyer business-litigation &amp; corporate firm (fictional)</w:t>
            </w:r>
          </w:p>
        </w:tc>
      </w:tr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Segment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Scaled (pooled / digital-led CS) · 180 licensed seats</w:t>
            </w:r>
          </w:p>
        </w:tc>
      </w:tr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Contract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12-month term · renews 31 Mar 2027 · single practice-group entry point (Litigation)</w:t>
            </w:r>
          </w:p>
        </w:tc>
      </w:tr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Stakeholders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Exec sponsor: COO · Champion: Director of Practice Innovation · Power users: 6 litigation associates</w:t>
            </w:r>
          </w:p>
        </w:tc>
      </w:tr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Primary use cases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Document review &amp; summarization, first-draft research memos, deposition prep</w:t>
            </w:r>
          </w:p>
        </w:tc>
      </w:tr>
      <w:tr>
        <w:trPr/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Targets</w:t>
            </w:r>
          </w:p>
        </w:tc>
        <w:tc>
          <w:tcPr>
            <w:tcW w:w="511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Gross retention 100% · Net revenue retention 120% (expand to Corporate + add seats)</w:t>
            </w:r>
          </w:p>
        </w:tc>
      </w:tr>
    </w:tbl>
    <w:p>
      <w:pPr>
        <w:pStyle w:val="Normal"/>
        <w:pBdr>
          <w:bottom w:val="single" w:sz="6" w:space="2" w:color="245F73"/>
        </w:pBdr>
        <w:spacing w:before="180" w:after="60"/>
        <w:rPr/>
      </w:pPr>
      <w:r>
        <w:rPr>
          <w:rFonts w:ascii="Calibri" w:hAnsi="Calibri"/>
          <w:b/>
          <w:color w:val="245F73"/>
          <w:sz w:val="21"/>
        </w:rPr>
        <w:t>HOW I’D DEFINE AND DRIVE SUCCESS</w:t>
      </w:r>
    </w:p>
    <w:p>
      <w:pPr>
        <w:pStyle w:val="Normal"/>
        <w:spacing w:lineRule="auto" w:line="288" w:before="0" w:after="80"/>
        <w:rPr/>
      </w:pPr>
      <w:r>
        <w:rPr>
          <w:rFonts w:ascii="Calibri" w:hAnsi="Calibri"/>
          <w:b w:val="false"/>
          <w:i w:val="false"/>
          <w:color w:val="1C2328"/>
          <w:sz w:val="20"/>
        </w:rPr>
        <w:t>Success for a scaled account is value realized, on repeat: usage that becomes a daily habit, documented ROI the sponsor can defend, and a renewal that grows. Adoption is the leading indicator — so I run this account on a simple loop: drive adoption → evidence the value → de-risk the renewal early → expand on proof. At scale, that means productized, one-to-many enablement (self-serve onboarding, office hours, use-case templates) reserved high-touch only for the moments that move the number.</w:t>
      </w:r>
    </w:p>
    <w:p>
      <w:pPr>
        <w:pStyle w:val="Normal"/>
        <w:pBdr>
          <w:bottom w:val="single" w:sz="6" w:space="2" w:color="245F73"/>
        </w:pBdr>
        <w:spacing w:before="180" w:after="60"/>
        <w:rPr/>
      </w:pPr>
      <w:r>
        <w:rPr>
          <w:rFonts w:ascii="Calibri" w:hAnsi="Calibri"/>
          <w:b/>
          <w:color w:val="245F73"/>
          <w:sz w:val="21"/>
        </w:rPr>
        <w:t>LIFECYCLE PLAN &amp; MILESTONES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Window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Focus &amp; milestones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Success metric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Onboard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Days 0–30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Provisioning, exec kickoff, champion enablement, first 2 workflows live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≥</w:t>
            </w:r>
            <w:r>
              <w:rPr>
                <w:rFonts w:ascii="Calibri" w:hAnsi="Calibri"/>
                <w:b w:val="false"/>
                <w:color w:val="1C2328"/>
                <w:sz w:val="18"/>
              </w:rPr>
              <w:t>70% of seats activated; first value moment logged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Adopt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Days 31–90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Scaled enablement (office hours, self-serve path, templates); first value review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≥</w:t>
            </w:r>
            <w:r>
              <w:rPr>
                <w:rFonts w:ascii="Calibri" w:hAnsi="Calibri"/>
                <w:b w:val="false"/>
                <w:color w:val="1C2328"/>
                <w:sz w:val="18"/>
              </w:rPr>
              <w:t>50% weekly active users; 3+ workflows in regular use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Realize value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Days 90–180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Quantify ROI (hours saved, matters touched); exec QBR; capture proof points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Documented ROI; sponsor-level QBR delivered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Renew &amp; expand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Days 180–365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Open renewal early (T-120); pilot Corporate group; propose seat add + multiyear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Renewal closed; NRR ≥ 120%</w:t>
            </w:r>
          </w:p>
        </w:tc>
      </w:tr>
    </w:tbl>
    <w:p>
      <w:pPr>
        <w:pStyle w:val="Normal"/>
        <w:pBdr>
          <w:bottom w:val="single" w:sz="6" w:space="2" w:color="245F73"/>
        </w:pBdr>
        <w:spacing w:before="180" w:after="60"/>
        <w:rPr/>
      </w:pPr>
      <w:r>
        <w:rPr>
          <w:rFonts w:ascii="Calibri" w:hAnsi="Calibri"/>
          <w:b/>
          <w:color w:val="245F73"/>
          <w:sz w:val="21"/>
        </w:rPr>
        <w:t>HEALTH SCORING &amp; CHURN SIGNALS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Signal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Healthy (green)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At-risk (red)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fill="245F7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FFFFFF"/>
                <w:sz w:val="18"/>
              </w:rPr>
              <w:t>Intervention play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Adoption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WAU ≥ 50%, steady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WAU &lt; 25% or falling 3 wks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Targeted re-onboarding; champion co-hosts a use-case office hour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Breadth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3+ workflows, 2+ teams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Single workflow, 1 user pocket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Map a second high-value workflow; enable an adjacent team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Sentiment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Champion advocates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Champion quiet / NPS drop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Exec check-in; surface and close top friction items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Champion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Engaged, has budget voice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Champion departs / reorg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Multi-thread to 2–3 new stakeholders fast</w:t>
            </w:r>
          </w:p>
        </w:tc>
      </w:tr>
      <w:tr>
        <w:trPr/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Commercial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On track, value shown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No ROI story by T-120</w:t>
            </w:r>
          </w:p>
        </w:tc>
        <w:tc>
          <w:tcPr>
            <w:tcW w:w="255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 w:val="false"/>
                <w:color w:val="1C2328"/>
                <w:sz w:val="18"/>
              </w:rPr>
              <w:t>Build the value review now; reset success plan with sponsor</w:t>
            </w:r>
          </w:p>
        </w:tc>
      </w:tr>
    </w:tbl>
    <w:p>
      <w:pPr>
        <w:pStyle w:val="Normal"/>
        <w:pBdr>
          <w:bottom w:val="single" w:sz="6" w:space="2" w:color="245F73"/>
        </w:pBdr>
        <w:spacing w:before="180" w:after="60"/>
        <w:rPr/>
      </w:pPr>
      <w:r>
        <w:rPr>
          <w:rFonts w:ascii="Calibri" w:hAnsi="Calibri"/>
          <w:b/>
          <w:color w:val="245F73"/>
          <w:sz w:val="21"/>
        </w:rPr>
        <w:t>EXPANSION TRIGGERS (NRR)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Seat utilization &gt; 85% sustained → propose a seat add before users hit the cap.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A second practice group asks for access (Corporate) → scoped pilot → cross-sell.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New high-value use case adopted → land/expand into the team that owns it.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Client-driven demand or firm headcount growth → multiyear + volume conversation.</w:t>
      </w:r>
    </w:p>
    <w:p>
      <w:pPr>
        <w:pStyle w:val="Normal"/>
        <w:pBdr>
          <w:bottom w:val="single" w:sz="6" w:space="2" w:color="245F73"/>
        </w:pBdr>
        <w:spacing w:before="180" w:after="60"/>
        <w:rPr/>
      </w:pPr>
      <w:r>
        <w:rPr>
          <w:rFonts w:ascii="Calibri" w:hAnsi="Calibri"/>
          <w:b/>
          <w:color w:val="245F73"/>
          <w:sz w:val="21"/>
        </w:rPr>
        <w:t>RENEWAL MOTION (DATA-DRIVEN CADENCE)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T-120: open internal renewal review; confirm ROI story and risks; align with Sales.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T-90: deliver value review / QBR to sponsor; pre-frame renewal + expansion.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T-60: paper the renewal and expansion proposal; resolve procurement early.</w:t>
      </w:r>
    </w:p>
    <w:p>
      <w:pPr>
        <w:pStyle w:val="ListBullet"/>
        <w:numPr>
          <w:ilvl w:val="0"/>
          <w:numId w:val="1"/>
        </w:numPr>
        <w:spacing w:lineRule="auto" w:line="269" w:before="0" w:after="40"/>
        <w:contextualSpacing/>
        <w:rPr/>
      </w:pPr>
      <w:r>
        <w:rPr>
          <w:rFonts w:ascii="Calibri" w:hAnsi="Calibri"/>
          <w:color w:val="1C2328"/>
          <w:sz w:val="19"/>
        </w:rPr>
        <w:t>T-30: confirm signature; schedule the next-term success plan and kickoff.</w:t>
      </w:r>
    </w:p>
    <w:p>
      <w:pPr>
        <w:pStyle w:val="Normal"/>
        <w:spacing w:lineRule="auto" w:line="288" w:before="120" w:after="0"/>
        <w:rPr/>
      </w:pPr>
      <w:r>
        <w:rPr>
          <w:rFonts w:ascii="Calibri" w:hAnsi="Calibri"/>
          <w:b w:val="false"/>
          <w:i/>
          <w:color w:val="4A555D"/>
          <w:sz w:val="18"/>
        </w:rPr>
        <w:t>Operating cadence: weekly health-metric scan across the book · monthly champion check-in + open office hours · quarterly value review / QBR.</w:t>
      </w:r>
    </w:p>
    <w:sectPr>
      <w:type w:val="nextPage"/>
      <w:pgSz w:w="12240" w:h="15840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LibreOffice/26.2.4.2$Linux_AARCH64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